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0127F2">
              <w:rPr>
                <w:rFonts w:ascii="Arial" w:eastAsia="SimHei" w:hAnsi="Arial" w:cs="Arial"/>
                <w:spacing w:val="255"/>
                <w:sz w:val="28"/>
                <w:szCs w:val="28"/>
                <w:fitText w:val="8222" w:id="344731648"/>
                <w:lang w:eastAsia="zh-CN"/>
              </w:rPr>
              <w:t>国</w:t>
            </w:r>
            <w:r w:rsidRPr="000127F2">
              <w:rPr>
                <w:rFonts w:ascii="Arial" w:eastAsia="SimHei" w:hAnsi="Arial" w:cs="Arial"/>
                <w:spacing w:val="255"/>
                <w:sz w:val="28"/>
                <w:szCs w:val="28"/>
                <w:fitText w:val="8222" w:id="344731648"/>
                <w:lang w:val="en-US" w:eastAsia="zh-CN"/>
              </w:rPr>
              <w:t xml:space="preserve">   </w:t>
            </w:r>
            <w:r w:rsidRPr="000127F2">
              <w:rPr>
                <w:rFonts w:ascii="Arial" w:eastAsia="SimHei" w:hAnsi="Arial" w:cs="Arial"/>
                <w:spacing w:val="255"/>
                <w:sz w:val="28"/>
                <w:szCs w:val="28"/>
                <w:fitText w:val="8222" w:id="344731648"/>
                <w:lang w:eastAsia="zh-CN"/>
              </w:rPr>
              <w:t>际</w:t>
            </w:r>
            <w:r w:rsidRPr="000127F2">
              <w:rPr>
                <w:rFonts w:ascii="Arial" w:eastAsia="SimHei" w:hAnsi="Arial" w:cs="Arial"/>
                <w:spacing w:val="255"/>
                <w:sz w:val="28"/>
                <w:szCs w:val="28"/>
                <w:fitText w:val="8222" w:id="344731648"/>
                <w:lang w:val="en-US" w:eastAsia="zh-CN"/>
              </w:rPr>
              <w:t xml:space="preserve">   </w:t>
            </w:r>
            <w:r w:rsidRPr="000127F2">
              <w:rPr>
                <w:rFonts w:ascii="Arial" w:eastAsia="SimHei" w:hAnsi="Arial" w:cs="Arial"/>
                <w:spacing w:val="255"/>
                <w:sz w:val="28"/>
                <w:szCs w:val="28"/>
                <w:fitText w:val="8222" w:id="344731648"/>
                <w:lang w:eastAsia="zh-CN"/>
              </w:rPr>
              <w:t>电</w:t>
            </w:r>
            <w:r w:rsidRPr="000127F2">
              <w:rPr>
                <w:rFonts w:ascii="Arial" w:eastAsia="SimHei" w:hAnsi="Arial" w:cs="Arial"/>
                <w:spacing w:val="255"/>
                <w:sz w:val="28"/>
                <w:szCs w:val="28"/>
                <w:fitText w:val="8222" w:id="344731648"/>
                <w:lang w:val="en-US" w:eastAsia="zh-CN"/>
              </w:rPr>
              <w:t xml:space="preserve">   </w:t>
            </w:r>
            <w:r w:rsidRPr="000127F2">
              <w:rPr>
                <w:rFonts w:ascii="Arial" w:eastAsia="SimHei" w:hAnsi="Arial" w:cs="Arial"/>
                <w:spacing w:val="255"/>
                <w:sz w:val="28"/>
                <w:szCs w:val="28"/>
                <w:fitText w:val="8222" w:id="344731648"/>
                <w:lang w:eastAsia="zh-CN"/>
              </w:rPr>
              <w:t>信</w:t>
            </w:r>
            <w:r w:rsidRPr="000127F2">
              <w:rPr>
                <w:rFonts w:ascii="Arial" w:eastAsia="SimHei" w:hAnsi="Arial" w:cs="Arial"/>
                <w:spacing w:val="255"/>
                <w:sz w:val="28"/>
                <w:szCs w:val="28"/>
                <w:fitText w:val="8222" w:id="344731648"/>
                <w:lang w:val="en-US" w:eastAsia="zh-CN"/>
              </w:rPr>
              <w:t xml:space="preserve">   </w:t>
            </w:r>
            <w:r w:rsidRPr="000127F2">
              <w:rPr>
                <w:rFonts w:ascii="Arial" w:eastAsia="SimHei" w:hAnsi="Arial" w:cs="Arial"/>
                <w:spacing w:val="255"/>
                <w:sz w:val="28"/>
                <w:szCs w:val="28"/>
                <w:fitText w:val="8222" w:id="344731648"/>
                <w:lang w:eastAsia="zh-CN"/>
              </w:rPr>
              <w:t>联</w:t>
            </w:r>
            <w:r w:rsidRPr="000127F2">
              <w:rPr>
                <w:rFonts w:ascii="Arial" w:eastAsia="SimHei" w:hAnsi="Arial" w:cs="Arial"/>
                <w:spacing w:val="255"/>
                <w:sz w:val="28"/>
                <w:szCs w:val="28"/>
                <w:fitText w:val="8222" w:id="344731648"/>
                <w:lang w:val="en-US" w:eastAsia="zh-CN"/>
              </w:rPr>
              <w:t xml:space="preserve">   </w:t>
            </w:r>
            <w:r w:rsidRPr="000127F2">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0127F2">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0127F2">
              <w:rPr>
                <w:rFonts w:ascii="Arial" w:eastAsia="SimHei" w:hAnsi="Arial" w:cs="Arial"/>
                <w:b/>
                <w:bCs/>
                <w:sz w:val="36"/>
                <w:szCs w:val="28"/>
                <w:lang w:eastAsia="zh-CN"/>
              </w:rPr>
              <w:t>4</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0127F2">
              <w:rPr>
                <w:rFonts w:ascii="Arial" w:eastAsia="SimHei" w:hAnsi="Arial" w:cs="Arial"/>
                <w:b/>
                <w:bCs/>
                <w:sz w:val="36"/>
                <w:szCs w:val="28"/>
                <w:lang w:val="en-US" w:eastAsia="zh-CN"/>
              </w:rPr>
              <w:t xml:space="preserve"> </w:t>
            </w:r>
            <w:bookmarkStart w:id="2" w:name="_GoBack"/>
            <w:bookmarkEnd w:id="2"/>
            <w:r w:rsidR="000127F2" w:rsidRPr="000127F2">
              <w:rPr>
                <w:rFonts w:eastAsia="SimHei" w:hint="eastAsia"/>
                <w:b/>
                <w:bCs/>
                <w:sz w:val="36"/>
                <w:szCs w:val="36"/>
                <w:lang w:eastAsia="zh-CN"/>
              </w:rPr>
              <w:t>接纳发展中国家部门成员参加国际电联电信标准化部门的工作</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0127F2">
      <w:pPr>
        <w:pStyle w:val="ResNo"/>
        <w:spacing w:before="240"/>
        <w:rPr>
          <w:lang w:eastAsia="zh-CN"/>
        </w:rPr>
      </w:pPr>
      <w:bookmarkStart w:id="4" w:name="_Toc219521775"/>
      <w:bookmarkStart w:id="5" w:name="_Toc348252504"/>
      <w:r w:rsidRPr="00C52866">
        <w:rPr>
          <w:rStyle w:val="href"/>
          <w:rFonts w:hint="eastAsia"/>
        </w:rPr>
        <w:lastRenderedPageBreak/>
        <w:t>第</w:t>
      </w:r>
      <w:r w:rsidRPr="00C52866">
        <w:rPr>
          <w:rStyle w:val="href"/>
          <w:rFonts w:hint="eastAsia"/>
        </w:rPr>
        <w:t>74</w:t>
      </w:r>
      <w:r w:rsidRPr="00C52866">
        <w:rPr>
          <w:rStyle w:val="href"/>
          <w:rFonts w:hint="eastAsia"/>
        </w:rPr>
        <w:t>号决议</w:t>
      </w:r>
      <w:bookmarkEnd w:id="4"/>
      <w:r>
        <w:rPr>
          <w:rFonts w:hint="eastAsia"/>
          <w:lang w:eastAsia="zh-CN"/>
        </w:rPr>
        <w:t>（</w:t>
      </w:r>
      <w:r>
        <w:rPr>
          <w:rFonts w:hint="eastAsia"/>
          <w:lang w:eastAsia="zh-CN"/>
        </w:rPr>
        <w:t>2012</w:t>
      </w:r>
      <w:r>
        <w:rPr>
          <w:rFonts w:hint="eastAsia"/>
          <w:lang w:eastAsia="zh-CN"/>
        </w:rPr>
        <w:t>年，迪拜，修订版）</w:t>
      </w:r>
      <w:bookmarkEnd w:id="5"/>
    </w:p>
    <w:p w:rsidR="00D1121F" w:rsidRPr="00E04A5F" w:rsidRDefault="00D1121F" w:rsidP="00253E75">
      <w:pPr>
        <w:pStyle w:val="Restitle"/>
        <w:spacing w:before="240"/>
        <w:rPr>
          <w:lang w:eastAsia="zh-CN"/>
        </w:rPr>
      </w:pPr>
      <w:bookmarkStart w:id="6" w:name="_Toc219521776"/>
      <w:bookmarkStart w:id="7" w:name="_Toc348252505"/>
      <w:r w:rsidRPr="00E04A5F">
        <w:rPr>
          <w:rFonts w:hint="eastAsia"/>
          <w:lang w:eastAsia="zh-CN"/>
        </w:rPr>
        <w:t>接纳发展中国家部门成员</w:t>
      </w:r>
      <w:r w:rsidRPr="00190B26">
        <w:rPr>
          <w:b w:val="0"/>
          <w:vertAlign w:val="superscript"/>
          <w:lang w:eastAsia="zh-CN"/>
        </w:rPr>
        <w:footnoteReference w:customMarkFollows="1" w:id="1"/>
        <w:t>1</w:t>
      </w:r>
      <w:r w:rsidRPr="00E04A5F">
        <w:rPr>
          <w:rFonts w:hint="eastAsia"/>
          <w:lang w:eastAsia="zh-CN"/>
        </w:rPr>
        <w:t>参加</w:t>
      </w:r>
      <w:r>
        <w:rPr>
          <w:rFonts w:hint="eastAsia"/>
          <w:lang w:eastAsia="zh-CN"/>
        </w:rPr>
        <w:t>国际电联</w:t>
      </w:r>
      <w:r w:rsidR="00253E75">
        <w:rPr>
          <w:lang w:val="en-US" w:eastAsia="zh-CN"/>
        </w:rPr>
        <w:br/>
      </w:r>
      <w:r>
        <w:rPr>
          <w:rFonts w:hint="eastAsia"/>
          <w:lang w:eastAsia="zh-CN"/>
        </w:rPr>
        <w:t>电信标准化部门</w:t>
      </w:r>
      <w:r w:rsidRPr="00E04A5F">
        <w:rPr>
          <w:rFonts w:hint="eastAsia"/>
          <w:lang w:eastAsia="zh-CN"/>
        </w:rPr>
        <w:t>的工作</w:t>
      </w:r>
      <w:bookmarkEnd w:id="6"/>
      <w:bookmarkEnd w:id="7"/>
    </w:p>
    <w:p w:rsidR="00D1121F" w:rsidRPr="00651279" w:rsidRDefault="00D1121F" w:rsidP="00D1121F">
      <w:pPr>
        <w:pStyle w:val="Resref"/>
        <w:rPr>
          <w:iCs/>
          <w:lang w:eastAsia="zh-CN"/>
        </w:rPr>
      </w:pPr>
      <w:r w:rsidRPr="00651279">
        <w:rPr>
          <w:iCs/>
          <w:lang w:eastAsia="zh-CN"/>
        </w:rPr>
        <w:t>（</w:t>
      </w:r>
      <w:r w:rsidRPr="00651279">
        <w:rPr>
          <w:iCs/>
          <w:lang w:eastAsia="zh-CN"/>
        </w:rPr>
        <w:t>2008</w:t>
      </w:r>
      <w:r w:rsidRPr="00651279">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651279">
        <w:rPr>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sidRPr="00E04A5F">
        <w:rPr>
          <w:lang w:eastAsia="zh-CN"/>
        </w:rPr>
        <w:t>（</w:t>
      </w:r>
      <w:r>
        <w:rPr>
          <w:rFonts w:hint="eastAsia"/>
          <w:lang w:eastAsia="zh-CN"/>
        </w:rPr>
        <w:t>2012</w:t>
      </w:r>
      <w:r>
        <w:rPr>
          <w:rFonts w:hint="eastAsia"/>
          <w:lang w:eastAsia="zh-CN"/>
        </w:rPr>
        <w:t>年，迪拜</w:t>
      </w:r>
      <w:r w:rsidRPr="00E04A5F">
        <w:rPr>
          <w:lang w:eastAsia="zh-CN"/>
        </w:rPr>
        <w:t>）</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认识到</w:t>
      </w:r>
    </w:p>
    <w:p w:rsidR="00D1121F" w:rsidRDefault="00D1121F" w:rsidP="00D1121F">
      <w:pPr>
        <w:rPr>
          <w:lang w:eastAsia="zh-CN"/>
        </w:rPr>
      </w:pPr>
      <w:r w:rsidRPr="00651279">
        <w:rPr>
          <w:i/>
          <w:iCs/>
          <w:lang w:eastAsia="zh-CN"/>
        </w:rPr>
        <w:t>a)</w:t>
      </w:r>
      <w:r w:rsidRPr="00E04A5F">
        <w:rPr>
          <w:lang w:eastAsia="zh-CN"/>
        </w:rPr>
        <w:tab/>
      </w:r>
      <w:r w:rsidRPr="00E04A5F">
        <w:rPr>
          <w:rFonts w:hint="eastAsia"/>
          <w:lang w:eastAsia="zh-CN"/>
        </w:rPr>
        <w:t>国际电联《组织法》第</w:t>
      </w:r>
      <w:r w:rsidRPr="00E04A5F">
        <w:rPr>
          <w:rFonts w:hint="eastAsia"/>
          <w:lang w:eastAsia="zh-CN"/>
        </w:rPr>
        <w:t>1</w:t>
      </w:r>
      <w:r w:rsidRPr="00E04A5F">
        <w:rPr>
          <w:rFonts w:hint="eastAsia"/>
          <w:lang w:eastAsia="zh-CN"/>
        </w:rPr>
        <w:t>条规定，国际电联将以令人满意的服务质量推进世界电信标准化进程，促进并加强各实体和组织在国际电联活动中的参与并为实现国际电联宗旨中涵盖的总体目标加强这些机构与成员国之间富有成效的合作；</w:t>
      </w:r>
    </w:p>
    <w:p w:rsidR="00D1121F" w:rsidRPr="00E04A5F" w:rsidRDefault="00D1121F" w:rsidP="00D1121F">
      <w:pPr>
        <w:rPr>
          <w:lang w:eastAsia="zh-CN"/>
        </w:rPr>
      </w:pPr>
      <w:r w:rsidRPr="00651279">
        <w:rPr>
          <w:i/>
          <w:iCs/>
          <w:lang w:eastAsia="zh-CN"/>
        </w:rPr>
        <w:t>b)</w:t>
      </w:r>
      <w:r w:rsidRPr="00E04A5F">
        <w:rPr>
          <w:lang w:eastAsia="zh-CN"/>
        </w:rPr>
        <w:tab/>
      </w:r>
      <w:r w:rsidRPr="00E04A5F">
        <w:rPr>
          <w:rFonts w:hint="eastAsia"/>
          <w:lang w:eastAsia="zh-CN"/>
        </w:rPr>
        <w:t>全权代表大会第</w:t>
      </w:r>
      <w:r w:rsidRPr="00E04A5F">
        <w:rPr>
          <w:rFonts w:hint="eastAsia"/>
          <w:lang w:eastAsia="zh-CN"/>
        </w:rPr>
        <w:t>71</w:t>
      </w:r>
      <w:r w:rsidRPr="00E04A5F">
        <w:rPr>
          <w:rFonts w:hint="eastAsia"/>
          <w:lang w:eastAsia="zh-CN"/>
        </w:rPr>
        <w:t>号决议（</w:t>
      </w:r>
      <w:r>
        <w:rPr>
          <w:rFonts w:hint="eastAsia"/>
          <w:lang w:eastAsia="zh-CN"/>
        </w:rPr>
        <w:t>2010</w:t>
      </w:r>
      <w:r>
        <w:rPr>
          <w:rFonts w:hint="eastAsia"/>
          <w:lang w:eastAsia="zh-CN"/>
        </w:rPr>
        <w:t>年，瓜达拉哈拉，修订版</w:t>
      </w:r>
      <w:r w:rsidRPr="00E04A5F">
        <w:rPr>
          <w:rFonts w:hint="eastAsia"/>
          <w:lang w:eastAsia="zh-CN"/>
        </w:rPr>
        <w:t>）《国际电联</w:t>
      </w:r>
      <w:r w:rsidRPr="00E04A5F">
        <w:rPr>
          <w:rFonts w:hint="eastAsia"/>
          <w:lang w:eastAsia="zh-CN"/>
        </w:rPr>
        <w:t>20</w:t>
      </w:r>
      <w:r>
        <w:rPr>
          <w:rFonts w:hint="eastAsia"/>
          <w:lang w:eastAsia="zh-CN"/>
        </w:rPr>
        <w:t>12</w:t>
      </w:r>
      <w:r w:rsidRPr="00E04A5F">
        <w:rPr>
          <w:rFonts w:hint="eastAsia"/>
          <w:lang w:eastAsia="zh-CN"/>
        </w:rPr>
        <w:t>-201</w:t>
      </w:r>
      <w:r>
        <w:rPr>
          <w:rFonts w:hint="eastAsia"/>
          <w:lang w:eastAsia="zh-CN"/>
        </w:rPr>
        <w:t>5</w:t>
      </w:r>
      <w:r w:rsidRPr="00E04A5F">
        <w:rPr>
          <w:rFonts w:hint="eastAsia"/>
          <w:lang w:eastAsia="zh-CN"/>
        </w:rPr>
        <w:t>年战略规划》；</w:t>
      </w:r>
    </w:p>
    <w:p w:rsidR="00D1121F" w:rsidRPr="00E04A5F" w:rsidRDefault="00D1121F" w:rsidP="00D1121F">
      <w:pPr>
        <w:rPr>
          <w:lang w:eastAsia="zh-CN"/>
        </w:rPr>
      </w:pPr>
      <w:r w:rsidRPr="00651279">
        <w:rPr>
          <w:i/>
          <w:iCs/>
          <w:lang w:eastAsia="zh-CN"/>
        </w:rPr>
        <w:t>c)</w:t>
      </w:r>
      <w:r w:rsidRPr="00E04A5F">
        <w:rPr>
          <w:lang w:eastAsia="zh-CN"/>
        </w:rPr>
        <w:tab/>
      </w:r>
      <w:r w:rsidRPr="00E04A5F">
        <w:rPr>
          <w:rFonts w:hint="eastAsia"/>
          <w:lang w:eastAsia="zh-CN"/>
        </w:rPr>
        <w:t>全权代表大会有关缩小发展中国家和发达国家之间标准化工作差距的第</w:t>
      </w:r>
      <w:r w:rsidRPr="00E04A5F">
        <w:rPr>
          <w:rFonts w:hint="eastAsia"/>
          <w:lang w:eastAsia="zh-CN"/>
        </w:rPr>
        <w:t>123</w:t>
      </w:r>
      <w:r w:rsidRPr="00E04A5F">
        <w:rPr>
          <w:rFonts w:hint="eastAsia"/>
          <w:lang w:eastAsia="zh-CN"/>
        </w:rPr>
        <w:t>号决议（</w:t>
      </w:r>
      <w:r>
        <w:rPr>
          <w:rFonts w:hint="eastAsia"/>
          <w:lang w:eastAsia="zh-CN"/>
        </w:rPr>
        <w:t>2010</w:t>
      </w:r>
      <w:r>
        <w:rPr>
          <w:rFonts w:hint="eastAsia"/>
          <w:lang w:eastAsia="zh-CN"/>
        </w:rPr>
        <w:t>年，瓜达拉哈拉，修订版</w:t>
      </w:r>
      <w:r w:rsidRPr="00E04A5F">
        <w:rPr>
          <w:rFonts w:hint="eastAsia"/>
          <w:lang w:eastAsia="zh-CN"/>
        </w:rPr>
        <w:t>）的精神；</w:t>
      </w:r>
    </w:p>
    <w:p w:rsidR="00D1121F" w:rsidRPr="00E04A5F" w:rsidRDefault="00D1121F" w:rsidP="00D1121F">
      <w:pPr>
        <w:rPr>
          <w:lang w:eastAsia="zh-CN"/>
        </w:rPr>
      </w:pPr>
      <w:r w:rsidRPr="00651279">
        <w:rPr>
          <w:i/>
          <w:iCs/>
          <w:lang w:eastAsia="zh-CN"/>
        </w:rPr>
        <w:t>d)</w:t>
      </w:r>
      <w:r w:rsidRPr="00E04A5F">
        <w:rPr>
          <w:rFonts w:hint="eastAsia"/>
          <w:lang w:eastAsia="zh-CN"/>
        </w:rPr>
        <w:tab/>
      </w:r>
      <w:r w:rsidRPr="00E04A5F">
        <w:rPr>
          <w:rFonts w:hint="eastAsia"/>
          <w:lang w:eastAsia="zh-CN"/>
        </w:rPr>
        <w:t>本届全会第</w:t>
      </w:r>
      <w:r w:rsidRPr="00E04A5F">
        <w:rPr>
          <w:rFonts w:hint="eastAsia"/>
          <w:lang w:eastAsia="zh-CN"/>
        </w:rPr>
        <w:t>44</w:t>
      </w:r>
      <w:r w:rsidRPr="00E04A5F">
        <w:rPr>
          <w:rFonts w:hint="eastAsia"/>
          <w:lang w:eastAsia="zh-CN"/>
        </w:rPr>
        <w:t>和</w:t>
      </w:r>
      <w:r w:rsidRPr="00E04A5F">
        <w:rPr>
          <w:rFonts w:hint="eastAsia"/>
          <w:lang w:eastAsia="zh-CN"/>
        </w:rPr>
        <w:t>54</w:t>
      </w:r>
      <w:r w:rsidRPr="00E04A5F">
        <w:rPr>
          <w:rFonts w:hint="eastAsia"/>
          <w:lang w:eastAsia="zh-CN"/>
        </w:rPr>
        <w:t>号决议</w:t>
      </w:r>
      <w:r>
        <w:rPr>
          <w:rFonts w:hint="eastAsia"/>
          <w:lang w:eastAsia="zh-CN"/>
        </w:rPr>
        <w:t>（</w:t>
      </w:r>
      <w:r>
        <w:rPr>
          <w:rFonts w:hint="eastAsia"/>
          <w:lang w:eastAsia="zh-CN"/>
        </w:rPr>
        <w:t>2012</w:t>
      </w:r>
      <w:r>
        <w:rPr>
          <w:rFonts w:hint="eastAsia"/>
          <w:lang w:eastAsia="zh-CN"/>
        </w:rPr>
        <w:t>年，迪拜</w:t>
      </w:r>
      <w:r w:rsidRPr="00E04A5F">
        <w:rPr>
          <w:rFonts w:hint="eastAsia"/>
          <w:lang w:eastAsia="zh-CN"/>
        </w:rPr>
        <w:t>，</w:t>
      </w:r>
      <w:r>
        <w:rPr>
          <w:rFonts w:hint="eastAsia"/>
          <w:lang w:eastAsia="zh-CN"/>
        </w:rPr>
        <w:t>修订版），</w:t>
      </w:r>
    </w:p>
    <w:p w:rsidR="00D1121F" w:rsidRPr="00E04A5F" w:rsidRDefault="00D1121F" w:rsidP="00D1121F">
      <w:pPr>
        <w:pStyle w:val="Call"/>
        <w:rPr>
          <w:lang w:eastAsia="zh-CN"/>
        </w:rPr>
      </w:pPr>
      <w:r w:rsidRPr="00E04A5F">
        <w:rPr>
          <w:rFonts w:hint="eastAsia"/>
          <w:lang w:eastAsia="zh-CN"/>
        </w:rPr>
        <w:t>考虑到</w:t>
      </w:r>
    </w:p>
    <w:p w:rsidR="00D1121F" w:rsidRPr="00E04A5F" w:rsidRDefault="00D1121F" w:rsidP="00D1121F">
      <w:pPr>
        <w:rPr>
          <w:lang w:eastAsia="zh-CN"/>
        </w:rPr>
      </w:pPr>
      <w:r w:rsidRPr="00651279">
        <w:rPr>
          <w:i/>
          <w:iCs/>
          <w:lang w:eastAsia="zh-CN"/>
        </w:rPr>
        <w:t>a)</w:t>
      </w:r>
      <w:r w:rsidRPr="00E04A5F">
        <w:rPr>
          <w:lang w:eastAsia="zh-CN"/>
        </w:rPr>
        <w:tab/>
      </w:r>
      <w:r w:rsidRPr="00E04A5F">
        <w:rPr>
          <w:rFonts w:hint="eastAsia"/>
          <w:lang w:eastAsia="zh-CN"/>
        </w:rPr>
        <w:t>发展中国家的相关实体或组织非常关心国际电联电信标准化部门（</w:t>
      </w:r>
      <w:r w:rsidRPr="00E04A5F">
        <w:rPr>
          <w:rFonts w:hint="eastAsia"/>
          <w:lang w:eastAsia="zh-CN"/>
        </w:rPr>
        <w:t>ITU-T</w:t>
      </w:r>
      <w:r w:rsidRPr="00E04A5F">
        <w:rPr>
          <w:rFonts w:hint="eastAsia"/>
          <w:lang w:eastAsia="zh-CN"/>
        </w:rPr>
        <w:t>）的标准化工作，并且愿意在提供更加有利的参加</w:t>
      </w:r>
      <w:r w:rsidRPr="00E04A5F">
        <w:rPr>
          <w:rFonts w:hint="eastAsia"/>
          <w:lang w:eastAsia="zh-CN"/>
        </w:rPr>
        <w:t>ITU-T</w:t>
      </w:r>
      <w:r w:rsidRPr="00E04A5F">
        <w:rPr>
          <w:rFonts w:hint="eastAsia"/>
          <w:lang w:eastAsia="zh-CN"/>
        </w:rPr>
        <w:t>工作的财政条件基础上参加本部门的工作；</w:t>
      </w:r>
    </w:p>
    <w:p w:rsidR="00D1121F" w:rsidRDefault="00D1121F" w:rsidP="00D1121F">
      <w:pPr>
        <w:rPr>
          <w:lang w:eastAsia="zh-CN"/>
        </w:rPr>
      </w:pPr>
      <w:r w:rsidRPr="00651279">
        <w:rPr>
          <w:rFonts w:hint="eastAsia"/>
          <w:i/>
          <w:iCs/>
          <w:lang w:eastAsia="zh-CN"/>
        </w:rPr>
        <w:t>b)</w:t>
      </w:r>
      <w:r w:rsidRPr="00E04A5F">
        <w:rPr>
          <w:rFonts w:hint="eastAsia"/>
          <w:lang w:eastAsia="zh-CN"/>
        </w:rPr>
        <w:tab/>
      </w:r>
      <w:r w:rsidRPr="00E04A5F">
        <w:rPr>
          <w:rFonts w:hint="eastAsia"/>
          <w:lang w:eastAsia="zh-CN"/>
        </w:rPr>
        <w:t>上述</w:t>
      </w:r>
      <w:r w:rsidRPr="000073D4">
        <w:rPr>
          <w:rFonts w:hint="eastAsia"/>
          <w:lang w:eastAsia="zh-CN"/>
        </w:rPr>
        <w:t>实体或机构</w:t>
      </w:r>
      <w:r w:rsidRPr="00E04A5F">
        <w:rPr>
          <w:rFonts w:hint="eastAsia"/>
          <w:lang w:eastAsia="zh-CN"/>
        </w:rPr>
        <w:t>在新技术的研发中具有重要作用，发展中国家的实体参与</w:t>
      </w:r>
      <w:r w:rsidRPr="00E04A5F">
        <w:rPr>
          <w:lang w:eastAsia="zh-CN"/>
        </w:rPr>
        <w:t>ITU-T</w:t>
      </w:r>
      <w:r w:rsidRPr="00E04A5F">
        <w:rPr>
          <w:rFonts w:hint="eastAsia"/>
          <w:lang w:eastAsia="zh-CN"/>
        </w:rPr>
        <w:t>的工作有助于缩小标准化工作差距，</w:t>
      </w:r>
    </w:p>
    <w:p w:rsidR="00D1121F" w:rsidRPr="00E04A5F" w:rsidRDefault="00D1121F" w:rsidP="00D1121F">
      <w:pPr>
        <w:pStyle w:val="Call"/>
        <w:rPr>
          <w:lang w:eastAsia="zh-CN"/>
        </w:rPr>
      </w:pPr>
      <w:r w:rsidRPr="00E04A5F">
        <w:rPr>
          <w:rFonts w:hint="eastAsia"/>
          <w:lang w:eastAsia="zh-CN"/>
        </w:rPr>
        <w:t>做出决议</w:t>
      </w:r>
    </w:p>
    <w:p w:rsidR="00D1121F" w:rsidRDefault="00D1121F" w:rsidP="00D1121F">
      <w:pPr>
        <w:ind w:firstLineChars="200" w:firstLine="480"/>
        <w:rPr>
          <w:lang w:eastAsia="zh-CN"/>
        </w:rPr>
      </w:pPr>
      <w:r w:rsidRPr="000073D4">
        <w:rPr>
          <w:rFonts w:hint="eastAsia"/>
          <w:lang w:eastAsia="zh-CN"/>
        </w:rPr>
        <w:t>鼓励采取必要的措施，</w:t>
      </w:r>
      <w:r>
        <w:rPr>
          <w:rFonts w:hint="eastAsia"/>
          <w:lang w:eastAsia="zh-CN"/>
        </w:rPr>
        <w:t>以便于</w:t>
      </w:r>
      <w:r w:rsidRPr="00E04A5F">
        <w:rPr>
          <w:rFonts w:hint="eastAsia"/>
          <w:lang w:eastAsia="zh-CN"/>
        </w:rPr>
        <w:t>发展中国家</w:t>
      </w:r>
      <w:r w:rsidRPr="000073D4">
        <w:rPr>
          <w:rFonts w:hint="eastAsia"/>
          <w:lang w:eastAsia="zh-CN"/>
        </w:rPr>
        <w:t>的新</w:t>
      </w:r>
      <w:r w:rsidRPr="00E04A5F">
        <w:rPr>
          <w:rFonts w:hint="eastAsia"/>
          <w:lang w:eastAsia="zh-CN"/>
        </w:rPr>
        <w:t>成员</w:t>
      </w:r>
      <w:r w:rsidRPr="000073D4">
        <w:rPr>
          <w:rFonts w:hint="eastAsia"/>
          <w:lang w:eastAsia="zh-CN"/>
        </w:rPr>
        <w:t>加入</w:t>
      </w:r>
      <w:r w:rsidRPr="00E04A5F">
        <w:rPr>
          <w:rFonts w:hint="eastAsia"/>
          <w:lang w:eastAsia="zh-CN"/>
        </w:rPr>
        <w:t>ITU-T</w:t>
      </w:r>
      <w:r w:rsidRPr="00E04A5F">
        <w:rPr>
          <w:rFonts w:hint="eastAsia"/>
          <w:lang w:eastAsia="zh-CN"/>
        </w:rPr>
        <w:t>，并有权参加</w:t>
      </w:r>
      <w:r w:rsidRPr="00E04A5F">
        <w:rPr>
          <w:rFonts w:hint="eastAsia"/>
          <w:lang w:eastAsia="zh-CN"/>
        </w:rPr>
        <w:t>ITU-T</w:t>
      </w:r>
      <w:r w:rsidRPr="00E04A5F">
        <w:rPr>
          <w:rFonts w:hint="eastAsia"/>
          <w:lang w:eastAsia="zh-CN"/>
        </w:rPr>
        <w:t>研究组和其它组的工作，</w:t>
      </w:r>
      <w:r w:rsidRPr="006646B8">
        <w:rPr>
          <w:rFonts w:hint="eastAsia"/>
          <w:spacing w:val="-12"/>
          <w:lang w:eastAsia="zh-CN"/>
        </w:rPr>
        <w:t>同时考虑将其会费水平等同于发展中国家参加国际电联电信发展部门</w:t>
      </w:r>
      <w:r>
        <w:rPr>
          <w:rFonts w:hint="eastAsia"/>
          <w:lang w:eastAsia="zh-CN"/>
        </w:rPr>
        <w:t>（</w:t>
      </w:r>
      <w:r>
        <w:rPr>
          <w:rFonts w:hint="eastAsia"/>
          <w:lang w:eastAsia="zh-CN"/>
        </w:rPr>
        <w:t>ITU-D</w:t>
      </w:r>
      <w:r>
        <w:rPr>
          <w:rFonts w:hint="eastAsia"/>
          <w:lang w:eastAsia="zh-CN"/>
        </w:rPr>
        <w:t>）</w:t>
      </w:r>
      <w:r w:rsidRPr="00E04A5F">
        <w:rPr>
          <w:rFonts w:hint="eastAsia"/>
          <w:lang w:eastAsia="zh-CN"/>
        </w:rPr>
        <w:t>研究组工作的会费水平</w:t>
      </w:r>
      <w:r>
        <w:rPr>
          <w:rFonts w:hint="eastAsia"/>
          <w:lang w:eastAsia="zh-CN"/>
        </w:rPr>
        <w:t>。</w:t>
      </w:r>
    </w:p>
    <w:sectPr w:rsidR="00D1121F" w:rsidSect="000127F2">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0127F2">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0127F2" w:rsidP="000127F2">
    <w:pPr>
      <w:pStyle w:val="Footer"/>
      <w:rPr>
        <w:lang w:val="en-US" w:eastAsia="zh-CN"/>
      </w:rPr>
    </w:pPr>
    <w:r>
      <w:rPr>
        <w:b w:val="0"/>
        <w:noProof w:val="0"/>
        <w:lang w:val="en-US" w:eastAsia="zh-CN"/>
      </w:rPr>
      <w:tab/>
    </w:r>
    <w:r w:rsidR="0061564D">
      <w:rPr>
        <w:rFonts w:hint="eastAsia"/>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74</w:t>
    </w:r>
    <w:r>
      <w:rPr>
        <w:rFonts w:hint="eastAsia"/>
        <w:lang w:val="en-US" w:eastAsia="zh-CN"/>
      </w:rPr>
      <w:t>号决议</w:t>
    </w:r>
    <w:r w:rsidR="0061564D">
      <w:rPr>
        <w:lang w:val="en-US" w:eastAsia="zh-CN"/>
      </w:rPr>
      <w:fldChar w:fldCharType="end"/>
    </w:r>
    <w:r>
      <w:rPr>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0127F2">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0127F2">
      <w:rPr>
        <w:rFonts w:hint="eastAsia"/>
        <w:lang w:val="en-US" w:eastAsia="zh-CN"/>
      </w:rPr>
      <w:t>第</w:t>
    </w:r>
    <w:r w:rsidR="000127F2">
      <w:rPr>
        <w:rFonts w:hint="eastAsia"/>
        <w:lang w:val="en-US" w:eastAsia="zh-CN"/>
      </w:rPr>
      <w:t>74</w:t>
    </w:r>
    <w:r w:rsidR="000127F2">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0127F2">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Pr="003A125E" w:rsidRDefault="0061564D" w:rsidP="00D1121F">
      <w:pPr>
        <w:pStyle w:val="FootnoteText"/>
        <w:rPr>
          <w:szCs w:val="22"/>
          <w:lang w:eastAsia="zh-CN"/>
        </w:rPr>
      </w:pPr>
      <w:r>
        <w:rPr>
          <w:rStyle w:val="FootnoteReference"/>
          <w:lang w:eastAsia="zh-CN"/>
        </w:rPr>
        <w:t>1</w:t>
      </w:r>
      <w:r w:rsidRPr="003A125E">
        <w:rPr>
          <w:rFonts w:hint="eastAsia"/>
          <w:szCs w:val="22"/>
          <w:lang w:eastAsia="zh-CN"/>
        </w:rPr>
        <w:tab/>
      </w:r>
      <w:r w:rsidRPr="003A125E">
        <w:rPr>
          <w:rFonts w:hint="eastAsia"/>
          <w:szCs w:val="22"/>
          <w:lang w:eastAsia="zh-CN"/>
        </w:rPr>
        <w:t>这些发展中国家的部门成员不得为属于任何一个发达国家的部门成员，且仅限于由联合国开发计划署确定的人均收入不超过待定门限值的发展中国家（包括最不发达国家、小岛屿发展中国家、内陆发展中国家和经济转型国家）部门成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127F2"/>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5A8A"/>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6D76"/>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14C7"/>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7CF"/>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443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996b2e75-67fd-4955-a3b0-5ab9934cb50b"/>
    <ds:schemaRef ds:uri="http://schemas.microsoft.com/office/2006/metadata/properties"/>
    <ds:schemaRef ds:uri="http://schemas.microsoft.com/office/2006/documentManagement/types"/>
    <ds:schemaRef ds:uri="http://purl.org/dc/dcmitype/"/>
    <ds:schemaRef ds:uri="http://purl.org/dc/terms/"/>
    <ds:schemaRef ds:uri="32a1a8c5-2265-4ebc-b7a0-2071e2c5c9bb"/>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786FD17E-1B49-4D8E-86FC-49E654CA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3</TotalTime>
  <Pages>5</Pages>
  <Words>859</Words>
  <Characters>218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2013-04-18T09:32:00Z</dcterms:created>
  <dcterms:modified xsi:type="dcterms:W3CDTF">2013-04-18T10:05:00Z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