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20F00" w:rsidTr="00AE5DA1">
        <w:trPr>
          <w:cantSplit/>
        </w:trPr>
        <w:tc>
          <w:tcPr>
            <w:tcW w:w="6911" w:type="dxa"/>
          </w:tcPr>
          <w:p w:rsidR="00BC7BC0" w:rsidRPr="00A20F00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r w:rsidRPr="00A20F00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A20F00">
              <w:rPr>
                <w:b/>
                <w:smallCaps/>
                <w:sz w:val="28"/>
                <w:szCs w:val="28"/>
              </w:rPr>
              <w:t>1</w:t>
            </w:r>
            <w:r w:rsidR="004F250D" w:rsidRPr="00A20F00">
              <w:rPr>
                <w:b/>
                <w:smallCaps/>
                <w:sz w:val="28"/>
                <w:szCs w:val="28"/>
              </w:rPr>
              <w:t>7</w:t>
            </w:r>
            <w:r w:rsidRPr="00A20F00">
              <w:rPr>
                <w:b/>
                <w:smallCaps/>
                <w:sz w:val="24"/>
                <w:szCs w:val="24"/>
              </w:rPr>
              <w:br/>
            </w:r>
            <w:r w:rsidR="00225368" w:rsidRPr="00A20F00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A20F00">
              <w:rPr>
                <w:b/>
                <w:bCs/>
                <w:szCs w:val="22"/>
              </w:rPr>
              <w:t xml:space="preserve">, </w:t>
            </w:r>
            <w:r w:rsidR="004F250D" w:rsidRPr="00A20F00">
              <w:rPr>
                <w:b/>
                <w:bCs/>
                <w:szCs w:val="22"/>
              </w:rPr>
              <w:t>15–</w:t>
            </w:r>
            <w:r w:rsidR="009324B7" w:rsidRPr="00A20F00">
              <w:rPr>
                <w:b/>
                <w:bCs/>
                <w:szCs w:val="22"/>
              </w:rPr>
              <w:t>25</w:t>
            </w:r>
            <w:r w:rsidR="00CD2009" w:rsidRPr="00A20F00">
              <w:rPr>
                <w:b/>
                <w:bCs/>
              </w:rPr>
              <w:t xml:space="preserve"> мая </w:t>
            </w:r>
            <w:r w:rsidR="00225368" w:rsidRPr="00A20F00">
              <w:rPr>
                <w:b/>
                <w:bCs/>
              </w:rPr>
              <w:t>201</w:t>
            </w:r>
            <w:r w:rsidR="004F250D" w:rsidRPr="00A20F00">
              <w:rPr>
                <w:b/>
                <w:bCs/>
              </w:rPr>
              <w:t>7</w:t>
            </w:r>
            <w:r w:rsidR="00225368" w:rsidRPr="00A20F00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20F00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A20F00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20F00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20F00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20F00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A20F00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20F00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20F00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A20F00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20F00" w:rsidRDefault="00BC7BC0" w:rsidP="00654320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A20F00">
              <w:rPr>
                <w:b/>
                <w:bCs/>
                <w:szCs w:val="22"/>
              </w:rPr>
              <w:t>Пункт повестки дня:</w:t>
            </w:r>
            <w:r w:rsidRPr="00A20F00">
              <w:rPr>
                <w:b/>
                <w:bCs/>
                <w:caps/>
                <w:szCs w:val="22"/>
              </w:rPr>
              <w:t xml:space="preserve"> </w:t>
            </w:r>
            <w:r w:rsidR="008E4FD8" w:rsidRPr="00A20F00">
              <w:rPr>
                <w:b/>
                <w:szCs w:val="22"/>
              </w:rPr>
              <w:t xml:space="preserve">ADM </w:t>
            </w:r>
            <w:r w:rsidR="00654320" w:rsidRPr="00A20F00">
              <w:rPr>
                <w:b/>
                <w:szCs w:val="22"/>
              </w:rPr>
              <w:t>9</w:t>
            </w:r>
          </w:p>
        </w:tc>
        <w:tc>
          <w:tcPr>
            <w:tcW w:w="3120" w:type="dxa"/>
          </w:tcPr>
          <w:p w:rsidR="00BC7BC0" w:rsidRPr="00A20F00" w:rsidRDefault="00BC7BC0" w:rsidP="00654320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A20F00">
              <w:rPr>
                <w:b/>
                <w:bCs/>
                <w:szCs w:val="22"/>
              </w:rPr>
              <w:t>Документ C</w:t>
            </w:r>
            <w:r w:rsidR="003F099E" w:rsidRPr="00A20F00">
              <w:rPr>
                <w:b/>
                <w:bCs/>
                <w:szCs w:val="22"/>
              </w:rPr>
              <w:t>1</w:t>
            </w:r>
            <w:r w:rsidR="004F250D" w:rsidRPr="00A20F00">
              <w:rPr>
                <w:b/>
                <w:bCs/>
                <w:szCs w:val="22"/>
              </w:rPr>
              <w:t>7</w:t>
            </w:r>
            <w:r w:rsidRPr="00A20F00">
              <w:rPr>
                <w:b/>
                <w:bCs/>
                <w:szCs w:val="22"/>
              </w:rPr>
              <w:t>/</w:t>
            </w:r>
            <w:r w:rsidR="00654320" w:rsidRPr="00A20F00">
              <w:rPr>
                <w:b/>
                <w:bCs/>
                <w:szCs w:val="22"/>
              </w:rPr>
              <w:t>6</w:t>
            </w:r>
            <w:r w:rsidR="00CF5F2D" w:rsidRPr="00A20F00">
              <w:rPr>
                <w:b/>
                <w:bCs/>
                <w:szCs w:val="22"/>
              </w:rPr>
              <w:t>4</w:t>
            </w:r>
            <w:r w:rsidRPr="00A20F00">
              <w:rPr>
                <w:b/>
                <w:bCs/>
                <w:szCs w:val="22"/>
              </w:rPr>
              <w:t>-R</w:t>
            </w:r>
          </w:p>
        </w:tc>
      </w:tr>
      <w:tr w:rsidR="00BC7BC0" w:rsidRPr="00A20F00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A20F00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A20F00" w:rsidRDefault="00654320" w:rsidP="0065432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20F00">
              <w:rPr>
                <w:b/>
                <w:bCs/>
                <w:szCs w:val="22"/>
              </w:rPr>
              <w:t>21</w:t>
            </w:r>
            <w:r w:rsidR="008E4FD8" w:rsidRPr="00A20F00">
              <w:rPr>
                <w:b/>
                <w:bCs/>
                <w:szCs w:val="22"/>
              </w:rPr>
              <w:t xml:space="preserve"> </w:t>
            </w:r>
            <w:r w:rsidRPr="00A20F00">
              <w:rPr>
                <w:b/>
                <w:bCs/>
                <w:szCs w:val="22"/>
              </w:rPr>
              <w:t>февраля</w:t>
            </w:r>
            <w:r w:rsidR="00BC7BC0" w:rsidRPr="00A20F00">
              <w:rPr>
                <w:b/>
                <w:bCs/>
                <w:szCs w:val="22"/>
              </w:rPr>
              <w:t xml:space="preserve"> 20</w:t>
            </w:r>
            <w:r w:rsidR="003F099E" w:rsidRPr="00A20F00">
              <w:rPr>
                <w:b/>
                <w:bCs/>
                <w:szCs w:val="22"/>
              </w:rPr>
              <w:t>1</w:t>
            </w:r>
            <w:r w:rsidR="008B3EA4" w:rsidRPr="00A20F00">
              <w:rPr>
                <w:b/>
                <w:bCs/>
                <w:szCs w:val="22"/>
              </w:rPr>
              <w:t>7</w:t>
            </w:r>
            <w:r w:rsidR="00BC7BC0" w:rsidRPr="00A20F00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A20F00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A20F00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A20F00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20F00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A20F00" w:rsidTr="00AE5DA1">
        <w:trPr>
          <w:cantSplit/>
        </w:trPr>
        <w:tc>
          <w:tcPr>
            <w:tcW w:w="10031" w:type="dxa"/>
            <w:gridSpan w:val="2"/>
          </w:tcPr>
          <w:p w:rsidR="00BC7BC0" w:rsidRPr="00A20F00" w:rsidRDefault="009324B7" w:rsidP="00AE5DA1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A20F00">
              <w:t>Отчет</w:t>
            </w:r>
            <w:r w:rsidR="00BC7BC0" w:rsidRPr="00A20F00">
              <w:t xml:space="preserve"> Генерального секретаря</w:t>
            </w:r>
          </w:p>
        </w:tc>
      </w:tr>
      <w:tr w:rsidR="00BC7BC0" w:rsidRPr="00A20F00" w:rsidTr="00AE5DA1">
        <w:trPr>
          <w:cantSplit/>
        </w:trPr>
        <w:tc>
          <w:tcPr>
            <w:tcW w:w="10031" w:type="dxa"/>
            <w:gridSpan w:val="2"/>
          </w:tcPr>
          <w:p w:rsidR="00BC7BC0" w:rsidRPr="00A20F00" w:rsidRDefault="008F4422" w:rsidP="004720D4">
            <w:pPr>
              <w:pStyle w:val="Title1"/>
            </w:pPr>
            <w:bookmarkStart w:id="2" w:name="dtitle3" w:colFirst="0" w:colLast="0"/>
            <w:bookmarkEnd w:id="1"/>
            <w:r w:rsidRPr="00A20F00">
              <w:rPr>
                <w:sz w:val="28"/>
                <w:szCs w:val="28"/>
              </w:rPr>
              <w:t>система</w:t>
            </w:r>
            <w:r w:rsidR="004720D4" w:rsidRPr="00A20F00">
              <w:rPr>
                <w:sz w:val="28"/>
                <w:szCs w:val="28"/>
              </w:rPr>
              <w:t xml:space="preserve"> подотчетности и прозрачности</w:t>
            </w:r>
            <w:r w:rsidR="00654320" w:rsidRPr="00A20F00">
              <w:rPr>
                <w:sz w:val="28"/>
                <w:szCs w:val="28"/>
              </w:rPr>
              <w:br/>
            </w:r>
            <w:r w:rsidR="004720D4" w:rsidRPr="00A20F00">
              <w:rPr>
                <w:sz w:val="28"/>
                <w:szCs w:val="28"/>
              </w:rPr>
              <w:t>международный союз электросвязи</w:t>
            </w:r>
          </w:p>
        </w:tc>
      </w:tr>
      <w:bookmarkEnd w:id="2"/>
    </w:tbl>
    <w:p w:rsidR="002D2F57" w:rsidRPr="00A20F00" w:rsidRDefault="002D2F57" w:rsidP="00CE798C">
      <w:pPr>
        <w:pStyle w:val="Normalaftertitle"/>
      </w:pPr>
    </w:p>
    <w:tbl>
      <w:tblPr>
        <w:tblW w:w="8061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1"/>
      </w:tblGrid>
      <w:tr w:rsidR="002D2F57" w:rsidRPr="00A20F00" w:rsidTr="00F01F72">
        <w:trPr>
          <w:trHeight w:val="2597"/>
        </w:trPr>
        <w:tc>
          <w:tcPr>
            <w:tcW w:w="8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A20F00" w:rsidRDefault="002D2F57" w:rsidP="00501C41">
            <w:pPr>
              <w:pStyle w:val="Headingb"/>
            </w:pPr>
            <w:r w:rsidRPr="00A20F00">
              <w:t>Резюме</w:t>
            </w:r>
          </w:p>
          <w:p w:rsidR="008E4FD8" w:rsidRPr="00A20F00" w:rsidRDefault="004720D4" w:rsidP="00F01F72">
            <w:pPr>
              <w:rPr>
                <w:lang w:eastAsia="zh-CN"/>
              </w:rPr>
            </w:pPr>
            <w:r w:rsidRPr="00A20F00">
              <w:t>Анализ управления в МСЭ,</w:t>
            </w:r>
            <w:r w:rsidR="00654320" w:rsidRPr="00A20F00">
              <w:t xml:space="preserve"> </w:t>
            </w:r>
            <w:r w:rsidRPr="00A20F00">
              <w:t>предпринятый ОИГ в</w:t>
            </w:r>
            <w:r w:rsidR="00654320" w:rsidRPr="00A20F00">
              <w:t xml:space="preserve"> 2015</w:t>
            </w:r>
            <w:r w:rsidRPr="00A20F00">
              <w:t xml:space="preserve"> </w:t>
            </w:r>
            <w:r w:rsidRPr="00A20F00">
              <w:rPr>
                <w:rFonts w:asciiTheme="minorHAnsi" w:hAnsiTheme="minorHAnsi"/>
              </w:rPr>
              <w:t>году</w:t>
            </w:r>
            <w:r w:rsidR="00654320" w:rsidRPr="00A20F00">
              <w:rPr>
                <w:rFonts w:asciiTheme="minorHAnsi" w:hAnsiTheme="minorHAnsi"/>
              </w:rPr>
              <w:t xml:space="preserve"> (</w:t>
            </w:r>
            <w:hyperlink r:id="rId9" w:history="1">
              <w:r w:rsidR="00654320" w:rsidRPr="00A20F00">
                <w:rPr>
                  <w:rStyle w:val="Hyperlink"/>
                  <w:rFonts w:asciiTheme="minorHAnsi" w:hAnsiTheme="minorHAnsi" w:cstheme="majorBidi"/>
                  <w:szCs w:val="22"/>
                </w:rPr>
                <w:t>JIU/REP/2016/1</w:t>
              </w:r>
            </w:hyperlink>
            <w:r w:rsidR="00654320" w:rsidRPr="00A20F00">
              <w:rPr>
                <w:rFonts w:asciiTheme="minorHAnsi" w:hAnsiTheme="minorHAnsi"/>
              </w:rPr>
              <w:t>)</w:t>
            </w:r>
            <w:r w:rsidRPr="00A20F00">
              <w:rPr>
                <w:rFonts w:asciiTheme="minorHAnsi" w:hAnsiTheme="minorHAnsi"/>
              </w:rPr>
              <w:t>,</w:t>
            </w:r>
            <w:r w:rsidR="00654320" w:rsidRPr="00A20F00">
              <w:t xml:space="preserve"> </w:t>
            </w:r>
            <w:r w:rsidRPr="00A20F00">
              <w:t>включает</w:t>
            </w:r>
            <w:r w:rsidR="00654320" w:rsidRPr="00A20F00">
              <w:t xml:space="preserve"> </w:t>
            </w:r>
            <w:r w:rsidRPr="00A20F00">
              <w:t>официальную рекомендацию</w:t>
            </w:r>
            <w:r w:rsidR="00654320" w:rsidRPr="00A20F00">
              <w:t xml:space="preserve">, </w:t>
            </w:r>
            <w:r w:rsidR="00BD6E5C" w:rsidRPr="00A20F00">
              <w:t>принятую руководством МСЭ</w:t>
            </w:r>
            <w:r w:rsidR="00654320" w:rsidRPr="00A20F00">
              <w:t xml:space="preserve">, </w:t>
            </w:r>
            <w:r w:rsidR="00BD6E5C" w:rsidRPr="00A20F00">
              <w:t>о том, что</w:t>
            </w:r>
            <w:r w:rsidR="00654320" w:rsidRPr="00A20F00">
              <w:t xml:space="preserve"> </w:t>
            </w:r>
            <w:r w:rsidR="00F01F72" w:rsidRPr="00A20F00">
              <w:t>"</w:t>
            </w:r>
            <w:r w:rsidR="00BD6E5C" w:rsidRPr="00A20F00">
              <w:rPr>
                <w:color w:val="000000"/>
              </w:rPr>
              <w:t>Генеральному секретарю следует далее разраб</w:t>
            </w:r>
            <w:r w:rsidR="00D909E3" w:rsidRPr="00A20F00">
              <w:rPr>
                <w:color w:val="000000"/>
              </w:rPr>
              <w:t>ота</w:t>
            </w:r>
            <w:r w:rsidR="00BD6E5C" w:rsidRPr="00A20F00">
              <w:rPr>
                <w:color w:val="000000"/>
              </w:rPr>
              <w:t xml:space="preserve">ть и </w:t>
            </w:r>
            <w:r w:rsidR="00D909E3" w:rsidRPr="00A20F00">
              <w:rPr>
                <w:color w:val="000000"/>
              </w:rPr>
              <w:t>объединить</w:t>
            </w:r>
            <w:r w:rsidR="00BD6E5C" w:rsidRPr="00A20F00">
              <w:rPr>
                <w:color w:val="000000"/>
              </w:rPr>
              <w:t xml:space="preserve"> </w:t>
            </w:r>
            <w:r w:rsidR="00D909E3" w:rsidRPr="00A20F00">
              <w:rPr>
                <w:color w:val="000000"/>
              </w:rPr>
              <w:t>гла</w:t>
            </w:r>
            <w:r w:rsidR="00BD6E5C" w:rsidRPr="00A20F00">
              <w:rPr>
                <w:color w:val="000000"/>
              </w:rPr>
              <w:t xml:space="preserve">вные элементы подотчетности в </w:t>
            </w:r>
            <w:r w:rsidR="00D909E3" w:rsidRPr="00A20F00">
              <w:rPr>
                <w:color w:val="000000"/>
              </w:rPr>
              <w:t>самостоятельную</w:t>
            </w:r>
            <w:r w:rsidR="00BD6E5C" w:rsidRPr="00A20F00">
              <w:rPr>
                <w:color w:val="000000"/>
              </w:rPr>
              <w:t xml:space="preserve"> </w:t>
            </w:r>
            <w:r w:rsidR="008F4422" w:rsidRPr="00A20F00">
              <w:rPr>
                <w:color w:val="000000"/>
              </w:rPr>
              <w:t xml:space="preserve">систему </w:t>
            </w:r>
            <w:r w:rsidR="00BD6E5C" w:rsidRPr="00A20F00">
              <w:rPr>
                <w:color w:val="000000"/>
              </w:rPr>
              <w:t xml:space="preserve">подотчетности, представить </w:t>
            </w:r>
            <w:r w:rsidR="00D909E3" w:rsidRPr="00A20F00">
              <w:rPr>
                <w:color w:val="000000"/>
              </w:rPr>
              <w:t>ее</w:t>
            </w:r>
            <w:r w:rsidR="00BD6E5C" w:rsidRPr="00A20F00">
              <w:rPr>
                <w:color w:val="000000"/>
              </w:rPr>
              <w:t xml:space="preserve"> Совету на его сессии 2017 года и ежегодно отчитываться о </w:t>
            </w:r>
            <w:r w:rsidR="00D909E3" w:rsidRPr="00A20F00">
              <w:rPr>
                <w:color w:val="000000"/>
              </w:rPr>
              <w:t>ее</w:t>
            </w:r>
            <w:r w:rsidR="00BD6E5C" w:rsidRPr="00A20F00">
              <w:rPr>
                <w:color w:val="000000"/>
              </w:rPr>
              <w:t xml:space="preserve"> реализации</w:t>
            </w:r>
            <w:r w:rsidR="00F01F72" w:rsidRPr="00A20F00">
              <w:rPr>
                <w:color w:val="000000"/>
              </w:rPr>
              <w:t>"</w:t>
            </w:r>
            <w:r w:rsidR="00654320" w:rsidRPr="00A20F00">
              <w:t>.</w:t>
            </w:r>
          </w:p>
          <w:p w:rsidR="008E4FD8" w:rsidRPr="00A20F00" w:rsidRDefault="008E4FD8" w:rsidP="00501C41">
            <w:pPr>
              <w:pStyle w:val="Headingb"/>
            </w:pPr>
            <w:r w:rsidRPr="00A20F00">
              <w:t>Необходимые действия</w:t>
            </w:r>
          </w:p>
          <w:p w:rsidR="008E4FD8" w:rsidRPr="00A20F00" w:rsidRDefault="00D909E3" w:rsidP="00501C41">
            <w:r w:rsidRPr="00A20F00">
              <w:t>Совету предлагается</w:t>
            </w:r>
            <w:r w:rsidR="00654320" w:rsidRPr="00A20F00">
              <w:t xml:space="preserve"> </w:t>
            </w:r>
            <w:r w:rsidRPr="00A20F00">
              <w:rPr>
                <w:b/>
                <w:bCs/>
              </w:rPr>
              <w:t>принять к сведению</w:t>
            </w:r>
            <w:r w:rsidR="00654320" w:rsidRPr="00A20F00">
              <w:t xml:space="preserve"> </w:t>
            </w:r>
            <w:r w:rsidRPr="00A20F00">
              <w:t xml:space="preserve">реализацию </w:t>
            </w:r>
            <w:r w:rsidR="008F4422" w:rsidRPr="00A20F00">
              <w:t>системы</w:t>
            </w:r>
            <w:r w:rsidRPr="00A20F00">
              <w:t xml:space="preserve"> подотчетности и прозрачности МСЭ</w:t>
            </w:r>
            <w:r w:rsidR="00654320" w:rsidRPr="00A20F00">
              <w:t>.</w:t>
            </w:r>
          </w:p>
          <w:p w:rsidR="008E4FD8" w:rsidRPr="00A20F00" w:rsidRDefault="008E4FD8" w:rsidP="008E4FD8">
            <w:pPr>
              <w:jc w:val="center"/>
              <w:rPr>
                <w:rFonts w:asciiTheme="majorBidi" w:hAnsiTheme="majorBidi" w:cstheme="majorBidi"/>
                <w:caps/>
                <w:szCs w:val="22"/>
              </w:rPr>
            </w:pPr>
            <w:r w:rsidRPr="00A20F00">
              <w:rPr>
                <w:rFonts w:asciiTheme="majorBidi" w:hAnsiTheme="majorBidi" w:cstheme="majorBidi"/>
                <w:szCs w:val="22"/>
              </w:rPr>
              <w:t>____________</w:t>
            </w:r>
          </w:p>
          <w:p w:rsidR="008E4FD8" w:rsidRPr="00A20F00" w:rsidRDefault="008E4FD8" w:rsidP="00501C41">
            <w:pPr>
              <w:pStyle w:val="Headingb"/>
            </w:pPr>
            <w:r w:rsidRPr="00A20F00">
              <w:t>Справочные материалы</w:t>
            </w:r>
          </w:p>
          <w:p w:rsidR="002D2F57" w:rsidRPr="00A20F00" w:rsidRDefault="00E63B8E" w:rsidP="00224907">
            <w:pPr>
              <w:spacing w:after="120"/>
              <w:rPr>
                <w:rFonts w:asciiTheme="minorHAnsi" w:hAnsiTheme="minorHAnsi" w:cstheme="majorBidi"/>
                <w:i/>
                <w:iCs/>
              </w:rPr>
            </w:pPr>
            <w:hyperlink r:id="rId10" w:history="1">
              <w:r w:rsidR="00654320" w:rsidRPr="00A20F00">
                <w:rPr>
                  <w:rStyle w:val="Hyperlink"/>
                  <w:rFonts w:asciiTheme="minorHAnsi" w:hAnsiTheme="minorHAnsi" w:cstheme="majorBidi"/>
                  <w:i/>
                  <w:iCs/>
                  <w:szCs w:val="22"/>
                </w:rPr>
                <w:t>JIU/REP/2011/5</w:t>
              </w:r>
            </w:hyperlink>
            <w:r w:rsidR="00654320" w:rsidRPr="00A20F00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 xml:space="preserve">, </w:t>
            </w:r>
            <w:hyperlink r:id="rId11" w:history="1">
              <w:r w:rsidR="00654320" w:rsidRPr="00A20F00">
                <w:rPr>
                  <w:rStyle w:val="Hyperlink"/>
                  <w:rFonts w:asciiTheme="minorHAnsi" w:hAnsiTheme="minorHAnsi" w:cstheme="majorBidi"/>
                  <w:i/>
                  <w:iCs/>
                  <w:szCs w:val="22"/>
                </w:rPr>
                <w:t>JIU/REP/2016/1</w:t>
              </w:r>
            </w:hyperlink>
            <w:r w:rsidR="00654320" w:rsidRPr="00A20F00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 xml:space="preserve"> </w:t>
            </w:r>
            <w:r w:rsidR="00224907" w:rsidRPr="00A20F00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>и</w:t>
            </w:r>
            <w:r w:rsidR="00654320" w:rsidRPr="00A20F00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 xml:space="preserve"> </w:t>
            </w:r>
            <w:hyperlink r:id="rId12" w:history="1">
              <w:r w:rsidR="00224907" w:rsidRPr="00A20F00">
                <w:rPr>
                  <w:rStyle w:val="Hyperlink"/>
                  <w:rFonts w:asciiTheme="minorHAnsi" w:hAnsiTheme="minorHAnsi" w:cstheme="majorBidi"/>
                  <w:i/>
                  <w:iCs/>
                  <w:szCs w:val="22"/>
                </w:rPr>
                <w:t>Резолюция</w:t>
              </w:r>
              <w:r w:rsidR="00654320" w:rsidRPr="00A20F00">
                <w:rPr>
                  <w:rStyle w:val="Hyperlink"/>
                  <w:rFonts w:asciiTheme="minorHAnsi" w:hAnsiTheme="minorHAnsi" w:cstheme="majorBidi"/>
                  <w:i/>
                  <w:iCs/>
                  <w:szCs w:val="22"/>
                </w:rPr>
                <w:t xml:space="preserve"> 64/259</w:t>
              </w:r>
            </w:hyperlink>
            <w:r w:rsidR="00224907" w:rsidRPr="00A20F00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szCs w:val="22"/>
                <w:u w:val="none"/>
              </w:rPr>
              <w:t xml:space="preserve"> Генеральной Ассамблеи ООН</w:t>
            </w:r>
          </w:p>
        </w:tc>
      </w:tr>
    </w:tbl>
    <w:p w:rsidR="00654320" w:rsidRPr="00A20F00" w:rsidRDefault="00654320" w:rsidP="00501C41">
      <w:pPr>
        <w:pStyle w:val="Heading1"/>
        <w:rPr>
          <w:rFonts w:asciiTheme="minorHAnsi" w:hAnsiTheme="minorHAnsi"/>
        </w:rPr>
      </w:pPr>
      <w:r w:rsidRPr="00A20F00">
        <w:rPr>
          <w:rFonts w:asciiTheme="minorHAnsi" w:hAnsiTheme="minorHAnsi"/>
        </w:rPr>
        <w:t>I</w:t>
      </w:r>
      <w:r w:rsidR="00501C41" w:rsidRPr="00A20F00">
        <w:rPr>
          <w:rFonts w:asciiTheme="minorHAnsi" w:hAnsiTheme="minorHAnsi"/>
        </w:rPr>
        <w:tab/>
      </w:r>
      <w:r w:rsidR="00224907" w:rsidRPr="00A20F00">
        <w:rPr>
          <w:rFonts w:asciiTheme="minorHAnsi" w:hAnsiTheme="minorHAnsi"/>
        </w:rPr>
        <w:t>Базовая информация</w:t>
      </w:r>
    </w:p>
    <w:p w:rsidR="00654320" w:rsidRPr="00A20F00" w:rsidRDefault="00501C41" w:rsidP="00F01F72">
      <w:pPr>
        <w:rPr>
          <w:rFonts w:asciiTheme="minorHAnsi" w:hAnsiTheme="minorHAnsi"/>
        </w:rPr>
      </w:pPr>
      <w:r w:rsidRPr="00A20F00">
        <w:rPr>
          <w:rFonts w:asciiTheme="minorHAnsi" w:hAnsiTheme="minorHAnsi"/>
        </w:rPr>
        <w:t>1</w:t>
      </w:r>
      <w:r w:rsidR="00654320" w:rsidRPr="00A20F00">
        <w:rPr>
          <w:rFonts w:asciiTheme="minorHAnsi" w:hAnsiTheme="minorHAnsi"/>
        </w:rPr>
        <w:tab/>
      </w:r>
      <w:r w:rsidR="00224907" w:rsidRPr="00A20F00">
        <w:rPr>
          <w:rFonts w:asciiTheme="minorHAnsi" w:hAnsiTheme="minorHAnsi"/>
        </w:rPr>
        <w:t>Объединенная инспекционная группа</w:t>
      </w:r>
      <w:r w:rsidR="00654320" w:rsidRPr="00A20F00">
        <w:rPr>
          <w:rFonts w:asciiTheme="minorHAnsi" w:hAnsiTheme="minorHAnsi"/>
        </w:rPr>
        <w:t xml:space="preserve"> (</w:t>
      </w:r>
      <w:r w:rsidR="00224907" w:rsidRPr="00A20F00">
        <w:rPr>
          <w:rFonts w:asciiTheme="minorHAnsi" w:hAnsiTheme="minorHAnsi"/>
        </w:rPr>
        <w:t>ОИГ</w:t>
      </w:r>
      <w:r w:rsidR="00654320" w:rsidRPr="00A20F00">
        <w:rPr>
          <w:rFonts w:asciiTheme="minorHAnsi" w:hAnsiTheme="minorHAnsi"/>
        </w:rPr>
        <w:t xml:space="preserve">) </w:t>
      </w:r>
      <w:r w:rsidR="00224907" w:rsidRPr="00A20F00">
        <w:rPr>
          <w:rFonts w:asciiTheme="minorHAnsi" w:hAnsiTheme="minorHAnsi"/>
        </w:rPr>
        <w:t>в своем отчете</w:t>
      </w:r>
      <w:r w:rsidR="00654320" w:rsidRPr="00A20F00">
        <w:rPr>
          <w:rFonts w:asciiTheme="minorHAnsi" w:hAnsiTheme="minorHAnsi"/>
        </w:rPr>
        <w:t xml:space="preserve"> 2011 </w:t>
      </w:r>
      <w:r w:rsidR="00224907" w:rsidRPr="00A20F00">
        <w:rPr>
          <w:rFonts w:asciiTheme="minorHAnsi" w:hAnsiTheme="minorHAnsi"/>
        </w:rPr>
        <w:t>года</w:t>
      </w:r>
      <w:r w:rsidR="00654320" w:rsidRPr="00A20F00">
        <w:rPr>
          <w:rFonts w:asciiTheme="minorHAnsi" w:hAnsiTheme="minorHAnsi"/>
        </w:rPr>
        <w:t xml:space="preserve"> </w:t>
      </w:r>
      <w:r w:rsidR="00F01F72" w:rsidRPr="00A20F00">
        <w:rPr>
          <w:rFonts w:asciiTheme="minorHAnsi" w:hAnsiTheme="minorHAnsi"/>
        </w:rPr>
        <w:t>"</w:t>
      </w:r>
      <w:r w:rsidR="00C56BA8" w:rsidRPr="00A20F00">
        <w:rPr>
          <w:rFonts w:asciiTheme="minorHAnsi" w:hAnsiTheme="minorHAnsi"/>
          <w:color w:val="000000"/>
        </w:rPr>
        <w:t>Система подотчетности в</w:t>
      </w:r>
      <w:r w:rsidR="00224907" w:rsidRPr="00A20F00">
        <w:rPr>
          <w:rFonts w:asciiTheme="minorHAnsi" w:hAnsiTheme="minorHAnsi"/>
          <w:color w:val="000000"/>
        </w:rPr>
        <w:t xml:space="preserve"> </w:t>
      </w:r>
      <w:r w:rsidR="00F01F72" w:rsidRPr="00A20F00">
        <w:rPr>
          <w:rFonts w:asciiTheme="minorHAnsi" w:hAnsiTheme="minorHAnsi"/>
          <w:color w:val="000000"/>
        </w:rPr>
        <w:t>рамках системы</w:t>
      </w:r>
      <w:r w:rsidR="00224907" w:rsidRPr="00A20F00">
        <w:rPr>
          <w:rFonts w:asciiTheme="minorHAnsi" w:hAnsiTheme="minorHAnsi"/>
          <w:color w:val="000000"/>
        </w:rPr>
        <w:t xml:space="preserve"> Организации Объединенных Наций</w:t>
      </w:r>
      <w:r w:rsidR="00F01F72" w:rsidRPr="00A20F00">
        <w:rPr>
          <w:rFonts w:asciiTheme="minorHAnsi" w:hAnsiTheme="minorHAnsi"/>
          <w:color w:val="000000"/>
        </w:rPr>
        <w:t>"</w:t>
      </w:r>
      <w:r w:rsidR="00654320" w:rsidRPr="00A20F00">
        <w:rPr>
          <w:rFonts w:asciiTheme="minorHAnsi" w:hAnsiTheme="minorHAnsi"/>
        </w:rPr>
        <w:t xml:space="preserve"> (</w:t>
      </w:r>
      <w:hyperlink r:id="rId13" w:history="1">
        <w:r w:rsidR="00654320" w:rsidRPr="00A20F00">
          <w:rPr>
            <w:rStyle w:val="Hyperlink"/>
            <w:rFonts w:asciiTheme="minorHAnsi" w:hAnsiTheme="minorHAnsi" w:cstheme="majorBidi"/>
            <w:szCs w:val="22"/>
          </w:rPr>
          <w:t>JIU/REP/2011/5</w:t>
        </w:r>
      </w:hyperlink>
      <w:r w:rsidR="00654320" w:rsidRPr="00A20F00">
        <w:rPr>
          <w:rFonts w:asciiTheme="minorHAnsi" w:hAnsiTheme="minorHAnsi"/>
        </w:rPr>
        <w:t xml:space="preserve">) </w:t>
      </w:r>
      <w:r w:rsidR="00224907" w:rsidRPr="00A20F00">
        <w:rPr>
          <w:rFonts w:asciiTheme="minorHAnsi" w:hAnsiTheme="minorHAnsi"/>
        </w:rPr>
        <w:t>рекомендовала</w:t>
      </w:r>
      <w:r w:rsidR="00654320" w:rsidRPr="00A20F00">
        <w:rPr>
          <w:rFonts w:asciiTheme="minorHAnsi" w:hAnsiTheme="minorHAnsi"/>
        </w:rPr>
        <w:t xml:space="preserve"> </w:t>
      </w:r>
      <w:r w:rsidR="00224907" w:rsidRPr="00A20F00">
        <w:rPr>
          <w:rFonts w:asciiTheme="minorHAnsi" w:hAnsiTheme="minorHAnsi"/>
          <w:color w:val="000000"/>
        </w:rPr>
        <w:t xml:space="preserve">руководителям организаций системы Организации Объединенных Наций разработать </w:t>
      </w:r>
      <w:r w:rsidR="004B072B" w:rsidRPr="00A20F00">
        <w:rPr>
          <w:rFonts w:asciiTheme="minorHAnsi" w:hAnsiTheme="minorHAnsi"/>
        </w:rPr>
        <w:t>в приоритетном порядке</w:t>
      </w:r>
      <w:r w:rsidR="00654320" w:rsidRPr="00A20F00">
        <w:rPr>
          <w:rFonts w:asciiTheme="minorHAnsi" w:hAnsiTheme="minorHAnsi"/>
        </w:rPr>
        <w:t xml:space="preserve"> </w:t>
      </w:r>
      <w:r w:rsidR="00C56BA8" w:rsidRPr="00A20F00">
        <w:rPr>
          <w:rFonts w:asciiTheme="minorHAnsi" w:hAnsiTheme="minorHAnsi"/>
        </w:rPr>
        <w:t>систему</w:t>
      </w:r>
      <w:r w:rsidR="004B072B" w:rsidRPr="00A20F00">
        <w:rPr>
          <w:rFonts w:asciiTheme="minorHAnsi" w:hAnsiTheme="minorHAnsi"/>
        </w:rPr>
        <w:t xml:space="preserve"> подотчетности</w:t>
      </w:r>
      <w:r w:rsidR="00654320" w:rsidRPr="00A20F00">
        <w:rPr>
          <w:rFonts w:asciiTheme="minorHAnsi" w:hAnsiTheme="minorHAnsi"/>
        </w:rPr>
        <w:t xml:space="preserve">. </w:t>
      </w:r>
      <w:r w:rsidR="004B072B" w:rsidRPr="00A20F00">
        <w:rPr>
          <w:rFonts w:asciiTheme="minorHAnsi" w:hAnsiTheme="minorHAnsi"/>
        </w:rPr>
        <w:t>Анализ управления в МСЭ, предпринятый ОИГ в 2015 году (</w:t>
      </w:r>
      <w:hyperlink r:id="rId14" w:history="1">
        <w:r w:rsidR="004B072B" w:rsidRPr="00A20F00">
          <w:rPr>
            <w:rStyle w:val="Hyperlink"/>
            <w:rFonts w:asciiTheme="minorHAnsi" w:hAnsiTheme="minorHAnsi" w:cstheme="majorBidi"/>
            <w:szCs w:val="22"/>
          </w:rPr>
          <w:t>JIU/REP/2016/1</w:t>
        </w:r>
      </w:hyperlink>
      <w:r w:rsidR="004B072B" w:rsidRPr="00A20F00">
        <w:rPr>
          <w:rFonts w:asciiTheme="minorHAnsi" w:hAnsiTheme="minorHAnsi"/>
        </w:rPr>
        <w:t xml:space="preserve">), </w:t>
      </w:r>
      <w:r w:rsidR="00C56BA8" w:rsidRPr="00A20F00">
        <w:rPr>
          <w:rFonts w:asciiTheme="minorHAnsi" w:hAnsiTheme="minorHAnsi"/>
        </w:rPr>
        <w:t xml:space="preserve">включает официальную рекомендацию, принятую руководством МСЭ, о том, что </w:t>
      </w:r>
      <w:r w:rsidR="00F01F72" w:rsidRPr="00A20F00">
        <w:rPr>
          <w:rFonts w:asciiTheme="minorHAnsi" w:hAnsiTheme="minorHAnsi"/>
        </w:rPr>
        <w:t>"</w:t>
      </w:r>
      <w:r w:rsidR="00C56BA8" w:rsidRPr="00A20F00">
        <w:rPr>
          <w:rFonts w:asciiTheme="minorHAnsi" w:hAnsiTheme="minorHAnsi"/>
          <w:color w:val="000000"/>
        </w:rPr>
        <w:t>Генеральному секретарю следует далее разработать и объединить главные элементы подотчетности в самостоятельную систему подотчетности, представить ее Совету на его сессии 2017 года и ежегодно отчитываться о ее реализации</w:t>
      </w:r>
      <w:r w:rsidR="00F01F72" w:rsidRPr="00A20F00">
        <w:rPr>
          <w:rFonts w:asciiTheme="minorHAnsi" w:hAnsiTheme="minorHAnsi"/>
          <w:color w:val="000000"/>
        </w:rPr>
        <w:t>"</w:t>
      </w:r>
      <w:r w:rsidR="00654320" w:rsidRPr="00A20F00">
        <w:rPr>
          <w:rFonts w:asciiTheme="minorHAnsi" w:hAnsiTheme="minorHAnsi"/>
        </w:rPr>
        <w:t>.</w:t>
      </w:r>
    </w:p>
    <w:p w:rsidR="00654320" w:rsidRPr="00A20F00" w:rsidRDefault="00654320" w:rsidP="00501C41">
      <w:pPr>
        <w:pStyle w:val="Heading1"/>
        <w:rPr>
          <w:rFonts w:asciiTheme="minorHAnsi" w:hAnsiTheme="minorHAnsi"/>
        </w:rPr>
      </w:pPr>
      <w:r w:rsidRPr="00A20F00">
        <w:rPr>
          <w:rFonts w:asciiTheme="minorHAnsi" w:hAnsiTheme="minorHAnsi"/>
        </w:rPr>
        <w:t>II</w:t>
      </w:r>
      <w:r w:rsidR="00501C41" w:rsidRPr="00A20F00">
        <w:rPr>
          <w:rFonts w:asciiTheme="minorHAnsi" w:hAnsiTheme="minorHAnsi"/>
        </w:rPr>
        <w:tab/>
      </w:r>
      <w:r w:rsidR="00673FDB" w:rsidRPr="00A20F00">
        <w:rPr>
          <w:rFonts w:asciiTheme="minorHAnsi" w:hAnsiTheme="minorHAnsi"/>
        </w:rPr>
        <w:t>Введение</w:t>
      </w:r>
    </w:p>
    <w:p w:rsidR="008F4422" w:rsidRPr="00A20F00" w:rsidRDefault="00501C41" w:rsidP="00501C41">
      <w:pPr>
        <w:rPr>
          <w:rFonts w:asciiTheme="minorHAnsi" w:hAnsiTheme="minorHAnsi"/>
          <w:i/>
          <w:iCs/>
        </w:rPr>
      </w:pPr>
      <w:r w:rsidRPr="00A20F00">
        <w:rPr>
          <w:rFonts w:asciiTheme="minorHAnsi" w:hAnsiTheme="minorHAnsi"/>
        </w:rPr>
        <w:t>2</w:t>
      </w:r>
      <w:r w:rsidR="00654320" w:rsidRPr="00A20F00">
        <w:rPr>
          <w:rFonts w:asciiTheme="minorHAnsi" w:hAnsiTheme="minorHAnsi"/>
        </w:rPr>
        <w:tab/>
      </w:r>
      <w:r w:rsidR="008F4422" w:rsidRPr="00A20F00">
        <w:rPr>
          <w:rFonts w:asciiTheme="minorHAnsi" w:hAnsiTheme="minorHAnsi"/>
        </w:rPr>
        <w:t>Понятие подотчетности определено</w:t>
      </w:r>
      <w:r w:rsidR="00654320" w:rsidRPr="00A20F00">
        <w:rPr>
          <w:rFonts w:asciiTheme="minorHAnsi" w:hAnsiTheme="minorHAnsi"/>
        </w:rPr>
        <w:t xml:space="preserve"> </w:t>
      </w:r>
      <w:r w:rsidR="008F4422" w:rsidRPr="00A20F00">
        <w:rPr>
          <w:rFonts w:asciiTheme="minorHAnsi" w:hAnsiTheme="minorHAnsi"/>
        </w:rPr>
        <w:t>в</w:t>
      </w:r>
      <w:r w:rsidR="00654320" w:rsidRPr="00A20F00">
        <w:rPr>
          <w:rFonts w:asciiTheme="minorHAnsi" w:hAnsiTheme="minorHAnsi"/>
        </w:rPr>
        <w:t xml:space="preserve"> </w:t>
      </w:r>
      <w:hyperlink r:id="rId15" w:history="1">
        <w:r w:rsidR="008F4422" w:rsidRPr="00A20F00">
          <w:rPr>
            <w:rStyle w:val="Hyperlink"/>
            <w:rFonts w:asciiTheme="minorHAnsi" w:hAnsiTheme="minorHAnsi" w:cstheme="majorBidi"/>
            <w:szCs w:val="22"/>
          </w:rPr>
          <w:t>Резолюции</w:t>
        </w:r>
        <w:r w:rsidR="00654320" w:rsidRPr="00A20F00">
          <w:rPr>
            <w:rStyle w:val="Hyperlink"/>
            <w:rFonts w:asciiTheme="minorHAnsi" w:hAnsiTheme="minorHAnsi" w:cstheme="majorBidi"/>
            <w:szCs w:val="22"/>
          </w:rPr>
          <w:t xml:space="preserve"> 64/259</w:t>
        </w:r>
      </w:hyperlink>
      <w:r w:rsidR="008F4422" w:rsidRPr="00A20F00">
        <w:rPr>
          <w:rStyle w:val="Hyperlink"/>
          <w:rFonts w:asciiTheme="minorHAnsi" w:hAnsiTheme="minorHAnsi" w:cstheme="majorBidi"/>
          <w:color w:val="auto"/>
          <w:szCs w:val="22"/>
          <w:u w:val="none"/>
        </w:rPr>
        <w:t xml:space="preserve"> Генеральной Ассамблеи ООН</w:t>
      </w:r>
      <w:r w:rsidR="00654320" w:rsidRPr="00A20F00">
        <w:rPr>
          <w:rFonts w:asciiTheme="minorHAnsi" w:hAnsiTheme="minorHAnsi"/>
        </w:rPr>
        <w:t xml:space="preserve"> </w:t>
      </w:r>
      <w:r w:rsidR="008F4422" w:rsidRPr="00A20F00">
        <w:rPr>
          <w:rFonts w:asciiTheme="minorHAnsi" w:hAnsiTheme="minorHAnsi"/>
        </w:rPr>
        <w:t>следующим образом</w:t>
      </w:r>
      <w:r w:rsidR="00654320" w:rsidRPr="00A20F00">
        <w:rPr>
          <w:rFonts w:asciiTheme="minorHAnsi" w:hAnsiTheme="minorHAnsi"/>
        </w:rPr>
        <w:t xml:space="preserve">: </w:t>
      </w:r>
      <w:r w:rsidR="00673FDB" w:rsidRPr="00A20F00">
        <w:rPr>
          <w:rFonts w:asciiTheme="minorHAnsi" w:hAnsiTheme="minorHAnsi"/>
        </w:rPr>
        <w:t>"</w:t>
      </w:r>
      <w:r w:rsidR="00673FDB" w:rsidRPr="00A20F00">
        <w:rPr>
          <w:rFonts w:asciiTheme="minorHAnsi" w:hAnsiTheme="minorHAnsi"/>
          <w:i/>
          <w:iCs/>
          <w:lang w:eastAsia="zh-CN"/>
        </w:rPr>
        <w:t>Подотчетность — это обязанность Секретариата и его сотрудников нести ответственность за все принятые ими решения и предпринятые действия и отвечать за выполнение своих обязательств, без оговорок или исключений</w:t>
      </w:r>
      <w:r w:rsidR="00654320" w:rsidRPr="00A20F00">
        <w:rPr>
          <w:rFonts w:asciiTheme="minorHAnsi" w:hAnsiTheme="minorHAnsi"/>
          <w:i/>
          <w:iCs/>
        </w:rPr>
        <w:t>.</w:t>
      </w:r>
    </w:p>
    <w:p w:rsidR="00654320" w:rsidRPr="00A20F00" w:rsidRDefault="00673FDB" w:rsidP="00501C41">
      <w:pPr>
        <w:rPr>
          <w:rFonts w:asciiTheme="minorHAnsi" w:hAnsiTheme="minorHAnsi"/>
        </w:rPr>
      </w:pPr>
      <w:r w:rsidRPr="00A20F00">
        <w:rPr>
          <w:rFonts w:asciiTheme="minorHAnsi" w:hAnsiTheme="minorHAnsi"/>
          <w:i/>
          <w:iCs/>
          <w:lang w:eastAsia="zh-CN"/>
        </w:rPr>
        <w:t>Подотчетность включает достижение целей и качественных результатов на своевременной и экономически эффективно</w:t>
      </w:r>
      <w:bookmarkStart w:id="3" w:name="_GoBack"/>
      <w:bookmarkEnd w:id="3"/>
      <w:r w:rsidRPr="00A20F00">
        <w:rPr>
          <w:rFonts w:asciiTheme="minorHAnsi" w:hAnsiTheme="minorHAnsi"/>
          <w:i/>
          <w:iCs/>
          <w:lang w:eastAsia="zh-CN"/>
        </w:rPr>
        <w:t xml:space="preserve">й основе, при полном исполнении и осуществлении всех выданных </w:t>
      </w:r>
      <w:r w:rsidRPr="00A20F00">
        <w:rPr>
          <w:rFonts w:asciiTheme="minorHAnsi" w:hAnsiTheme="minorHAnsi"/>
          <w:i/>
          <w:iCs/>
          <w:lang w:eastAsia="zh-CN"/>
        </w:rPr>
        <w:lastRenderedPageBreak/>
        <w:t>Секретариату мандатов, утвержденных межправительственными органами Организации Объединенных Наций и другими вспомогательными органами, учрежденными ими в соответствии со всеми резолюциями, положениями,</w:t>
      </w:r>
      <w:r w:rsidR="008F4422" w:rsidRPr="00A20F00">
        <w:rPr>
          <w:rFonts w:asciiTheme="minorHAnsi" w:hAnsiTheme="minorHAnsi"/>
          <w:i/>
          <w:iCs/>
          <w:lang w:eastAsia="zh-CN"/>
        </w:rPr>
        <w:t xml:space="preserve"> </w:t>
      </w:r>
      <w:r w:rsidRPr="00A20F00">
        <w:rPr>
          <w:rFonts w:asciiTheme="minorHAnsi" w:hAnsiTheme="minorHAnsi"/>
          <w:i/>
          <w:iCs/>
          <w:lang w:eastAsia="zh-CN"/>
        </w:rPr>
        <w:t>правилами и этическими стандартами; правдивое,</w:t>
      </w:r>
      <w:r w:rsidR="008F4422" w:rsidRPr="00A20F00">
        <w:rPr>
          <w:rFonts w:asciiTheme="minorHAnsi" w:hAnsiTheme="minorHAnsi"/>
          <w:i/>
          <w:iCs/>
          <w:lang w:eastAsia="zh-CN"/>
        </w:rPr>
        <w:t xml:space="preserve"> </w:t>
      </w:r>
      <w:r w:rsidRPr="00A20F00">
        <w:rPr>
          <w:rFonts w:asciiTheme="minorHAnsi" w:hAnsiTheme="minorHAnsi"/>
          <w:i/>
          <w:iCs/>
          <w:lang w:eastAsia="zh-CN"/>
        </w:rPr>
        <w:t>объективное, достоверное и своевременное представление данных о достигнутых результатах; ответственное управление финансовыми средствами и ресурсами; все аспекты работы, включая четко определенную систему поощрений и наказаний; и при должном признании важной роли надзорных органов и в полном соответствии с принятыми рекомендациями</w:t>
      </w:r>
      <w:r w:rsidRPr="00A20F00">
        <w:rPr>
          <w:rFonts w:asciiTheme="minorHAnsi" w:hAnsiTheme="minorHAnsi"/>
          <w:lang w:eastAsia="zh-CN"/>
        </w:rPr>
        <w:t>"</w:t>
      </w:r>
      <w:r w:rsidR="00654320" w:rsidRPr="00A20F00">
        <w:rPr>
          <w:rFonts w:asciiTheme="minorHAnsi" w:hAnsiTheme="minorHAnsi"/>
          <w:i/>
          <w:iCs/>
        </w:rPr>
        <w:t>.</w:t>
      </w:r>
    </w:p>
    <w:p w:rsidR="00654320" w:rsidRPr="00A20F00" w:rsidRDefault="00654320" w:rsidP="00501C41">
      <w:pPr>
        <w:pStyle w:val="Heading1"/>
        <w:rPr>
          <w:rFonts w:asciiTheme="minorHAnsi" w:hAnsiTheme="minorHAnsi"/>
        </w:rPr>
      </w:pPr>
      <w:r w:rsidRPr="00A20F00">
        <w:rPr>
          <w:rFonts w:asciiTheme="minorHAnsi" w:hAnsiTheme="minorHAnsi"/>
        </w:rPr>
        <w:t>III</w:t>
      </w:r>
      <w:r w:rsidR="00501C41" w:rsidRPr="00A20F00">
        <w:rPr>
          <w:rFonts w:asciiTheme="minorHAnsi" w:hAnsiTheme="minorHAnsi"/>
        </w:rPr>
        <w:tab/>
      </w:r>
      <w:r w:rsidR="00C56BA8" w:rsidRPr="00A20F00">
        <w:rPr>
          <w:rFonts w:asciiTheme="minorHAnsi" w:hAnsiTheme="minorHAnsi"/>
        </w:rPr>
        <w:t>Система подотчетности в МСЭ</w:t>
      </w:r>
    </w:p>
    <w:p w:rsidR="00654320" w:rsidRPr="00A20F00" w:rsidRDefault="00501C41" w:rsidP="003D3116">
      <w:pPr>
        <w:rPr>
          <w:rFonts w:asciiTheme="minorHAnsi" w:hAnsiTheme="minorHAnsi"/>
          <w:b/>
          <w:bCs/>
        </w:rPr>
      </w:pPr>
      <w:r w:rsidRPr="00A20F00">
        <w:rPr>
          <w:rFonts w:asciiTheme="minorHAnsi" w:hAnsiTheme="minorHAnsi"/>
        </w:rPr>
        <w:t>3</w:t>
      </w:r>
      <w:r w:rsidR="00654320" w:rsidRPr="00A20F00">
        <w:rPr>
          <w:rFonts w:asciiTheme="minorHAnsi" w:hAnsiTheme="minorHAnsi"/>
        </w:rPr>
        <w:tab/>
      </w:r>
      <w:r w:rsidR="00C56BA8" w:rsidRPr="00A20F00">
        <w:rPr>
          <w:rFonts w:asciiTheme="minorHAnsi" w:hAnsiTheme="minorHAnsi"/>
        </w:rPr>
        <w:t>Руководство МСЭ</w:t>
      </w:r>
      <w:r w:rsidR="00654320" w:rsidRPr="00A20F00">
        <w:rPr>
          <w:rFonts w:asciiTheme="minorHAnsi" w:hAnsiTheme="minorHAnsi"/>
        </w:rPr>
        <w:t xml:space="preserve"> </w:t>
      </w:r>
      <w:r w:rsidR="00C56BA8" w:rsidRPr="00A20F00">
        <w:rPr>
          <w:rFonts w:asciiTheme="minorHAnsi" w:hAnsiTheme="minorHAnsi"/>
          <w:color w:val="000000"/>
        </w:rPr>
        <w:t xml:space="preserve">строго придерживается принципа </w:t>
      </w:r>
      <w:r w:rsidR="00682E1D" w:rsidRPr="00A20F00">
        <w:rPr>
          <w:rFonts w:asciiTheme="minorHAnsi" w:hAnsiTheme="minorHAnsi"/>
          <w:color w:val="000000"/>
        </w:rPr>
        <w:t>прозрачно</w:t>
      </w:r>
      <w:r w:rsidR="006D4930" w:rsidRPr="00A20F00">
        <w:rPr>
          <w:rFonts w:asciiTheme="minorHAnsi" w:hAnsiTheme="minorHAnsi"/>
          <w:color w:val="000000"/>
        </w:rPr>
        <w:t>сти при</w:t>
      </w:r>
      <w:r w:rsidR="00682E1D" w:rsidRPr="00A20F00">
        <w:rPr>
          <w:rFonts w:asciiTheme="minorHAnsi" w:hAnsiTheme="minorHAnsi"/>
          <w:color w:val="000000"/>
        </w:rPr>
        <w:t xml:space="preserve"> </w:t>
      </w:r>
      <w:r w:rsidR="00C56BA8" w:rsidRPr="00A20F00">
        <w:rPr>
          <w:rFonts w:asciiTheme="minorHAnsi" w:hAnsiTheme="minorHAnsi"/>
        </w:rPr>
        <w:t>выполнени</w:t>
      </w:r>
      <w:r w:rsidR="006D4930" w:rsidRPr="00A20F00">
        <w:rPr>
          <w:rFonts w:asciiTheme="minorHAnsi" w:hAnsiTheme="minorHAnsi"/>
        </w:rPr>
        <w:t>и</w:t>
      </w:r>
      <w:r w:rsidR="00C56BA8" w:rsidRPr="00A20F00">
        <w:rPr>
          <w:rFonts w:asciiTheme="minorHAnsi" w:hAnsiTheme="minorHAnsi"/>
        </w:rPr>
        <w:t xml:space="preserve"> мандата Союза</w:t>
      </w:r>
      <w:r w:rsidR="003D3116" w:rsidRPr="00A20F00">
        <w:rPr>
          <w:rFonts w:asciiTheme="minorHAnsi" w:hAnsiTheme="minorHAnsi"/>
        </w:rPr>
        <w:t xml:space="preserve">. </w:t>
      </w:r>
      <w:r w:rsidR="00682E1D" w:rsidRPr="00A20F00">
        <w:rPr>
          <w:rFonts w:asciiTheme="minorHAnsi" w:hAnsiTheme="minorHAnsi"/>
        </w:rPr>
        <w:t>Оно отчитывается перед Членами Союза</w:t>
      </w:r>
      <w:r w:rsidR="00654320" w:rsidRPr="00A20F00">
        <w:rPr>
          <w:rFonts w:asciiTheme="minorHAnsi" w:hAnsiTheme="minorHAnsi"/>
        </w:rPr>
        <w:t xml:space="preserve">. </w:t>
      </w:r>
      <w:r w:rsidR="00682E1D" w:rsidRPr="00A20F00">
        <w:rPr>
          <w:rFonts w:asciiTheme="minorHAnsi" w:hAnsiTheme="minorHAnsi"/>
        </w:rPr>
        <w:t>За эти годы МСЭ</w:t>
      </w:r>
      <w:r w:rsidR="00654320" w:rsidRPr="00A20F00">
        <w:rPr>
          <w:rFonts w:asciiTheme="minorHAnsi" w:hAnsiTheme="minorHAnsi"/>
        </w:rPr>
        <w:t xml:space="preserve"> </w:t>
      </w:r>
      <w:r w:rsidR="007D0CFC" w:rsidRPr="00A20F00">
        <w:rPr>
          <w:rFonts w:asciiTheme="minorHAnsi" w:hAnsiTheme="minorHAnsi"/>
        </w:rPr>
        <w:t>раз</w:t>
      </w:r>
      <w:r w:rsidR="00682E1D" w:rsidRPr="00A20F00">
        <w:rPr>
          <w:rFonts w:asciiTheme="minorHAnsi" w:hAnsiTheme="minorHAnsi"/>
        </w:rPr>
        <w:t>работал</w:t>
      </w:r>
      <w:r w:rsidR="00654320" w:rsidRPr="00A20F00">
        <w:rPr>
          <w:rFonts w:asciiTheme="minorHAnsi" w:hAnsiTheme="minorHAnsi"/>
        </w:rPr>
        <w:t xml:space="preserve"> </w:t>
      </w:r>
      <w:r w:rsidR="00682E1D" w:rsidRPr="00A20F00">
        <w:rPr>
          <w:rFonts w:asciiTheme="minorHAnsi" w:hAnsiTheme="minorHAnsi"/>
        </w:rPr>
        <w:t>основные элементы подотчетности,</w:t>
      </w:r>
      <w:r w:rsidR="00654320" w:rsidRPr="00A20F00">
        <w:rPr>
          <w:rFonts w:asciiTheme="minorHAnsi" w:hAnsiTheme="minorHAnsi"/>
        </w:rPr>
        <w:t xml:space="preserve"> </w:t>
      </w:r>
      <w:r w:rsidR="00682E1D" w:rsidRPr="00A20F00">
        <w:rPr>
          <w:rFonts w:asciiTheme="minorHAnsi" w:hAnsiTheme="minorHAnsi"/>
        </w:rPr>
        <w:t>которые включают, среди прочего</w:t>
      </w:r>
      <w:r w:rsidR="00654320" w:rsidRPr="00A20F00">
        <w:rPr>
          <w:rFonts w:asciiTheme="minorHAnsi" w:hAnsiTheme="minorHAnsi"/>
        </w:rPr>
        <w:t xml:space="preserve">: </w:t>
      </w:r>
      <w:r w:rsidR="00682E1D" w:rsidRPr="00A20F00">
        <w:rPr>
          <w:rFonts w:asciiTheme="minorHAnsi" w:hAnsiTheme="minorHAnsi"/>
        </w:rPr>
        <w:t>делегирование</w:t>
      </w:r>
      <w:r w:rsidR="00654320" w:rsidRPr="00A20F00">
        <w:rPr>
          <w:rFonts w:asciiTheme="minorHAnsi" w:hAnsiTheme="minorHAnsi"/>
        </w:rPr>
        <w:t xml:space="preserve"> </w:t>
      </w:r>
      <w:r w:rsidR="00682E1D" w:rsidRPr="00A20F00">
        <w:rPr>
          <w:rFonts w:asciiTheme="minorHAnsi" w:hAnsiTheme="minorHAnsi"/>
        </w:rPr>
        <w:t>инструментов полномочий</w:t>
      </w:r>
      <w:r w:rsidR="00654320" w:rsidRPr="00A20F00">
        <w:rPr>
          <w:rFonts w:asciiTheme="minorHAnsi" w:hAnsiTheme="minorHAnsi"/>
        </w:rPr>
        <w:t xml:space="preserve">; </w:t>
      </w:r>
      <w:r w:rsidR="00FD719F" w:rsidRPr="00A20F00">
        <w:rPr>
          <w:rFonts w:asciiTheme="minorHAnsi" w:hAnsiTheme="minorHAnsi"/>
        </w:rPr>
        <w:t>политик</w:t>
      </w:r>
      <w:r w:rsidR="003D3116" w:rsidRPr="00A20F00">
        <w:rPr>
          <w:rFonts w:asciiTheme="minorHAnsi" w:hAnsiTheme="minorHAnsi"/>
        </w:rPr>
        <w:t>у</w:t>
      </w:r>
      <w:r w:rsidR="00FD719F" w:rsidRPr="00A20F00">
        <w:rPr>
          <w:rFonts w:asciiTheme="minorHAnsi" w:hAnsiTheme="minorHAnsi"/>
        </w:rPr>
        <w:t xml:space="preserve"> </w:t>
      </w:r>
      <w:r w:rsidR="00FD719F" w:rsidRPr="00A20F00">
        <w:rPr>
          <w:rFonts w:asciiTheme="minorHAnsi" w:hAnsiTheme="minorHAnsi"/>
          <w:color w:val="000000"/>
        </w:rPr>
        <w:t>раскрытия</w:t>
      </w:r>
      <w:r w:rsidR="00682E1D" w:rsidRPr="00A20F00">
        <w:rPr>
          <w:rFonts w:asciiTheme="minorHAnsi" w:hAnsiTheme="minorHAnsi"/>
          <w:color w:val="000000"/>
        </w:rPr>
        <w:t xml:space="preserve"> финансовой информации</w:t>
      </w:r>
      <w:r w:rsidR="00654320" w:rsidRPr="00A20F00">
        <w:rPr>
          <w:rFonts w:asciiTheme="minorHAnsi" w:hAnsiTheme="minorHAnsi"/>
        </w:rPr>
        <w:t xml:space="preserve">; </w:t>
      </w:r>
      <w:r w:rsidR="00682E1D" w:rsidRPr="00A20F00">
        <w:rPr>
          <w:rFonts w:asciiTheme="minorHAnsi" w:hAnsiTheme="minorHAnsi"/>
          <w:color w:val="000000"/>
        </w:rPr>
        <w:t>внутренн</w:t>
      </w:r>
      <w:r w:rsidR="007D0CFC" w:rsidRPr="00A20F00">
        <w:rPr>
          <w:rFonts w:asciiTheme="minorHAnsi" w:hAnsiTheme="minorHAnsi"/>
          <w:color w:val="000000"/>
        </w:rPr>
        <w:t>и</w:t>
      </w:r>
      <w:r w:rsidR="00D41D7A" w:rsidRPr="00A20F00">
        <w:rPr>
          <w:rFonts w:asciiTheme="minorHAnsi" w:hAnsiTheme="minorHAnsi"/>
          <w:color w:val="000000"/>
        </w:rPr>
        <w:t>е</w:t>
      </w:r>
      <w:r w:rsidR="00682E1D" w:rsidRPr="00A20F00">
        <w:rPr>
          <w:rFonts w:asciiTheme="minorHAnsi" w:hAnsiTheme="minorHAnsi"/>
          <w:color w:val="000000"/>
        </w:rPr>
        <w:t xml:space="preserve"> письм</w:t>
      </w:r>
      <w:r w:rsidR="007D0CFC" w:rsidRPr="00A20F00">
        <w:rPr>
          <w:rFonts w:asciiTheme="minorHAnsi" w:hAnsiTheme="minorHAnsi"/>
          <w:color w:val="000000"/>
        </w:rPr>
        <w:t>а</w:t>
      </w:r>
      <w:r w:rsidR="00F108C6" w:rsidRPr="00A20F00">
        <w:rPr>
          <w:rFonts w:asciiTheme="minorHAnsi" w:hAnsiTheme="minorHAnsi"/>
          <w:color w:val="000000"/>
        </w:rPr>
        <w:t>-подтверждения</w:t>
      </w:r>
      <w:r w:rsidR="00682E1D" w:rsidRPr="00A20F00">
        <w:rPr>
          <w:rFonts w:asciiTheme="minorHAnsi" w:hAnsiTheme="minorHAnsi"/>
          <w:color w:val="000000"/>
        </w:rPr>
        <w:t xml:space="preserve"> </w:t>
      </w:r>
      <w:r w:rsidR="00682E1D" w:rsidRPr="00A20F00">
        <w:rPr>
          <w:rFonts w:asciiTheme="minorHAnsi" w:hAnsiTheme="minorHAnsi"/>
        </w:rPr>
        <w:t>МСЭ</w:t>
      </w:r>
      <w:r w:rsidR="00654320" w:rsidRPr="00A20F00">
        <w:rPr>
          <w:rFonts w:asciiTheme="minorHAnsi" w:hAnsiTheme="minorHAnsi"/>
        </w:rPr>
        <w:t xml:space="preserve">; </w:t>
      </w:r>
      <w:r w:rsidR="00D41D7A" w:rsidRPr="00A20F00">
        <w:rPr>
          <w:rFonts w:asciiTheme="minorHAnsi" w:hAnsiTheme="minorHAnsi"/>
          <w:color w:val="000000"/>
        </w:rPr>
        <w:t>инструменты управления результатами деятельности</w:t>
      </w:r>
      <w:r w:rsidR="00654320" w:rsidRPr="00A20F00">
        <w:rPr>
          <w:rFonts w:asciiTheme="minorHAnsi" w:hAnsiTheme="minorHAnsi"/>
        </w:rPr>
        <w:t xml:space="preserve"> </w:t>
      </w:r>
      <w:r w:rsidR="00D41D7A" w:rsidRPr="00A20F00">
        <w:rPr>
          <w:rFonts w:asciiTheme="minorHAnsi" w:hAnsiTheme="minorHAnsi"/>
        </w:rPr>
        <w:t>и</w:t>
      </w:r>
      <w:r w:rsidR="00654320" w:rsidRPr="00A20F00">
        <w:rPr>
          <w:rFonts w:asciiTheme="minorHAnsi" w:hAnsiTheme="minorHAnsi"/>
        </w:rPr>
        <w:t xml:space="preserve"> </w:t>
      </w:r>
      <w:r w:rsidR="00D41D7A" w:rsidRPr="00A20F00">
        <w:rPr>
          <w:rFonts w:asciiTheme="minorHAnsi" w:hAnsiTheme="minorHAnsi"/>
        </w:rPr>
        <w:t>управление рисками</w:t>
      </w:r>
      <w:r w:rsidR="00654320" w:rsidRPr="00A20F00">
        <w:rPr>
          <w:rFonts w:asciiTheme="minorHAnsi" w:hAnsiTheme="minorHAnsi"/>
        </w:rPr>
        <w:t xml:space="preserve"> </w:t>
      </w:r>
      <w:r w:rsidR="00D41D7A" w:rsidRPr="00A20F00">
        <w:rPr>
          <w:rFonts w:asciiTheme="minorHAnsi" w:hAnsiTheme="minorHAnsi"/>
        </w:rPr>
        <w:t>при стратегическом планировании</w:t>
      </w:r>
      <w:r w:rsidR="00654320" w:rsidRPr="00A20F00">
        <w:rPr>
          <w:rFonts w:asciiTheme="minorHAnsi" w:hAnsiTheme="minorHAnsi"/>
        </w:rPr>
        <w:t xml:space="preserve">; </w:t>
      </w:r>
      <w:r w:rsidR="00D41D7A" w:rsidRPr="00A20F00">
        <w:rPr>
          <w:rFonts w:asciiTheme="minorHAnsi" w:hAnsiTheme="minorHAnsi"/>
          <w:color w:val="000000"/>
        </w:rPr>
        <w:t>структур</w:t>
      </w:r>
      <w:r w:rsidR="003D3116" w:rsidRPr="00A20F00">
        <w:rPr>
          <w:rFonts w:asciiTheme="minorHAnsi" w:hAnsiTheme="minorHAnsi"/>
          <w:color w:val="000000"/>
        </w:rPr>
        <w:t>у</w:t>
      </w:r>
      <w:r w:rsidR="00D41D7A" w:rsidRPr="00A20F00">
        <w:rPr>
          <w:rFonts w:asciiTheme="minorHAnsi" w:hAnsiTheme="minorHAnsi"/>
          <w:color w:val="000000"/>
        </w:rPr>
        <w:t xml:space="preserve"> результатов деятельности, обеспечивающ</w:t>
      </w:r>
      <w:r w:rsidR="003D3116" w:rsidRPr="00A20F00">
        <w:rPr>
          <w:rFonts w:asciiTheme="minorHAnsi" w:hAnsiTheme="minorHAnsi"/>
          <w:color w:val="000000"/>
        </w:rPr>
        <w:t>ую</w:t>
      </w:r>
      <w:r w:rsidR="00D41D7A" w:rsidRPr="00A20F00">
        <w:rPr>
          <w:rFonts w:asciiTheme="minorHAnsi" w:hAnsiTheme="minorHAnsi"/>
          <w:color w:val="000000"/>
        </w:rPr>
        <w:t xml:space="preserve"> возможность</w:t>
      </w:r>
      <w:r w:rsidR="00654320" w:rsidRPr="00A20F00">
        <w:rPr>
          <w:rFonts w:asciiTheme="minorHAnsi" w:hAnsiTheme="minorHAnsi"/>
        </w:rPr>
        <w:t xml:space="preserve"> </w:t>
      </w:r>
      <w:r w:rsidR="00D41D7A" w:rsidRPr="00A20F00">
        <w:rPr>
          <w:rFonts w:asciiTheme="minorHAnsi" w:hAnsiTheme="minorHAnsi"/>
          <w:color w:val="000000"/>
        </w:rPr>
        <w:t>управления, ориентированного на результаты</w:t>
      </w:r>
      <w:r w:rsidR="00D41D7A" w:rsidRPr="00A20F00">
        <w:rPr>
          <w:rFonts w:asciiTheme="minorHAnsi" w:hAnsiTheme="minorHAnsi"/>
        </w:rPr>
        <w:t xml:space="preserve"> </w:t>
      </w:r>
      <w:r w:rsidR="00654320" w:rsidRPr="00A20F00">
        <w:rPr>
          <w:rFonts w:asciiTheme="minorHAnsi" w:hAnsiTheme="minorHAnsi"/>
        </w:rPr>
        <w:t>(</w:t>
      </w:r>
      <w:r w:rsidR="00D41D7A" w:rsidRPr="00A20F00">
        <w:rPr>
          <w:rFonts w:asciiTheme="minorHAnsi" w:hAnsiTheme="minorHAnsi"/>
        </w:rPr>
        <w:t>УОР</w:t>
      </w:r>
      <w:r w:rsidR="00654320" w:rsidRPr="00A20F00">
        <w:rPr>
          <w:rFonts w:asciiTheme="minorHAnsi" w:hAnsiTheme="minorHAnsi"/>
        </w:rPr>
        <w:t xml:space="preserve">); </w:t>
      </w:r>
      <w:r w:rsidR="00D41D7A" w:rsidRPr="00A20F00">
        <w:rPr>
          <w:rFonts w:asciiTheme="minorHAnsi" w:hAnsiTheme="minorHAnsi"/>
        </w:rPr>
        <w:t>и создание</w:t>
      </w:r>
      <w:r w:rsidR="00654320" w:rsidRPr="00A20F00">
        <w:rPr>
          <w:rFonts w:asciiTheme="minorHAnsi" w:hAnsiTheme="minorHAnsi"/>
        </w:rPr>
        <w:t xml:space="preserve"> </w:t>
      </w:r>
      <w:r w:rsidR="00D41D7A" w:rsidRPr="00A20F00">
        <w:rPr>
          <w:rFonts w:asciiTheme="minorHAnsi" w:hAnsiTheme="minorHAnsi"/>
          <w:lang w:eastAsia="zh-CN"/>
        </w:rPr>
        <w:t>Независим</w:t>
      </w:r>
      <w:r w:rsidR="007D0CFC" w:rsidRPr="00A20F00">
        <w:rPr>
          <w:rFonts w:asciiTheme="minorHAnsi" w:hAnsiTheme="minorHAnsi"/>
          <w:lang w:eastAsia="zh-CN"/>
        </w:rPr>
        <w:t>ого</w:t>
      </w:r>
      <w:r w:rsidR="00D41D7A" w:rsidRPr="00A20F00">
        <w:rPr>
          <w:rFonts w:asciiTheme="minorHAnsi" w:hAnsiTheme="minorHAnsi"/>
          <w:lang w:eastAsia="zh-CN"/>
        </w:rPr>
        <w:t xml:space="preserve"> консультативн</w:t>
      </w:r>
      <w:r w:rsidR="007D0CFC" w:rsidRPr="00A20F00">
        <w:rPr>
          <w:rFonts w:asciiTheme="minorHAnsi" w:hAnsiTheme="minorHAnsi"/>
          <w:lang w:eastAsia="zh-CN"/>
        </w:rPr>
        <w:t>ого</w:t>
      </w:r>
      <w:r w:rsidR="00D41D7A" w:rsidRPr="00A20F00">
        <w:rPr>
          <w:rFonts w:asciiTheme="minorHAnsi" w:hAnsiTheme="minorHAnsi"/>
          <w:lang w:eastAsia="zh-CN"/>
        </w:rPr>
        <w:t xml:space="preserve"> комитет</w:t>
      </w:r>
      <w:r w:rsidR="007D0CFC" w:rsidRPr="00A20F00">
        <w:rPr>
          <w:rFonts w:asciiTheme="minorHAnsi" w:hAnsiTheme="minorHAnsi"/>
          <w:lang w:eastAsia="zh-CN"/>
        </w:rPr>
        <w:t>а</w:t>
      </w:r>
      <w:r w:rsidR="00D41D7A" w:rsidRPr="00A20F00">
        <w:rPr>
          <w:rFonts w:asciiTheme="minorHAnsi" w:hAnsiTheme="minorHAnsi"/>
          <w:lang w:eastAsia="zh-CN"/>
        </w:rPr>
        <w:t xml:space="preserve"> по</w:t>
      </w:r>
      <w:r w:rsidR="00654320" w:rsidRPr="00A20F00">
        <w:rPr>
          <w:rFonts w:asciiTheme="minorHAnsi" w:hAnsiTheme="minorHAnsi"/>
        </w:rPr>
        <w:t xml:space="preserve"> </w:t>
      </w:r>
      <w:r w:rsidR="007D0CFC" w:rsidRPr="00A20F00">
        <w:rPr>
          <w:rFonts w:asciiTheme="minorHAnsi" w:hAnsiTheme="minorHAnsi"/>
        </w:rPr>
        <w:t xml:space="preserve">управлению </w:t>
      </w:r>
      <w:r w:rsidR="00654320" w:rsidRPr="00A20F00">
        <w:rPr>
          <w:rFonts w:asciiTheme="minorHAnsi" w:hAnsiTheme="minorHAnsi"/>
        </w:rPr>
        <w:t xml:space="preserve">(IMAC). </w:t>
      </w:r>
      <w:r w:rsidR="007D0CFC" w:rsidRPr="00A20F00">
        <w:rPr>
          <w:rFonts w:asciiTheme="minorHAnsi" w:hAnsiTheme="minorHAnsi"/>
        </w:rPr>
        <w:t>Кроме того</w:t>
      </w:r>
      <w:r w:rsidR="00654320" w:rsidRPr="00A20F00">
        <w:rPr>
          <w:rFonts w:asciiTheme="minorHAnsi" w:hAnsiTheme="minorHAnsi"/>
        </w:rPr>
        <w:t xml:space="preserve">, </w:t>
      </w:r>
      <w:r w:rsidR="007D0CFC" w:rsidRPr="00A20F00">
        <w:rPr>
          <w:rFonts w:asciiTheme="minorHAnsi" w:hAnsiTheme="minorHAnsi"/>
        </w:rPr>
        <w:t>МСЭ, как специализированное учреждение</w:t>
      </w:r>
      <w:r w:rsidR="00654320" w:rsidRPr="00A20F00">
        <w:rPr>
          <w:rFonts w:asciiTheme="minorHAnsi" w:hAnsiTheme="minorHAnsi"/>
        </w:rPr>
        <w:t xml:space="preserve">, </w:t>
      </w:r>
      <w:r w:rsidR="007D0CFC" w:rsidRPr="00A20F00">
        <w:rPr>
          <w:rFonts w:asciiTheme="minorHAnsi" w:hAnsiTheme="minorHAnsi"/>
        </w:rPr>
        <w:t>являющееся частью системы ООН</w:t>
      </w:r>
      <w:r w:rsidR="00654320" w:rsidRPr="00A20F00">
        <w:rPr>
          <w:rFonts w:asciiTheme="minorHAnsi" w:hAnsiTheme="minorHAnsi"/>
        </w:rPr>
        <w:t xml:space="preserve">, </w:t>
      </w:r>
      <w:r w:rsidR="007D0CFC" w:rsidRPr="00A20F00">
        <w:rPr>
          <w:rFonts w:asciiTheme="minorHAnsi" w:hAnsiTheme="minorHAnsi"/>
        </w:rPr>
        <w:t>может</w:t>
      </w:r>
      <w:r w:rsidR="00654320" w:rsidRPr="00A20F00">
        <w:rPr>
          <w:rFonts w:asciiTheme="minorHAnsi" w:hAnsiTheme="minorHAnsi"/>
        </w:rPr>
        <w:t xml:space="preserve"> </w:t>
      </w:r>
      <w:r w:rsidR="007D0CFC" w:rsidRPr="00A20F00">
        <w:rPr>
          <w:rFonts w:asciiTheme="minorHAnsi" w:hAnsiTheme="minorHAnsi"/>
        </w:rPr>
        <w:t>решить</w:t>
      </w:r>
      <w:r w:rsidR="00654320" w:rsidRPr="00A20F00">
        <w:rPr>
          <w:rFonts w:asciiTheme="minorHAnsi" w:hAnsiTheme="minorHAnsi"/>
        </w:rPr>
        <w:t xml:space="preserve"> </w:t>
      </w:r>
      <w:r w:rsidR="007D0CFC" w:rsidRPr="00A20F00">
        <w:rPr>
          <w:rFonts w:asciiTheme="minorHAnsi" w:hAnsiTheme="minorHAnsi"/>
        </w:rPr>
        <w:t>стать подотчетным</w:t>
      </w:r>
      <w:r w:rsidR="00654320" w:rsidRPr="00A20F00">
        <w:rPr>
          <w:rFonts w:asciiTheme="minorHAnsi" w:hAnsiTheme="minorHAnsi"/>
        </w:rPr>
        <w:t xml:space="preserve"> </w:t>
      </w:r>
      <w:r w:rsidR="007D0CFC" w:rsidRPr="00A20F00">
        <w:rPr>
          <w:rFonts w:asciiTheme="minorHAnsi" w:hAnsiTheme="minorHAnsi"/>
        </w:rPr>
        <w:t>перед</w:t>
      </w:r>
      <w:r w:rsidR="00654320" w:rsidRPr="00A20F00">
        <w:rPr>
          <w:rFonts w:asciiTheme="minorHAnsi" w:hAnsiTheme="minorHAnsi"/>
        </w:rPr>
        <w:t xml:space="preserve"> </w:t>
      </w:r>
      <w:r w:rsidR="007D0CFC" w:rsidRPr="00A20F00">
        <w:rPr>
          <w:rFonts w:asciiTheme="minorHAnsi" w:hAnsiTheme="minorHAnsi"/>
        </w:rPr>
        <w:t>согласованной для всей системы ООН</w:t>
      </w:r>
      <w:r w:rsidR="00FD719F" w:rsidRPr="00A20F00">
        <w:rPr>
          <w:rFonts w:asciiTheme="minorHAnsi" w:hAnsiTheme="minorHAnsi"/>
        </w:rPr>
        <w:t xml:space="preserve"> структурой</w:t>
      </w:r>
      <w:r w:rsidR="00654320" w:rsidRPr="00A20F00">
        <w:rPr>
          <w:rFonts w:asciiTheme="minorHAnsi" w:hAnsiTheme="minorHAnsi"/>
        </w:rPr>
        <w:t>.</w:t>
      </w:r>
    </w:p>
    <w:p w:rsidR="00654320" w:rsidRPr="00A20F00" w:rsidRDefault="00501C41" w:rsidP="00501C41">
      <w:pPr>
        <w:rPr>
          <w:rFonts w:asciiTheme="minorHAnsi" w:hAnsiTheme="minorHAnsi"/>
        </w:rPr>
      </w:pPr>
      <w:r w:rsidRPr="00A20F00">
        <w:rPr>
          <w:rFonts w:asciiTheme="minorHAnsi" w:hAnsiTheme="minorHAnsi"/>
        </w:rPr>
        <w:t>4</w:t>
      </w:r>
      <w:r w:rsidR="00654320" w:rsidRPr="00A20F00">
        <w:rPr>
          <w:rFonts w:asciiTheme="minorHAnsi" w:hAnsiTheme="minorHAnsi"/>
        </w:rPr>
        <w:tab/>
      </w:r>
      <w:r w:rsidR="00650217" w:rsidRPr="00A20F00">
        <w:rPr>
          <w:rFonts w:asciiTheme="minorHAnsi" w:hAnsiTheme="minorHAnsi"/>
        </w:rPr>
        <w:t>Цель настоящего документа состоит в том, чтобы</w:t>
      </w:r>
      <w:r w:rsidR="00654320" w:rsidRPr="00A20F00">
        <w:rPr>
          <w:rFonts w:asciiTheme="minorHAnsi" w:hAnsiTheme="minorHAnsi"/>
        </w:rPr>
        <w:t xml:space="preserve"> </w:t>
      </w:r>
      <w:r w:rsidR="00650217" w:rsidRPr="00A20F00">
        <w:rPr>
          <w:rFonts w:asciiTheme="minorHAnsi" w:hAnsiTheme="minorHAnsi"/>
        </w:rPr>
        <w:t>объединить</w:t>
      </w:r>
      <w:r w:rsidR="00654320" w:rsidRPr="00A20F00">
        <w:rPr>
          <w:rFonts w:asciiTheme="minorHAnsi" w:hAnsiTheme="minorHAnsi"/>
        </w:rPr>
        <w:t xml:space="preserve"> </w:t>
      </w:r>
      <w:r w:rsidR="00650217" w:rsidRPr="00A20F00">
        <w:rPr>
          <w:rFonts w:asciiTheme="minorHAnsi" w:hAnsiTheme="minorHAnsi"/>
        </w:rPr>
        <w:t>существующие основные</w:t>
      </w:r>
      <w:r w:rsidR="00654320" w:rsidRPr="00A20F00">
        <w:rPr>
          <w:rFonts w:asciiTheme="minorHAnsi" w:hAnsiTheme="minorHAnsi"/>
        </w:rPr>
        <w:t xml:space="preserve"> </w:t>
      </w:r>
      <w:r w:rsidR="00650217" w:rsidRPr="00A20F00">
        <w:rPr>
          <w:rFonts w:asciiTheme="minorHAnsi" w:hAnsiTheme="minorHAnsi"/>
        </w:rPr>
        <w:t>элементы</w:t>
      </w:r>
      <w:r w:rsidR="00654320" w:rsidRPr="00A20F00">
        <w:rPr>
          <w:rFonts w:asciiTheme="minorHAnsi" w:hAnsiTheme="minorHAnsi"/>
        </w:rPr>
        <w:t xml:space="preserve"> </w:t>
      </w:r>
      <w:r w:rsidR="00650217" w:rsidRPr="00A20F00">
        <w:rPr>
          <w:rFonts w:asciiTheme="minorHAnsi" w:hAnsiTheme="minorHAnsi"/>
        </w:rPr>
        <w:t>подотчетности</w:t>
      </w:r>
      <w:r w:rsidR="00654320" w:rsidRPr="00A20F00">
        <w:rPr>
          <w:rFonts w:asciiTheme="minorHAnsi" w:hAnsiTheme="minorHAnsi"/>
        </w:rPr>
        <w:t xml:space="preserve"> </w:t>
      </w:r>
      <w:r w:rsidR="00650217" w:rsidRPr="00A20F00">
        <w:rPr>
          <w:rFonts w:asciiTheme="minorHAnsi" w:hAnsiTheme="minorHAnsi"/>
        </w:rPr>
        <w:t>в</w:t>
      </w:r>
      <w:r w:rsidR="00654320" w:rsidRPr="00A20F00">
        <w:rPr>
          <w:rFonts w:asciiTheme="minorHAnsi" w:hAnsiTheme="minorHAnsi"/>
        </w:rPr>
        <w:t xml:space="preserve"> </w:t>
      </w:r>
      <w:r w:rsidR="00650217" w:rsidRPr="00A20F00">
        <w:rPr>
          <w:rFonts w:asciiTheme="minorHAnsi" w:hAnsiTheme="minorHAnsi"/>
          <w:color w:val="000000"/>
        </w:rPr>
        <w:t>систему подотчетности</w:t>
      </w:r>
      <w:r w:rsidR="00654320" w:rsidRPr="00A20F00">
        <w:rPr>
          <w:rFonts w:asciiTheme="minorHAnsi" w:hAnsiTheme="minorHAnsi"/>
        </w:rPr>
        <w:t xml:space="preserve"> (AF)</w:t>
      </w:r>
      <w:r w:rsidR="00FD719F" w:rsidRPr="00A20F00">
        <w:rPr>
          <w:rFonts w:asciiTheme="minorHAnsi" w:hAnsiTheme="minorHAnsi"/>
        </w:rPr>
        <w:t xml:space="preserve"> для всего Союза</w:t>
      </w:r>
      <w:r w:rsidR="00654320" w:rsidRPr="00A20F00">
        <w:rPr>
          <w:rFonts w:asciiTheme="minorHAnsi" w:hAnsiTheme="minorHAnsi"/>
        </w:rPr>
        <w:t xml:space="preserve">, </w:t>
      </w:r>
      <w:r w:rsidR="00650217" w:rsidRPr="00A20F00">
        <w:rPr>
          <w:rFonts w:asciiTheme="minorHAnsi" w:hAnsiTheme="minorHAnsi"/>
        </w:rPr>
        <w:t>а также</w:t>
      </w:r>
      <w:r w:rsidR="00654320" w:rsidRPr="00A20F00">
        <w:rPr>
          <w:rFonts w:asciiTheme="minorHAnsi" w:hAnsiTheme="minorHAnsi"/>
        </w:rPr>
        <w:t xml:space="preserve"> </w:t>
      </w:r>
      <w:r w:rsidR="00650217" w:rsidRPr="00A20F00">
        <w:rPr>
          <w:rFonts w:asciiTheme="minorHAnsi" w:hAnsiTheme="minorHAnsi"/>
        </w:rPr>
        <w:t>включить</w:t>
      </w:r>
      <w:r w:rsidR="00654320" w:rsidRPr="00A20F00">
        <w:rPr>
          <w:rFonts w:asciiTheme="minorHAnsi" w:hAnsiTheme="minorHAnsi"/>
        </w:rPr>
        <w:t xml:space="preserve"> </w:t>
      </w:r>
      <w:r w:rsidR="00650217" w:rsidRPr="00A20F00">
        <w:rPr>
          <w:rFonts w:asciiTheme="minorHAnsi" w:hAnsiTheme="minorHAnsi"/>
        </w:rPr>
        <w:t>любые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недостающие компоненты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такой системы</w:t>
      </w:r>
      <w:r w:rsidR="00654320" w:rsidRPr="00A20F00">
        <w:rPr>
          <w:rFonts w:asciiTheme="minorHAnsi" w:hAnsiTheme="minorHAnsi"/>
        </w:rPr>
        <w:t xml:space="preserve"> (</w:t>
      </w:r>
      <w:r w:rsidR="00686E91" w:rsidRPr="00A20F00">
        <w:rPr>
          <w:rFonts w:asciiTheme="minorHAnsi" w:hAnsiTheme="minorHAnsi"/>
        </w:rPr>
        <w:t>согласно отчету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ОИГ</w:t>
      </w:r>
      <w:r w:rsidR="00654320" w:rsidRPr="00A20F00">
        <w:rPr>
          <w:rFonts w:asciiTheme="minorHAnsi" w:hAnsiTheme="minorHAnsi"/>
        </w:rPr>
        <w:t xml:space="preserve"> 2011/5). </w:t>
      </w:r>
    </w:p>
    <w:p w:rsidR="00654320" w:rsidRPr="00A20F00" w:rsidRDefault="00501C41" w:rsidP="00501C41">
      <w:pPr>
        <w:spacing w:after="120"/>
        <w:rPr>
          <w:rFonts w:asciiTheme="minorHAnsi" w:hAnsiTheme="minorHAnsi"/>
        </w:rPr>
      </w:pPr>
      <w:r w:rsidRPr="00A20F00">
        <w:rPr>
          <w:rFonts w:asciiTheme="minorHAnsi" w:hAnsiTheme="minorHAnsi"/>
        </w:rPr>
        <w:t>5</w:t>
      </w:r>
      <w:r w:rsidR="00654320" w:rsidRPr="00A20F00">
        <w:rPr>
          <w:rFonts w:asciiTheme="minorHAnsi" w:hAnsiTheme="minorHAnsi"/>
        </w:rPr>
        <w:tab/>
      </w:r>
      <w:r w:rsidR="00686E91" w:rsidRPr="00A20F00">
        <w:rPr>
          <w:rFonts w:asciiTheme="minorHAnsi" w:hAnsiTheme="minorHAnsi"/>
        </w:rPr>
        <w:t>Система подотчетности МСЭ</w:t>
      </w:r>
      <w:r w:rsidR="00654320" w:rsidRPr="00A20F00">
        <w:rPr>
          <w:rFonts w:asciiTheme="minorHAnsi" w:hAnsiTheme="minorHAnsi"/>
        </w:rPr>
        <w:t xml:space="preserve"> </w:t>
      </w:r>
      <w:r w:rsidR="00287978" w:rsidRPr="00A20F00">
        <w:rPr>
          <w:rFonts w:asciiTheme="minorHAnsi" w:hAnsiTheme="minorHAnsi"/>
        </w:rPr>
        <w:t>построена</w:t>
      </w:r>
      <w:r w:rsidR="00686E91" w:rsidRPr="00A20F00">
        <w:rPr>
          <w:rFonts w:asciiTheme="minorHAnsi" w:hAnsiTheme="minorHAnsi"/>
        </w:rPr>
        <w:t xml:space="preserve"> на трех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основных принципах,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основанных на структуре,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представленной в отчете ОИГ,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как это показано ниже</w:t>
      </w:r>
      <w:r w:rsidR="00654320" w:rsidRPr="00A20F00">
        <w:rPr>
          <w:rFonts w:asciiTheme="minorHAnsi" w:hAnsiTheme="minorHAnsi"/>
        </w:rPr>
        <w:t xml:space="preserve">. </w:t>
      </w:r>
      <w:r w:rsidR="00686E91" w:rsidRPr="00A20F00">
        <w:rPr>
          <w:rFonts w:asciiTheme="minorHAnsi" w:hAnsiTheme="minorHAnsi"/>
        </w:rPr>
        <w:t>В разделе</w:t>
      </w:r>
      <w:r w:rsidR="00654320" w:rsidRPr="00A20F00">
        <w:rPr>
          <w:rFonts w:asciiTheme="minorHAnsi" w:hAnsiTheme="minorHAnsi"/>
        </w:rPr>
        <w:t xml:space="preserve"> IV </w:t>
      </w:r>
      <w:r w:rsidR="00686E91" w:rsidRPr="00A20F00">
        <w:rPr>
          <w:rFonts w:asciiTheme="minorHAnsi" w:hAnsiTheme="minorHAnsi"/>
        </w:rPr>
        <w:t>настоящего документа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содержится описание</w:t>
      </w:r>
      <w:r w:rsidR="00654320" w:rsidRPr="00A20F00">
        <w:rPr>
          <w:rFonts w:asciiTheme="minorHAnsi" w:hAnsiTheme="minorHAnsi"/>
        </w:rPr>
        <w:t xml:space="preserve"> </w:t>
      </w:r>
      <w:r w:rsidR="00686E91" w:rsidRPr="00A20F00">
        <w:rPr>
          <w:rFonts w:asciiTheme="minorHAnsi" w:hAnsiTheme="minorHAnsi"/>
        </w:rPr>
        <w:t>каждого из этих трех принципов</w:t>
      </w:r>
      <w:r w:rsidR="00654320" w:rsidRPr="00A20F00">
        <w:rPr>
          <w:rFonts w:asciiTheme="minorHAnsi" w:hAnsi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4320" w:rsidRPr="00A20F00" w:rsidTr="00501C41">
        <w:tc>
          <w:tcPr>
            <w:tcW w:w="3116" w:type="dxa"/>
            <w:shd w:val="clear" w:color="auto" w:fill="365F91" w:themeFill="accent1" w:themeFillShade="BF"/>
          </w:tcPr>
          <w:p w:rsidR="00654320" w:rsidRPr="00A20F00" w:rsidRDefault="00287978" w:rsidP="00501C41">
            <w:pPr>
              <w:pStyle w:val="Tablehead"/>
              <w:rPr>
                <w:color w:val="FFFFFF" w:themeColor="background1"/>
              </w:rPr>
            </w:pPr>
            <w:r w:rsidRPr="00A20F00">
              <w:rPr>
                <w:color w:val="FFFFFF" w:themeColor="background1"/>
              </w:rPr>
              <w:t>Принцип</w:t>
            </w:r>
            <w:r w:rsidR="00654320" w:rsidRPr="00A20F00">
              <w:rPr>
                <w:color w:val="FFFFFF" w:themeColor="background1"/>
              </w:rPr>
              <w:t xml:space="preserve"> 1</w:t>
            </w:r>
          </w:p>
          <w:p w:rsidR="00654320" w:rsidRPr="00A20F00" w:rsidRDefault="00287978" w:rsidP="00501C41">
            <w:pPr>
              <w:pStyle w:val="Tablehead"/>
              <w:rPr>
                <w:color w:val="FFFFFF" w:themeColor="background1"/>
              </w:rPr>
            </w:pPr>
            <w:r w:rsidRPr="00A20F00">
              <w:rPr>
                <w:color w:val="FFFFFF" w:themeColor="background1"/>
              </w:rPr>
              <w:t>Соглашение с</w:t>
            </w:r>
            <w:r w:rsidR="00654320" w:rsidRPr="00A20F00">
              <w:rPr>
                <w:color w:val="FFFFFF" w:themeColor="background1"/>
              </w:rPr>
              <w:t xml:space="preserve"> </w:t>
            </w:r>
            <w:r w:rsidRPr="00A20F00">
              <w:rPr>
                <w:color w:val="FFFFFF" w:themeColor="background1"/>
              </w:rPr>
              <w:t>Государствами-Членами</w:t>
            </w:r>
            <w:r w:rsidR="00654320" w:rsidRPr="00A20F00">
              <w:rPr>
                <w:color w:val="FFFFFF" w:themeColor="background1"/>
              </w:rPr>
              <w:t xml:space="preserve">, </w:t>
            </w:r>
            <w:r w:rsidRPr="00A20F00">
              <w:rPr>
                <w:color w:val="FFFFFF" w:themeColor="background1"/>
              </w:rPr>
              <w:t>Членами Секторов</w:t>
            </w:r>
            <w:r w:rsidR="00654320" w:rsidRPr="00A20F00">
              <w:rPr>
                <w:color w:val="FFFFFF" w:themeColor="background1"/>
              </w:rPr>
              <w:t xml:space="preserve">, </w:t>
            </w:r>
            <w:r w:rsidRPr="00A20F00">
              <w:rPr>
                <w:color w:val="FFFFFF" w:themeColor="background1"/>
              </w:rPr>
              <w:t>Ассоциированными членами</w:t>
            </w:r>
            <w:r w:rsidR="00654320" w:rsidRPr="00A20F00">
              <w:rPr>
                <w:color w:val="FFFFFF" w:themeColor="background1"/>
              </w:rPr>
              <w:t xml:space="preserve">, </w:t>
            </w:r>
            <w:r w:rsidRPr="00A20F00">
              <w:rPr>
                <w:color w:val="FFFFFF" w:themeColor="background1"/>
              </w:rPr>
              <w:t>Академическими организациями</w:t>
            </w:r>
            <w:r w:rsidR="00654320" w:rsidRPr="00A20F00">
              <w:rPr>
                <w:color w:val="FFFFFF" w:themeColor="background1"/>
              </w:rPr>
              <w:t xml:space="preserve"> </w:t>
            </w:r>
            <w:r w:rsidRPr="00A20F00">
              <w:rPr>
                <w:color w:val="FFFFFF" w:themeColor="background1"/>
              </w:rPr>
              <w:t>и пользователями услуг</w:t>
            </w:r>
            <w:r w:rsidR="00654320" w:rsidRPr="00A20F00">
              <w:rPr>
                <w:color w:val="FFFFFF" w:themeColor="background1"/>
              </w:rPr>
              <w:t xml:space="preserve"> </w:t>
            </w:r>
            <w:r w:rsidRPr="00A20F00">
              <w:rPr>
                <w:color w:val="FFFFFF" w:themeColor="background1"/>
              </w:rPr>
              <w:t>МСЭ</w:t>
            </w:r>
          </w:p>
        </w:tc>
        <w:tc>
          <w:tcPr>
            <w:tcW w:w="3117" w:type="dxa"/>
            <w:shd w:val="clear" w:color="auto" w:fill="365F91" w:themeFill="accent1" w:themeFillShade="BF"/>
          </w:tcPr>
          <w:p w:rsidR="00654320" w:rsidRPr="00A20F00" w:rsidRDefault="00287978" w:rsidP="00501C41">
            <w:pPr>
              <w:pStyle w:val="Tablehead"/>
              <w:rPr>
                <w:color w:val="FFFFFF" w:themeColor="background1"/>
              </w:rPr>
            </w:pPr>
            <w:r w:rsidRPr="00A20F00">
              <w:rPr>
                <w:color w:val="FFFFFF" w:themeColor="background1"/>
              </w:rPr>
              <w:t>Принцип</w:t>
            </w:r>
            <w:r w:rsidR="00654320" w:rsidRPr="00A20F00">
              <w:rPr>
                <w:color w:val="FFFFFF" w:themeColor="background1"/>
              </w:rPr>
              <w:t xml:space="preserve"> 2</w:t>
            </w:r>
          </w:p>
          <w:p w:rsidR="00654320" w:rsidRPr="00A20F00" w:rsidRDefault="00287978" w:rsidP="00501C41">
            <w:pPr>
              <w:pStyle w:val="Tablehead"/>
              <w:rPr>
                <w:color w:val="FFFFFF" w:themeColor="background1"/>
              </w:rPr>
            </w:pPr>
            <w:r w:rsidRPr="00A20F00">
              <w:rPr>
                <w:color w:val="FFFFFF" w:themeColor="background1"/>
              </w:rPr>
              <w:t>Внутренний контроль</w:t>
            </w:r>
            <w:r w:rsidR="00654320" w:rsidRPr="00A20F00">
              <w:rPr>
                <w:color w:val="FFFFFF" w:themeColor="background1"/>
              </w:rPr>
              <w:t xml:space="preserve"> </w:t>
            </w:r>
            <w:r w:rsidRPr="00A20F00">
              <w:rPr>
                <w:color w:val="FFFFFF" w:themeColor="background1"/>
              </w:rPr>
              <w:t>и управление рисками</w:t>
            </w:r>
          </w:p>
        </w:tc>
        <w:tc>
          <w:tcPr>
            <w:tcW w:w="3117" w:type="dxa"/>
            <w:shd w:val="clear" w:color="auto" w:fill="365F91" w:themeFill="accent1" w:themeFillShade="BF"/>
          </w:tcPr>
          <w:p w:rsidR="00654320" w:rsidRPr="00A20F00" w:rsidRDefault="00287978" w:rsidP="00501C41">
            <w:pPr>
              <w:pStyle w:val="Tablehead"/>
              <w:rPr>
                <w:color w:val="FFFFFF" w:themeColor="background1"/>
              </w:rPr>
            </w:pPr>
            <w:r w:rsidRPr="00A20F00">
              <w:rPr>
                <w:color w:val="FFFFFF" w:themeColor="background1"/>
              </w:rPr>
              <w:t xml:space="preserve">Принцип </w:t>
            </w:r>
            <w:r w:rsidR="00654320" w:rsidRPr="00A20F00">
              <w:rPr>
                <w:color w:val="FFFFFF" w:themeColor="background1"/>
              </w:rPr>
              <w:t>3</w:t>
            </w:r>
          </w:p>
          <w:p w:rsidR="00654320" w:rsidRPr="00A20F00" w:rsidRDefault="00287978" w:rsidP="00501C41">
            <w:pPr>
              <w:pStyle w:val="Tablehead"/>
              <w:rPr>
                <w:color w:val="FFFFFF" w:themeColor="background1"/>
              </w:rPr>
            </w:pPr>
            <w:r w:rsidRPr="00A20F00">
              <w:rPr>
                <w:color w:val="FFFFFF" w:themeColor="background1"/>
              </w:rPr>
              <w:t>Жалобы и</w:t>
            </w:r>
            <w:r w:rsidR="00654320" w:rsidRPr="00A20F00">
              <w:rPr>
                <w:color w:val="FFFFFF" w:themeColor="background1"/>
              </w:rPr>
              <w:t xml:space="preserve"> </w:t>
            </w:r>
            <w:r w:rsidRPr="00A20F00">
              <w:rPr>
                <w:color w:val="FFFFFF" w:themeColor="background1"/>
              </w:rPr>
              <w:t xml:space="preserve">механизм </w:t>
            </w:r>
            <w:r w:rsidR="0007743D" w:rsidRPr="00A20F00">
              <w:rPr>
                <w:color w:val="FFFFFF" w:themeColor="background1"/>
              </w:rPr>
              <w:t xml:space="preserve">реагирования на них </w:t>
            </w:r>
          </w:p>
        </w:tc>
      </w:tr>
      <w:tr w:rsidR="00654320" w:rsidRPr="00A20F00" w:rsidTr="00501C41">
        <w:tc>
          <w:tcPr>
            <w:tcW w:w="3116" w:type="dxa"/>
            <w:shd w:val="clear" w:color="auto" w:fill="B8CCE4" w:themeFill="accent1" w:themeFillTint="66"/>
          </w:tcPr>
          <w:p w:rsidR="00654320" w:rsidRPr="00A20F00" w:rsidRDefault="00501C41" w:rsidP="00501C41">
            <w:pPr>
              <w:pStyle w:val="Tabletext"/>
              <w:ind w:left="313" w:hanging="313"/>
            </w:pPr>
            <w:r w:rsidRPr="00A20F00">
              <w:t>−</w:t>
            </w:r>
            <w:r w:rsidRPr="00A20F00">
              <w:tab/>
            </w:r>
            <w:r w:rsidR="000F4120" w:rsidRPr="00A20F00">
              <w:t>Основополагающие документы МСЭ</w:t>
            </w:r>
            <w:r w:rsidR="00654320" w:rsidRPr="00A20F00">
              <w:t xml:space="preserve">, </w:t>
            </w:r>
            <w:r w:rsidR="000F4120" w:rsidRPr="00A20F00">
              <w:t>соответствующие соглашения и договора</w:t>
            </w:r>
          </w:p>
          <w:p w:rsidR="00654320" w:rsidRPr="00A20F00" w:rsidRDefault="00501C41" w:rsidP="00501C41">
            <w:pPr>
              <w:pStyle w:val="Tabletext"/>
              <w:ind w:left="313" w:hanging="313"/>
            </w:pPr>
            <w:r w:rsidRPr="00A20F00">
              <w:t>−</w:t>
            </w:r>
            <w:r w:rsidRPr="00A20F00">
              <w:tab/>
            </w:r>
            <w:r w:rsidR="000F4120" w:rsidRPr="00A20F00">
              <w:t>Структура результатов деятельности МСЭ</w:t>
            </w:r>
          </w:p>
        </w:tc>
        <w:tc>
          <w:tcPr>
            <w:tcW w:w="3117" w:type="dxa"/>
            <w:shd w:val="clear" w:color="auto" w:fill="B8CCE4" w:themeFill="accent1" w:themeFillTint="66"/>
          </w:tcPr>
          <w:p w:rsidR="00654320" w:rsidRPr="00A20F00" w:rsidRDefault="00501C41" w:rsidP="00501C41">
            <w:pPr>
              <w:pStyle w:val="Tabletext"/>
              <w:ind w:left="315" w:hanging="315"/>
            </w:pPr>
            <w:r w:rsidRPr="00A20F00">
              <w:t>−</w:t>
            </w:r>
            <w:r w:rsidRPr="00A20F00">
              <w:tab/>
            </w:r>
            <w:r w:rsidR="000F4120" w:rsidRPr="00A20F00">
              <w:t>Условия осуществления контроля</w:t>
            </w:r>
          </w:p>
          <w:p w:rsidR="00654320" w:rsidRPr="00A20F00" w:rsidRDefault="00501C41" w:rsidP="00501C41">
            <w:pPr>
              <w:pStyle w:val="Tabletext"/>
              <w:ind w:left="315" w:hanging="315"/>
            </w:pPr>
            <w:r w:rsidRPr="00A20F00">
              <w:t>−</w:t>
            </w:r>
            <w:r w:rsidRPr="00A20F00">
              <w:tab/>
            </w:r>
            <w:r w:rsidR="000F4120" w:rsidRPr="00A20F00">
              <w:t>Деятельность по контролю</w:t>
            </w:r>
          </w:p>
          <w:p w:rsidR="00654320" w:rsidRPr="00A20F00" w:rsidRDefault="00501C41" w:rsidP="00501C41">
            <w:pPr>
              <w:pStyle w:val="Tabletext"/>
              <w:ind w:left="315" w:hanging="315"/>
            </w:pPr>
            <w:r w:rsidRPr="00A20F00">
              <w:t>−</w:t>
            </w:r>
            <w:r w:rsidRPr="00A20F00">
              <w:tab/>
            </w:r>
            <w:r w:rsidR="000F4120" w:rsidRPr="00A20F00">
              <w:t>Оценка рисков</w:t>
            </w:r>
          </w:p>
          <w:p w:rsidR="00654320" w:rsidRPr="00A20F00" w:rsidRDefault="00501C41" w:rsidP="00501C41">
            <w:pPr>
              <w:pStyle w:val="Tabletext"/>
              <w:ind w:left="315" w:hanging="315"/>
            </w:pPr>
            <w:r w:rsidRPr="00A20F00">
              <w:t>−</w:t>
            </w:r>
            <w:r w:rsidRPr="00A20F00">
              <w:tab/>
            </w:r>
            <w:r w:rsidR="000F4120" w:rsidRPr="00A20F00">
              <w:t>Мониторинг</w:t>
            </w:r>
          </w:p>
        </w:tc>
        <w:tc>
          <w:tcPr>
            <w:tcW w:w="3117" w:type="dxa"/>
            <w:shd w:val="clear" w:color="auto" w:fill="B8CCE4" w:themeFill="accent1" w:themeFillTint="66"/>
          </w:tcPr>
          <w:p w:rsidR="00654320" w:rsidRPr="00A20F00" w:rsidRDefault="00501C41" w:rsidP="00501C41">
            <w:pPr>
              <w:pStyle w:val="Tabletext"/>
              <w:ind w:left="317" w:hanging="317"/>
            </w:pPr>
            <w:r w:rsidRPr="00A20F00">
              <w:t>−</w:t>
            </w:r>
            <w:r w:rsidRPr="00A20F00">
              <w:tab/>
            </w:r>
            <w:r w:rsidR="000F4120" w:rsidRPr="00A20F00">
              <w:t>Закупки</w:t>
            </w:r>
          </w:p>
          <w:p w:rsidR="00654320" w:rsidRPr="00A20F00" w:rsidRDefault="00501C41" w:rsidP="00501C41">
            <w:pPr>
              <w:pStyle w:val="Tabletext"/>
              <w:ind w:left="317" w:hanging="317"/>
            </w:pPr>
            <w:r w:rsidRPr="00A20F00">
              <w:t>−</w:t>
            </w:r>
            <w:r w:rsidRPr="00A20F00">
              <w:tab/>
            </w:r>
            <w:r w:rsidR="000F4120" w:rsidRPr="00A20F00">
              <w:t>Персонал МСЭ</w:t>
            </w:r>
          </w:p>
          <w:p w:rsidR="00654320" w:rsidRPr="00A20F00" w:rsidRDefault="00501C41" w:rsidP="00501C41">
            <w:pPr>
              <w:pStyle w:val="Tabletext"/>
              <w:ind w:left="317" w:hanging="317"/>
            </w:pPr>
            <w:r w:rsidRPr="00A20F00">
              <w:t>−</w:t>
            </w:r>
            <w:r w:rsidRPr="00A20F00">
              <w:tab/>
            </w:r>
            <w:r w:rsidR="000F4120" w:rsidRPr="00A20F00">
              <w:t>Члены</w:t>
            </w:r>
            <w:r w:rsidR="00654320" w:rsidRPr="00A20F00">
              <w:t xml:space="preserve"> </w:t>
            </w:r>
            <w:r w:rsidR="000F4120" w:rsidRPr="00A20F00">
              <w:t>и другие пользователи услуг</w:t>
            </w:r>
            <w:r w:rsidR="00654320" w:rsidRPr="00A20F00">
              <w:t xml:space="preserve"> </w:t>
            </w:r>
            <w:r w:rsidR="000F4120" w:rsidRPr="00A20F00">
              <w:t>МСЭ</w:t>
            </w:r>
          </w:p>
        </w:tc>
      </w:tr>
    </w:tbl>
    <w:p w:rsidR="00654320" w:rsidRPr="00A20F00" w:rsidRDefault="00501C41" w:rsidP="00F01F72">
      <w:r w:rsidRPr="00A20F00">
        <w:t>6</w:t>
      </w:r>
      <w:r w:rsidR="00654320" w:rsidRPr="00A20F00">
        <w:tab/>
      </w:r>
      <w:r w:rsidR="003D3116" w:rsidRPr="00A20F00">
        <w:t>Цель этой системы</w:t>
      </w:r>
      <w:r w:rsidR="00654320" w:rsidRPr="00A20F00">
        <w:t xml:space="preserve"> </w:t>
      </w:r>
      <w:r w:rsidRPr="00A20F00">
        <w:t>−</w:t>
      </w:r>
      <w:r w:rsidR="00654320" w:rsidRPr="00A20F00">
        <w:t xml:space="preserve"> </w:t>
      </w:r>
      <w:r w:rsidR="00A142FA" w:rsidRPr="00A20F00">
        <w:t>закрепить культуру подотчетности</w:t>
      </w:r>
      <w:r w:rsidR="00654320" w:rsidRPr="00A20F00">
        <w:t xml:space="preserve"> </w:t>
      </w:r>
      <w:r w:rsidR="00A142FA" w:rsidRPr="00A20F00">
        <w:t>и прозрачности во всем Союзе</w:t>
      </w:r>
      <w:r w:rsidR="00654320" w:rsidRPr="00A20F00">
        <w:t xml:space="preserve"> </w:t>
      </w:r>
      <w:r w:rsidR="00A142FA" w:rsidRPr="00A20F00">
        <w:t>на основе</w:t>
      </w:r>
      <w:r w:rsidR="00654320" w:rsidRPr="00A20F00">
        <w:t xml:space="preserve">: </w:t>
      </w:r>
      <w:r w:rsidR="00A142FA" w:rsidRPr="00A20F00">
        <w:t>четк</w:t>
      </w:r>
      <w:r w:rsidR="00F01F72" w:rsidRPr="00A20F00">
        <w:t>их</w:t>
      </w:r>
      <w:r w:rsidR="00A142FA" w:rsidRPr="00A20F00">
        <w:t xml:space="preserve"> ориентиров</w:t>
      </w:r>
      <w:r w:rsidR="00F01F72" w:rsidRPr="00A20F00">
        <w:t xml:space="preserve"> со стороны </w:t>
      </w:r>
      <w:r w:rsidR="00A142FA" w:rsidRPr="00A20F00">
        <w:t>Государств-Членов</w:t>
      </w:r>
      <w:r w:rsidR="00654320" w:rsidRPr="00A20F00">
        <w:t xml:space="preserve">; </w:t>
      </w:r>
      <w:r w:rsidR="00A142FA" w:rsidRPr="00A20F00">
        <w:t>надлежащего осуществления</w:t>
      </w:r>
      <w:r w:rsidR="00654320" w:rsidRPr="00A20F00">
        <w:t xml:space="preserve"> (</w:t>
      </w:r>
      <w:r w:rsidR="00A142FA" w:rsidRPr="00A20F00">
        <w:t>планирования</w:t>
      </w:r>
      <w:r w:rsidR="00654320" w:rsidRPr="00A20F00">
        <w:t xml:space="preserve">, </w:t>
      </w:r>
      <w:r w:rsidR="00A142FA" w:rsidRPr="00A20F00">
        <w:t>управления и отчетности</w:t>
      </w:r>
      <w:r w:rsidR="00654320" w:rsidRPr="00A20F00">
        <w:t xml:space="preserve">) </w:t>
      </w:r>
      <w:r w:rsidR="00A142FA" w:rsidRPr="00A20F00">
        <w:t>Секретариатом</w:t>
      </w:r>
      <w:r w:rsidR="00654320" w:rsidRPr="00A20F00">
        <w:t xml:space="preserve">; </w:t>
      </w:r>
      <w:r w:rsidR="00A142FA" w:rsidRPr="00A20F00">
        <w:t>надлежащего внутреннего и внешнего</w:t>
      </w:r>
      <w:r w:rsidR="00654320" w:rsidRPr="00A20F00">
        <w:t xml:space="preserve"> </w:t>
      </w:r>
      <w:r w:rsidR="00A142FA" w:rsidRPr="00A20F00">
        <w:t>контроля</w:t>
      </w:r>
      <w:r w:rsidR="00654320" w:rsidRPr="00A20F00">
        <w:t>/</w:t>
      </w:r>
      <w:r w:rsidR="00A142FA" w:rsidRPr="00A20F00">
        <w:t>надзора</w:t>
      </w:r>
      <w:r w:rsidR="00654320" w:rsidRPr="00A20F00">
        <w:t xml:space="preserve">; </w:t>
      </w:r>
      <w:r w:rsidR="00A142FA" w:rsidRPr="00A20F00">
        <w:t>и</w:t>
      </w:r>
      <w:r w:rsidR="00654320" w:rsidRPr="00A20F00">
        <w:t xml:space="preserve"> </w:t>
      </w:r>
      <w:r w:rsidR="00A142FA" w:rsidRPr="00A20F00">
        <w:t>соответствующих механизмов подачи жалоб и</w:t>
      </w:r>
      <w:r w:rsidR="00654320" w:rsidRPr="00A20F00">
        <w:t xml:space="preserve"> </w:t>
      </w:r>
      <w:r w:rsidR="00A142FA" w:rsidRPr="00A20F00">
        <w:t>реагирования на них</w:t>
      </w:r>
      <w:r w:rsidR="00654320" w:rsidRPr="00A20F00">
        <w:t>.</w:t>
      </w:r>
    </w:p>
    <w:p w:rsidR="00654320" w:rsidRPr="00A20F00" w:rsidRDefault="00501C41" w:rsidP="00501C41">
      <w:r w:rsidRPr="00A20F00">
        <w:t>7</w:t>
      </w:r>
      <w:r w:rsidR="00654320" w:rsidRPr="00A20F00">
        <w:tab/>
      </w:r>
      <w:r w:rsidR="006F0EEE" w:rsidRPr="00A20F00">
        <w:t xml:space="preserve">Система </w:t>
      </w:r>
      <w:r w:rsidR="00C2248F" w:rsidRPr="00A20F00">
        <w:t>под</w:t>
      </w:r>
      <w:r w:rsidR="006F0EEE" w:rsidRPr="00A20F00">
        <w:t>отчетности МСЭ</w:t>
      </w:r>
      <w:r w:rsidR="00654320" w:rsidRPr="00A20F00">
        <w:t xml:space="preserve"> </w:t>
      </w:r>
      <w:r w:rsidR="00C2248F" w:rsidRPr="00A20F00">
        <w:t>устанавливает</w:t>
      </w:r>
      <w:r w:rsidR="006F0EEE" w:rsidRPr="00A20F00">
        <w:t xml:space="preserve"> пять </w:t>
      </w:r>
      <w:r w:rsidR="008A28A8" w:rsidRPr="00A20F00">
        <w:t xml:space="preserve">следующих </w:t>
      </w:r>
      <w:r w:rsidR="006F0EEE" w:rsidRPr="00A20F00">
        <w:t>ключевых принципов,</w:t>
      </w:r>
      <w:r w:rsidR="00654320" w:rsidRPr="00A20F00">
        <w:t xml:space="preserve"> </w:t>
      </w:r>
      <w:r w:rsidR="006F0EEE" w:rsidRPr="00A20F00">
        <w:t>помогающих</w:t>
      </w:r>
      <w:r w:rsidR="00654320" w:rsidRPr="00A20F00">
        <w:t xml:space="preserve"> </w:t>
      </w:r>
      <w:r w:rsidR="00C2248F" w:rsidRPr="00A20F00">
        <w:t>определить</w:t>
      </w:r>
      <w:r w:rsidR="006F0EEE" w:rsidRPr="00A20F00">
        <w:t xml:space="preserve"> и </w:t>
      </w:r>
      <w:r w:rsidR="00C2248F" w:rsidRPr="00A20F00">
        <w:t>ориентировать</w:t>
      </w:r>
      <w:r w:rsidR="006F0EEE" w:rsidRPr="00A20F00">
        <w:t xml:space="preserve"> культуру подотчетности</w:t>
      </w:r>
      <w:r w:rsidR="00654320" w:rsidRPr="00A20F00">
        <w:t xml:space="preserve"> (</w:t>
      </w:r>
      <w:r w:rsidR="006F0EEE" w:rsidRPr="00A20F00">
        <w:t>в соответствии с отчетом ОИГ</w:t>
      </w:r>
      <w:r w:rsidR="00654320" w:rsidRPr="00A20F00">
        <w:t>)</w:t>
      </w:r>
      <w:r w:rsidR="006F0EEE" w:rsidRPr="00A20F00">
        <w:t>,</w:t>
      </w:r>
      <w:r w:rsidR="00654320" w:rsidRPr="00A20F00">
        <w:t xml:space="preserve"> </w:t>
      </w:r>
      <w:r w:rsidR="006F0EEE" w:rsidRPr="00A20F00">
        <w:t>и</w:t>
      </w:r>
      <w:r w:rsidR="00654320" w:rsidRPr="00A20F00">
        <w:t xml:space="preserve"> </w:t>
      </w:r>
      <w:r w:rsidR="006F0EEE" w:rsidRPr="00A20F00">
        <w:t>имеет целью</w:t>
      </w:r>
      <w:r w:rsidR="00654320" w:rsidRPr="00A20F00">
        <w:t xml:space="preserve"> </w:t>
      </w:r>
      <w:r w:rsidR="006F0EEE" w:rsidRPr="00A20F00">
        <w:t>полностью реализовать их в Союзе</w:t>
      </w:r>
      <w:r w:rsidR="00654320" w:rsidRPr="00A20F00">
        <w:t>:</w:t>
      </w:r>
    </w:p>
    <w:p w:rsidR="00654320" w:rsidRPr="00A20F00" w:rsidRDefault="00501C41" w:rsidP="00501C41">
      <w:pPr>
        <w:pStyle w:val="enumlev1"/>
      </w:pPr>
      <w:r w:rsidRPr="00A20F00">
        <w:t>a)</w:t>
      </w:r>
      <w:r w:rsidRPr="00A20F00">
        <w:tab/>
      </w:r>
      <w:r w:rsidR="003D3116" w:rsidRPr="00A20F00">
        <w:t xml:space="preserve">управлять </w:t>
      </w:r>
      <w:r w:rsidR="008A28A8" w:rsidRPr="00A20F00">
        <w:t>с учетом ценностей</w:t>
      </w:r>
      <w:r w:rsidR="00654320" w:rsidRPr="00A20F00">
        <w:t xml:space="preserve"> </w:t>
      </w:r>
      <w:r w:rsidR="008A28A8" w:rsidRPr="00A20F00">
        <w:t>и</w:t>
      </w:r>
      <w:r w:rsidR="00654320" w:rsidRPr="00A20F00">
        <w:t xml:space="preserve"> </w:t>
      </w:r>
      <w:r w:rsidR="008A28A8" w:rsidRPr="00A20F00">
        <w:t>служить примеро</w:t>
      </w:r>
      <w:r w:rsidR="00A6244D" w:rsidRPr="00A20F00">
        <w:t>м</w:t>
      </w:r>
      <w:r w:rsidR="00654320" w:rsidRPr="00A20F00">
        <w:t xml:space="preserve"> – </w:t>
      </w:r>
      <w:r w:rsidR="008A28A8" w:rsidRPr="00A20F00">
        <w:t>подотчетность</w:t>
      </w:r>
      <w:r w:rsidR="00654320" w:rsidRPr="00A20F00">
        <w:t xml:space="preserve"> </w:t>
      </w:r>
      <w:r w:rsidR="008A28A8" w:rsidRPr="00A20F00">
        <w:t>как</w:t>
      </w:r>
      <w:r w:rsidR="00654320" w:rsidRPr="00A20F00">
        <w:t xml:space="preserve"> </w:t>
      </w:r>
      <w:r w:rsidR="008A28A8" w:rsidRPr="00A20F00">
        <w:t>высший приоритет</w:t>
      </w:r>
      <w:r w:rsidR="00654320" w:rsidRPr="00A20F00">
        <w:t xml:space="preserve"> </w:t>
      </w:r>
      <w:r w:rsidR="008A28A8" w:rsidRPr="00A20F00">
        <w:t>в повседневной деятельности,</w:t>
      </w:r>
      <w:r w:rsidR="00654320" w:rsidRPr="00A20F00">
        <w:t xml:space="preserve"> </w:t>
      </w:r>
      <w:r w:rsidR="008A28A8" w:rsidRPr="00A20F00">
        <w:t>подтвержденный</w:t>
      </w:r>
      <w:r w:rsidR="00654320" w:rsidRPr="00A20F00">
        <w:t xml:space="preserve"> </w:t>
      </w:r>
      <w:r w:rsidR="008A28A8" w:rsidRPr="00A20F00">
        <w:t>высокими стандартами</w:t>
      </w:r>
      <w:r w:rsidR="00654320" w:rsidRPr="00A20F00">
        <w:t xml:space="preserve"> </w:t>
      </w:r>
      <w:r w:rsidR="00A6244D" w:rsidRPr="00A20F00">
        <w:t>добросовестности</w:t>
      </w:r>
      <w:r w:rsidR="00654320" w:rsidRPr="00A20F00">
        <w:t xml:space="preserve"> </w:t>
      </w:r>
      <w:r w:rsidR="00A6244D" w:rsidRPr="00A20F00">
        <w:t>высшего руководства</w:t>
      </w:r>
      <w:r w:rsidR="003D3116" w:rsidRPr="00A20F00">
        <w:t>;</w:t>
      </w:r>
    </w:p>
    <w:p w:rsidR="00654320" w:rsidRPr="00A20F00" w:rsidRDefault="00501C41" w:rsidP="00501C41">
      <w:pPr>
        <w:pStyle w:val="enumlev1"/>
      </w:pPr>
      <w:r w:rsidRPr="00A20F00">
        <w:lastRenderedPageBreak/>
        <w:t>b)</w:t>
      </w:r>
      <w:r w:rsidRPr="00A20F00">
        <w:tab/>
      </w:r>
      <w:r w:rsidR="003D3116" w:rsidRPr="00A20F00">
        <w:t xml:space="preserve">управлять </w:t>
      </w:r>
      <w:r w:rsidR="00A6244D" w:rsidRPr="00A20F00">
        <w:t>на основе информации и связи</w:t>
      </w:r>
      <w:r w:rsidR="00654320" w:rsidRPr="00A20F00">
        <w:t xml:space="preserve"> – </w:t>
      </w:r>
      <w:r w:rsidR="00A6244D" w:rsidRPr="00A20F00">
        <w:t>подотчетность</w:t>
      </w:r>
      <w:r w:rsidR="00654320" w:rsidRPr="00A20F00">
        <w:t xml:space="preserve"> </w:t>
      </w:r>
      <w:r w:rsidR="00A6244D" w:rsidRPr="00A20F00">
        <w:t>через прозрачность</w:t>
      </w:r>
      <w:r w:rsidR="00654320" w:rsidRPr="00A20F00">
        <w:t xml:space="preserve"> </w:t>
      </w:r>
      <w:r w:rsidR="00A6244D" w:rsidRPr="00A20F00">
        <w:t>принятия решений</w:t>
      </w:r>
      <w:r w:rsidR="003D3116" w:rsidRPr="00A20F00">
        <w:t>;</w:t>
      </w:r>
    </w:p>
    <w:p w:rsidR="00654320" w:rsidRPr="00A20F00" w:rsidRDefault="00501C41" w:rsidP="00501C41">
      <w:pPr>
        <w:pStyle w:val="enumlev1"/>
      </w:pPr>
      <w:r w:rsidRPr="00A20F00">
        <w:t>c)</w:t>
      </w:r>
      <w:r w:rsidRPr="00A20F00">
        <w:tab/>
      </w:r>
      <w:r w:rsidR="003D3116" w:rsidRPr="00A20F00">
        <w:t xml:space="preserve">управлять </w:t>
      </w:r>
      <w:r w:rsidR="00A6244D" w:rsidRPr="00A20F00">
        <w:t>с учетом мотивации</w:t>
      </w:r>
      <w:r w:rsidR="00654320" w:rsidRPr="00A20F00">
        <w:t xml:space="preserve"> – </w:t>
      </w:r>
      <w:r w:rsidR="00A6244D" w:rsidRPr="00A20F00">
        <w:t>подотчетность</w:t>
      </w:r>
      <w:r w:rsidR="00654320" w:rsidRPr="00A20F00">
        <w:t xml:space="preserve"> </w:t>
      </w:r>
      <w:r w:rsidR="00A6244D" w:rsidRPr="00A20F00">
        <w:t>через признание</w:t>
      </w:r>
      <w:r w:rsidR="00654320" w:rsidRPr="00A20F00">
        <w:t xml:space="preserve"> </w:t>
      </w:r>
      <w:r w:rsidR="00A6244D" w:rsidRPr="00A20F00">
        <w:t>достижений персонала</w:t>
      </w:r>
      <w:r w:rsidR="003D3116" w:rsidRPr="00A20F00">
        <w:t>;</w:t>
      </w:r>
    </w:p>
    <w:p w:rsidR="00654320" w:rsidRPr="00A20F00" w:rsidRDefault="00501C41" w:rsidP="00501C41">
      <w:pPr>
        <w:pStyle w:val="enumlev1"/>
      </w:pPr>
      <w:r w:rsidRPr="00A20F00">
        <w:t>d)</w:t>
      </w:r>
      <w:r w:rsidRPr="00A20F00">
        <w:tab/>
      </w:r>
      <w:r w:rsidR="003D3116" w:rsidRPr="00A20F00">
        <w:t xml:space="preserve">управлять </w:t>
      </w:r>
      <w:r w:rsidR="00A6244D" w:rsidRPr="00A20F00">
        <w:t>через</w:t>
      </w:r>
      <w:r w:rsidR="00654320" w:rsidRPr="00A20F00">
        <w:t xml:space="preserve"> </w:t>
      </w:r>
      <w:r w:rsidR="00A6244D" w:rsidRPr="00A20F00">
        <w:t>руководящие указания и дисциплину</w:t>
      </w:r>
      <w:r w:rsidR="00FE7868" w:rsidRPr="00A20F00">
        <w:t xml:space="preserve"> </w:t>
      </w:r>
      <w:r w:rsidR="00654320" w:rsidRPr="00A20F00">
        <w:t>–</w:t>
      </w:r>
      <w:r w:rsidR="00FE7868" w:rsidRPr="00A20F00">
        <w:t xml:space="preserve"> </w:t>
      </w:r>
      <w:r w:rsidR="00C2248F" w:rsidRPr="00A20F00">
        <w:t>политика нетерпимости</w:t>
      </w:r>
      <w:r w:rsidR="00654320" w:rsidRPr="00A20F00">
        <w:t xml:space="preserve"> </w:t>
      </w:r>
      <w:r w:rsidR="00C2248F" w:rsidRPr="00A20F00">
        <w:t>в отношении неприемлемого поведения</w:t>
      </w:r>
      <w:r w:rsidR="00654320" w:rsidRPr="00A20F00">
        <w:t xml:space="preserve"> </w:t>
      </w:r>
      <w:r w:rsidR="00C2248F" w:rsidRPr="00A20F00">
        <w:t>на всех уровнях</w:t>
      </w:r>
      <w:r w:rsidR="003D3116" w:rsidRPr="00A20F00">
        <w:t>;</w:t>
      </w:r>
    </w:p>
    <w:p w:rsidR="00654320" w:rsidRPr="00A20F00" w:rsidRDefault="00501C41" w:rsidP="00501C41">
      <w:pPr>
        <w:pStyle w:val="enumlev1"/>
      </w:pPr>
      <w:r w:rsidRPr="00A20F00">
        <w:t>e)</w:t>
      </w:r>
      <w:r w:rsidRPr="00A20F00">
        <w:tab/>
      </w:r>
      <w:r w:rsidR="003D3116" w:rsidRPr="00A20F00">
        <w:t xml:space="preserve">управлять </w:t>
      </w:r>
      <w:r w:rsidR="00C2248F" w:rsidRPr="00A20F00">
        <w:t>через участие</w:t>
      </w:r>
      <w:r w:rsidR="00654320" w:rsidRPr="00A20F00">
        <w:t xml:space="preserve"> – </w:t>
      </w:r>
      <w:r w:rsidR="00C2248F" w:rsidRPr="00A20F00">
        <w:t>открытый диалог</w:t>
      </w:r>
      <w:r w:rsidR="00654320" w:rsidRPr="00A20F00">
        <w:t xml:space="preserve"> </w:t>
      </w:r>
      <w:r w:rsidR="00C2248F" w:rsidRPr="00A20F00">
        <w:t>будет стимулировать</w:t>
      </w:r>
      <w:r w:rsidR="00654320" w:rsidRPr="00A20F00">
        <w:t xml:space="preserve"> </w:t>
      </w:r>
      <w:r w:rsidR="00C2248F" w:rsidRPr="00A20F00">
        <w:t>взаимную</w:t>
      </w:r>
      <w:r w:rsidR="00654320" w:rsidRPr="00A20F00">
        <w:t xml:space="preserve"> </w:t>
      </w:r>
      <w:r w:rsidR="00A6244D" w:rsidRPr="00A20F00">
        <w:t>подотчетность</w:t>
      </w:r>
      <w:r w:rsidR="00654320" w:rsidRPr="00A20F00">
        <w:t>.</w:t>
      </w:r>
    </w:p>
    <w:p w:rsidR="00654320" w:rsidRPr="00A20F00" w:rsidRDefault="00654320" w:rsidP="00501C41">
      <w:pPr>
        <w:pStyle w:val="Heading1"/>
      </w:pPr>
      <w:r w:rsidRPr="00A20F00">
        <w:t>IV</w:t>
      </w:r>
      <w:r w:rsidR="00501C41" w:rsidRPr="00A20F00">
        <w:tab/>
      </w:r>
      <w:r w:rsidR="00C2248F" w:rsidRPr="00A20F00">
        <w:t>Принципы системы п</w:t>
      </w:r>
      <w:r w:rsidR="00A6244D" w:rsidRPr="00A20F00">
        <w:t>одотчетност</w:t>
      </w:r>
      <w:r w:rsidR="00C2248F" w:rsidRPr="00A20F00">
        <w:t>и МСЭ</w:t>
      </w:r>
    </w:p>
    <w:p w:rsidR="00654320" w:rsidRPr="00A20F00" w:rsidRDefault="00C2248F" w:rsidP="00501C41">
      <w:pPr>
        <w:pStyle w:val="Headingb"/>
      </w:pPr>
      <w:r w:rsidRPr="00A20F00">
        <w:t>Принцип</w:t>
      </w:r>
      <w:r w:rsidR="00654320" w:rsidRPr="00A20F00">
        <w:t xml:space="preserve"> 1 </w:t>
      </w:r>
      <w:r w:rsidR="00501C41" w:rsidRPr="00A20F00">
        <w:t>−</w:t>
      </w:r>
      <w:r w:rsidR="00654320" w:rsidRPr="00A20F00">
        <w:t xml:space="preserve"> </w:t>
      </w:r>
      <w:r w:rsidRPr="00A20F00">
        <w:t>Соглашение с Государствами-Членами,</w:t>
      </w:r>
      <w:r w:rsidR="00654320" w:rsidRPr="00A20F00">
        <w:t xml:space="preserve"> </w:t>
      </w:r>
      <w:r w:rsidRPr="00A20F00">
        <w:t>Членами Секторов</w:t>
      </w:r>
      <w:r w:rsidR="00654320" w:rsidRPr="00A20F00">
        <w:t xml:space="preserve">, </w:t>
      </w:r>
      <w:r w:rsidRPr="00A20F00">
        <w:t>Ассоциированными членами</w:t>
      </w:r>
      <w:r w:rsidR="00654320" w:rsidRPr="00A20F00">
        <w:t xml:space="preserve">, </w:t>
      </w:r>
      <w:r w:rsidRPr="00A20F00">
        <w:t>Академическими организациями</w:t>
      </w:r>
      <w:r w:rsidR="00654320" w:rsidRPr="00A20F00">
        <w:t xml:space="preserve"> </w:t>
      </w:r>
      <w:r w:rsidRPr="00A20F00">
        <w:t>и пользователями услуг МСЭ</w:t>
      </w:r>
    </w:p>
    <w:p w:rsidR="00654320" w:rsidRPr="00A20F00" w:rsidRDefault="00501C41" w:rsidP="003D3116">
      <w:r w:rsidRPr="00A20F00">
        <w:t>8</w:t>
      </w:r>
      <w:r w:rsidR="00654320" w:rsidRPr="00A20F00">
        <w:tab/>
      </w:r>
      <w:r w:rsidR="007F54F5" w:rsidRPr="00A20F00">
        <w:t>Первый принцип системы подотчетности МСЭ основывается на взаимной</w:t>
      </w:r>
      <w:r w:rsidR="00654320" w:rsidRPr="00A20F00">
        <w:t xml:space="preserve"> </w:t>
      </w:r>
      <w:r w:rsidR="00A6244D" w:rsidRPr="00A20F00">
        <w:t>подотчетност</w:t>
      </w:r>
      <w:r w:rsidR="007F54F5" w:rsidRPr="00A20F00">
        <w:t>и, т.</w:t>
      </w:r>
      <w:r w:rsidR="003D3116" w:rsidRPr="00A20F00">
        <w:t> </w:t>
      </w:r>
      <w:r w:rsidR="007F54F5" w:rsidRPr="00A20F00">
        <w:t>е.</w:t>
      </w:r>
      <w:r w:rsidR="003D3116" w:rsidRPr="00A20F00">
        <w:t> </w:t>
      </w:r>
      <w:r w:rsidR="007F54F5" w:rsidRPr="00A20F00">
        <w:t xml:space="preserve">альянсе с </w:t>
      </w:r>
      <w:r w:rsidR="00FE7868" w:rsidRPr="00A20F00">
        <w:t>его</w:t>
      </w:r>
      <w:r w:rsidR="007F54F5" w:rsidRPr="00A20F00">
        <w:t xml:space="preserve"> Членами</w:t>
      </w:r>
      <w:r w:rsidR="00654320" w:rsidRPr="00A20F00">
        <w:t xml:space="preserve">. </w:t>
      </w:r>
      <w:r w:rsidR="007F54F5" w:rsidRPr="00A20F00">
        <w:t>Это согласие</w:t>
      </w:r>
      <w:r w:rsidR="00654320" w:rsidRPr="00A20F00">
        <w:t xml:space="preserve"> (</w:t>
      </w:r>
      <w:r w:rsidR="007F54F5" w:rsidRPr="00A20F00">
        <w:t>соглашение</w:t>
      </w:r>
      <w:r w:rsidR="00654320" w:rsidRPr="00A20F00">
        <w:t xml:space="preserve">) </w:t>
      </w:r>
      <w:r w:rsidR="007F54F5" w:rsidRPr="00A20F00">
        <w:t>закреплено в документах,</w:t>
      </w:r>
      <w:r w:rsidR="00654320" w:rsidRPr="00A20F00">
        <w:t xml:space="preserve"> </w:t>
      </w:r>
      <w:r w:rsidR="007F54F5" w:rsidRPr="00A20F00">
        <w:t>перечисленных ниже</w:t>
      </w:r>
      <w:r w:rsidR="00654320" w:rsidRPr="00A20F00">
        <w:t xml:space="preserve">, </w:t>
      </w:r>
      <w:r w:rsidR="007F54F5" w:rsidRPr="00A20F00">
        <w:t>а его мониторинг осуществляется</w:t>
      </w:r>
      <w:r w:rsidR="00C7251D" w:rsidRPr="00A20F00">
        <w:t xml:space="preserve"> через</w:t>
      </w:r>
      <w:r w:rsidR="007F54F5" w:rsidRPr="00A20F00">
        <w:t xml:space="preserve"> </w:t>
      </w:r>
      <w:r w:rsidR="007F54F5" w:rsidRPr="00A20F00">
        <w:rPr>
          <w:color w:val="000000"/>
        </w:rPr>
        <w:t>структур</w:t>
      </w:r>
      <w:r w:rsidR="00C7251D" w:rsidRPr="00A20F00">
        <w:rPr>
          <w:color w:val="000000"/>
        </w:rPr>
        <w:t>у</w:t>
      </w:r>
      <w:r w:rsidR="007F54F5" w:rsidRPr="00A20F00">
        <w:rPr>
          <w:color w:val="000000"/>
        </w:rPr>
        <w:t xml:space="preserve"> результатов деятельности МСЭ</w:t>
      </w:r>
      <w:r w:rsidR="00654320" w:rsidRPr="00A20F00">
        <w:t>:</w:t>
      </w:r>
    </w:p>
    <w:p w:rsidR="00654320" w:rsidRPr="00A20F00" w:rsidRDefault="00501C41" w:rsidP="00501C41">
      <w:pPr>
        <w:pStyle w:val="enumlev1"/>
      </w:pPr>
      <w:r w:rsidRPr="00A20F00">
        <w:t>a)</w:t>
      </w:r>
      <w:r w:rsidRPr="00A20F00">
        <w:tab/>
      </w:r>
      <w:r w:rsidR="00C7251D" w:rsidRPr="00A20F00">
        <w:t>Устав и Конвенция МСЭ,</w:t>
      </w:r>
      <w:r w:rsidR="00654320" w:rsidRPr="00A20F00">
        <w:t xml:space="preserve"> </w:t>
      </w:r>
      <w:r w:rsidR="00C7251D" w:rsidRPr="00A20F00">
        <w:t xml:space="preserve">утвержденные Полномочными конференциями </w:t>
      </w:r>
      <w:r w:rsidR="00654320" w:rsidRPr="00A20F00">
        <w:t>(</w:t>
      </w:r>
      <w:r w:rsidR="00C7251D" w:rsidRPr="00A20F00">
        <w:t>ПК</w:t>
      </w:r>
      <w:r w:rsidR="00654320" w:rsidRPr="00A20F00">
        <w:t xml:space="preserve">); </w:t>
      </w:r>
    </w:p>
    <w:p w:rsidR="00654320" w:rsidRPr="00A20F00" w:rsidRDefault="00501C41" w:rsidP="00501C41">
      <w:pPr>
        <w:pStyle w:val="enumlev1"/>
      </w:pPr>
      <w:r w:rsidRPr="00A20F00">
        <w:rPr>
          <w:color w:val="000000"/>
        </w:rPr>
        <w:t>b)</w:t>
      </w:r>
      <w:r w:rsidRPr="00A20F00">
        <w:rPr>
          <w:color w:val="000000"/>
        </w:rPr>
        <w:tab/>
      </w:r>
      <w:r w:rsidR="00C7251D" w:rsidRPr="00A20F00">
        <w:rPr>
          <w:color w:val="000000"/>
        </w:rPr>
        <w:t>Общий регламент конференций, ассамблей и собраний Союза</w:t>
      </w:r>
      <w:r w:rsidR="00654320" w:rsidRPr="00A20F00">
        <w:t xml:space="preserve">; </w:t>
      </w:r>
    </w:p>
    <w:p w:rsidR="00654320" w:rsidRPr="00A20F00" w:rsidRDefault="00501C41" w:rsidP="00501C41">
      <w:pPr>
        <w:pStyle w:val="enumlev1"/>
      </w:pPr>
      <w:r w:rsidRPr="00A20F00">
        <w:t>c)</w:t>
      </w:r>
      <w:r w:rsidRPr="00A20F00">
        <w:tab/>
      </w:r>
      <w:r w:rsidR="00C7251D" w:rsidRPr="00A20F00">
        <w:t>Регламент радиосвязи</w:t>
      </w:r>
      <w:r w:rsidR="00654320" w:rsidRPr="00A20F00">
        <w:t>;</w:t>
      </w:r>
    </w:p>
    <w:p w:rsidR="00654320" w:rsidRPr="00A20F00" w:rsidRDefault="00501C41" w:rsidP="00501C41">
      <w:pPr>
        <w:pStyle w:val="enumlev1"/>
      </w:pPr>
      <w:r w:rsidRPr="00A20F00">
        <w:rPr>
          <w:color w:val="000000"/>
        </w:rPr>
        <w:t>d)</w:t>
      </w:r>
      <w:r w:rsidRPr="00A20F00">
        <w:rPr>
          <w:color w:val="000000"/>
        </w:rPr>
        <w:tab/>
      </w:r>
      <w:r w:rsidR="00C7251D" w:rsidRPr="00A20F00">
        <w:rPr>
          <w:color w:val="000000"/>
        </w:rPr>
        <w:t>Регламент международной электросвязи</w:t>
      </w:r>
      <w:r w:rsidR="00654320" w:rsidRPr="00A20F00">
        <w:t xml:space="preserve">; </w:t>
      </w:r>
      <w:r w:rsidR="00C7251D" w:rsidRPr="00A20F00">
        <w:t>и</w:t>
      </w:r>
    </w:p>
    <w:p w:rsidR="00654320" w:rsidRPr="00A20F00" w:rsidRDefault="00501C41" w:rsidP="00501C41">
      <w:pPr>
        <w:pStyle w:val="enumlev1"/>
      </w:pPr>
      <w:r w:rsidRPr="00A20F00">
        <w:t>e)</w:t>
      </w:r>
      <w:r w:rsidRPr="00A20F00">
        <w:tab/>
      </w:r>
      <w:r w:rsidR="00C7251D" w:rsidRPr="00A20F00">
        <w:t>решения, резолюции и рекомендации ПК</w:t>
      </w:r>
      <w:r w:rsidR="00654320" w:rsidRPr="00A20F00">
        <w:t>/</w:t>
      </w:r>
      <w:r w:rsidR="00C7251D" w:rsidRPr="00A20F00">
        <w:t>Совета</w:t>
      </w:r>
      <w:r w:rsidR="00654320" w:rsidRPr="00A20F00">
        <w:t>/</w:t>
      </w:r>
      <w:r w:rsidR="00C7251D" w:rsidRPr="00A20F00">
        <w:t>ВКМЭ</w:t>
      </w:r>
      <w:r w:rsidR="00654320" w:rsidRPr="00A20F00">
        <w:t>/</w:t>
      </w:r>
      <w:r w:rsidR="003D3116" w:rsidRPr="00A20F00">
        <w:t xml:space="preserve">всемирных </w:t>
      </w:r>
      <w:r w:rsidR="00C7251D" w:rsidRPr="00A20F00">
        <w:t>конференций</w:t>
      </w:r>
      <w:r w:rsidR="00654320" w:rsidRPr="00A20F00">
        <w:t>/</w:t>
      </w:r>
      <w:r w:rsidR="003D3116" w:rsidRPr="00A20F00">
        <w:t xml:space="preserve">ассамблей </w:t>
      </w:r>
      <w:r w:rsidR="00C7251D" w:rsidRPr="00A20F00">
        <w:t>Секторов</w:t>
      </w:r>
      <w:r w:rsidR="00654320" w:rsidRPr="00A20F00">
        <w:t>.</w:t>
      </w:r>
    </w:p>
    <w:p w:rsidR="00654320" w:rsidRPr="00A20F00" w:rsidRDefault="00501C41" w:rsidP="00501C41">
      <w:pPr>
        <w:rPr>
          <w:sz w:val="24"/>
          <w:szCs w:val="24"/>
        </w:rPr>
      </w:pPr>
      <w:r w:rsidRPr="00A20F00">
        <w:rPr>
          <w:szCs w:val="22"/>
        </w:rPr>
        <w:t>9</w:t>
      </w:r>
      <w:r w:rsidR="00654320" w:rsidRPr="00A20F00">
        <w:rPr>
          <w:szCs w:val="22"/>
        </w:rPr>
        <w:tab/>
      </w:r>
      <w:r w:rsidR="00A80134" w:rsidRPr="00A20F00">
        <w:rPr>
          <w:szCs w:val="22"/>
        </w:rPr>
        <w:t>Исходя из</w:t>
      </w:r>
      <w:r w:rsidR="00C7251D" w:rsidRPr="00A20F00">
        <w:rPr>
          <w:szCs w:val="22"/>
        </w:rPr>
        <w:t xml:space="preserve"> мандата и обязательств Союза</w:t>
      </w:r>
      <w:r w:rsidR="00654320" w:rsidRPr="00A20F00">
        <w:rPr>
          <w:szCs w:val="22"/>
        </w:rPr>
        <w:t xml:space="preserve">, </w:t>
      </w:r>
      <w:r w:rsidR="00C7251D" w:rsidRPr="00A20F00">
        <w:t>структура результатов деятельности МСЭ,</w:t>
      </w:r>
      <w:r w:rsidR="00C7251D" w:rsidRPr="00A20F00">
        <w:rPr>
          <w:szCs w:val="22"/>
        </w:rPr>
        <w:t xml:space="preserve"> состоящая из</w:t>
      </w:r>
      <w:r w:rsidR="00654320" w:rsidRPr="00A20F00">
        <w:rPr>
          <w:szCs w:val="22"/>
        </w:rPr>
        <w:t xml:space="preserve"> </w:t>
      </w:r>
      <w:r w:rsidR="004336B8" w:rsidRPr="00A20F00">
        <w:rPr>
          <w:szCs w:val="22"/>
        </w:rPr>
        <w:t>достигаемых</w:t>
      </w:r>
      <w:r w:rsidR="00654320" w:rsidRPr="00A20F00">
        <w:rPr>
          <w:szCs w:val="22"/>
        </w:rPr>
        <w:t xml:space="preserve"> </w:t>
      </w:r>
      <w:r w:rsidR="004336B8" w:rsidRPr="00A20F00">
        <w:t xml:space="preserve">целей и </w:t>
      </w:r>
      <w:r w:rsidR="00A80134" w:rsidRPr="00A20F00">
        <w:t>целев</w:t>
      </w:r>
      <w:r w:rsidR="004336B8" w:rsidRPr="00A20F00">
        <w:t>ых показателей</w:t>
      </w:r>
      <w:r w:rsidR="00654320" w:rsidRPr="00A20F00">
        <w:rPr>
          <w:szCs w:val="22"/>
        </w:rPr>
        <w:t xml:space="preserve">, </w:t>
      </w:r>
      <w:r w:rsidR="00A80134" w:rsidRPr="00A20F00">
        <w:rPr>
          <w:szCs w:val="22"/>
        </w:rPr>
        <w:t>общих для всех компонентов Союза</w:t>
      </w:r>
      <w:r w:rsidR="00654320" w:rsidRPr="00A20F00">
        <w:rPr>
          <w:szCs w:val="22"/>
        </w:rPr>
        <w:t>,</w:t>
      </w:r>
      <w:r w:rsidR="00A80134" w:rsidRPr="00A20F00">
        <w:rPr>
          <w:szCs w:val="22"/>
        </w:rPr>
        <w:t xml:space="preserve"> а также из</w:t>
      </w:r>
      <w:r w:rsidR="00654320" w:rsidRPr="00A20F00">
        <w:rPr>
          <w:szCs w:val="22"/>
        </w:rPr>
        <w:t xml:space="preserve"> </w:t>
      </w:r>
      <w:r w:rsidR="00A80134" w:rsidRPr="00A20F00">
        <w:t xml:space="preserve">секторальных и </w:t>
      </w:r>
      <w:proofErr w:type="spellStart"/>
      <w:r w:rsidR="00A80134" w:rsidRPr="00A20F00">
        <w:t>межсекторальных</w:t>
      </w:r>
      <w:proofErr w:type="spellEnd"/>
      <w:r w:rsidR="00A80134" w:rsidRPr="00A20F00">
        <w:rPr>
          <w:szCs w:val="22"/>
        </w:rPr>
        <w:t xml:space="preserve"> з</w:t>
      </w:r>
      <w:r w:rsidR="00A80134" w:rsidRPr="00A20F00">
        <w:t>адач/конечных результатов, намеченных результатов деятельности</w:t>
      </w:r>
      <w:r w:rsidR="00654320" w:rsidRPr="00A20F00">
        <w:rPr>
          <w:szCs w:val="22"/>
        </w:rPr>
        <w:t xml:space="preserve"> </w:t>
      </w:r>
      <w:r w:rsidR="00A80134" w:rsidRPr="00A20F00">
        <w:rPr>
          <w:szCs w:val="22"/>
        </w:rPr>
        <w:t>и видов деятельности</w:t>
      </w:r>
      <w:r w:rsidR="00654320" w:rsidRPr="00A20F00">
        <w:rPr>
          <w:szCs w:val="22"/>
        </w:rPr>
        <w:t xml:space="preserve">, </w:t>
      </w:r>
      <w:r w:rsidR="003B16E9" w:rsidRPr="00A20F00">
        <w:rPr>
          <w:szCs w:val="22"/>
        </w:rPr>
        <w:t>сформулирована</w:t>
      </w:r>
      <w:r w:rsidR="00A80134" w:rsidRPr="00A20F00">
        <w:rPr>
          <w:szCs w:val="22"/>
        </w:rPr>
        <w:t xml:space="preserve"> Членами</w:t>
      </w:r>
      <w:r w:rsidR="003B16E9" w:rsidRPr="00A20F00">
        <w:rPr>
          <w:szCs w:val="22"/>
        </w:rPr>
        <w:t xml:space="preserve"> Союза</w:t>
      </w:r>
      <w:r w:rsidR="00A80134" w:rsidRPr="00A20F00">
        <w:rPr>
          <w:szCs w:val="22"/>
        </w:rPr>
        <w:t xml:space="preserve"> в</w:t>
      </w:r>
      <w:r w:rsidR="00654320" w:rsidRPr="00A20F00">
        <w:rPr>
          <w:szCs w:val="22"/>
        </w:rPr>
        <w:t xml:space="preserve"> </w:t>
      </w:r>
      <w:r w:rsidR="003B16E9" w:rsidRPr="00A20F00">
        <w:rPr>
          <w:szCs w:val="22"/>
        </w:rPr>
        <w:t xml:space="preserve">его </w:t>
      </w:r>
      <w:r w:rsidR="00A80134" w:rsidRPr="00A20F00">
        <w:t xml:space="preserve">Стратегическом плане </w:t>
      </w:r>
      <w:r w:rsidR="003B16E9" w:rsidRPr="00A20F00">
        <w:rPr>
          <w:szCs w:val="22"/>
        </w:rPr>
        <w:t>во время</w:t>
      </w:r>
      <w:r w:rsidR="00A80134" w:rsidRPr="00A20F00">
        <w:rPr>
          <w:szCs w:val="22"/>
        </w:rPr>
        <w:t xml:space="preserve"> ПК</w:t>
      </w:r>
      <w:r w:rsidR="00654320" w:rsidRPr="00A20F00">
        <w:rPr>
          <w:szCs w:val="22"/>
        </w:rPr>
        <w:t xml:space="preserve"> </w:t>
      </w:r>
      <w:r w:rsidR="00A80134" w:rsidRPr="00A20F00">
        <w:rPr>
          <w:szCs w:val="22"/>
        </w:rPr>
        <w:t xml:space="preserve">и </w:t>
      </w:r>
      <w:r w:rsidR="003B16E9" w:rsidRPr="00A20F00">
        <w:rPr>
          <w:szCs w:val="22"/>
        </w:rPr>
        <w:t xml:space="preserve">на сессиях </w:t>
      </w:r>
      <w:r w:rsidR="00A80134" w:rsidRPr="00A20F00">
        <w:rPr>
          <w:szCs w:val="22"/>
        </w:rPr>
        <w:t>Совета</w:t>
      </w:r>
      <w:r w:rsidR="00654320" w:rsidRPr="00A20F00">
        <w:rPr>
          <w:szCs w:val="22"/>
        </w:rPr>
        <w:t xml:space="preserve"> </w:t>
      </w:r>
      <w:r w:rsidR="00A80134" w:rsidRPr="00A20F00">
        <w:rPr>
          <w:szCs w:val="22"/>
        </w:rPr>
        <w:t>с учетом вкладов</w:t>
      </w:r>
      <w:r w:rsidR="00654320" w:rsidRPr="00A20F00">
        <w:rPr>
          <w:szCs w:val="22"/>
        </w:rPr>
        <w:t xml:space="preserve"> </w:t>
      </w:r>
      <w:r w:rsidR="003D3116" w:rsidRPr="00A20F00">
        <w:rPr>
          <w:szCs w:val="22"/>
        </w:rPr>
        <w:t xml:space="preserve">всемирных </w:t>
      </w:r>
      <w:r w:rsidR="00A80134" w:rsidRPr="00A20F00">
        <w:rPr>
          <w:szCs w:val="22"/>
        </w:rPr>
        <w:t>конференций</w:t>
      </w:r>
      <w:r w:rsidR="00654320" w:rsidRPr="00A20F00">
        <w:rPr>
          <w:szCs w:val="22"/>
        </w:rPr>
        <w:t xml:space="preserve">, </w:t>
      </w:r>
      <w:r w:rsidR="003D3116" w:rsidRPr="00A20F00">
        <w:rPr>
          <w:szCs w:val="22"/>
        </w:rPr>
        <w:t xml:space="preserve">ассамблей </w:t>
      </w:r>
      <w:r w:rsidR="00A80134" w:rsidRPr="00A20F00">
        <w:rPr>
          <w:szCs w:val="22"/>
        </w:rPr>
        <w:t xml:space="preserve">и </w:t>
      </w:r>
      <w:r w:rsidR="003D3116" w:rsidRPr="00A20F00">
        <w:rPr>
          <w:szCs w:val="22"/>
        </w:rPr>
        <w:t xml:space="preserve">консультативных </w:t>
      </w:r>
      <w:r w:rsidR="00A80134" w:rsidRPr="00A20F00">
        <w:rPr>
          <w:szCs w:val="22"/>
        </w:rPr>
        <w:t>групп</w:t>
      </w:r>
      <w:r w:rsidR="00654320" w:rsidRPr="00A20F00">
        <w:rPr>
          <w:szCs w:val="22"/>
        </w:rPr>
        <w:t xml:space="preserve">. </w:t>
      </w:r>
      <w:r w:rsidR="00A6244D" w:rsidRPr="00A20F00">
        <w:rPr>
          <w:szCs w:val="22"/>
        </w:rPr>
        <w:t>Подотчетность</w:t>
      </w:r>
      <w:r w:rsidR="00654320" w:rsidRPr="00A20F00">
        <w:rPr>
          <w:szCs w:val="22"/>
        </w:rPr>
        <w:t xml:space="preserve"> </w:t>
      </w:r>
      <w:r w:rsidR="00CA0EDF" w:rsidRPr="00A20F00">
        <w:rPr>
          <w:szCs w:val="22"/>
        </w:rPr>
        <w:t>в отношении этих результатов</w:t>
      </w:r>
      <w:r w:rsidR="00654320" w:rsidRPr="00A20F00">
        <w:rPr>
          <w:szCs w:val="22"/>
        </w:rPr>
        <w:t xml:space="preserve"> </w:t>
      </w:r>
      <w:r w:rsidR="00CA0EDF" w:rsidRPr="00A20F00">
        <w:rPr>
          <w:szCs w:val="22"/>
        </w:rPr>
        <w:t>реализуется</w:t>
      </w:r>
      <w:r w:rsidR="00654320" w:rsidRPr="00A20F00">
        <w:rPr>
          <w:szCs w:val="22"/>
        </w:rPr>
        <w:t xml:space="preserve"> </w:t>
      </w:r>
      <w:r w:rsidR="00CA0EDF" w:rsidRPr="00A20F00">
        <w:rPr>
          <w:szCs w:val="22"/>
        </w:rPr>
        <w:t xml:space="preserve">на ежегодной основе </w:t>
      </w:r>
      <w:r w:rsidR="00CA0EDF" w:rsidRPr="00A20F00">
        <w:t>через оперативные планы Секторов и ГС, а</w:t>
      </w:r>
      <w:r w:rsidR="00F01F72" w:rsidRPr="00A20F00">
        <w:t xml:space="preserve"> их</w:t>
      </w:r>
      <w:r w:rsidR="00CA0EDF" w:rsidRPr="00A20F00">
        <w:t xml:space="preserve"> контроль и отчетность о них</w:t>
      </w:r>
      <w:r w:rsidR="00654320" w:rsidRPr="00A20F00">
        <w:rPr>
          <w:szCs w:val="22"/>
        </w:rPr>
        <w:t xml:space="preserve"> </w:t>
      </w:r>
      <w:r w:rsidR="00CA0EDF" w:rsidRPr="00A20F00">
        <w:rPr>
          <w:szCs w:val="22"/>
        </w:rPr>
        <w:t>осуществляются через</w:t>
      </w:r>
      <w:r w:rsidR="00654320" w:rsidRPr="00A20F00">
        <w:rPr>
          <w:szCs w:val="22"/>
        </w:rPr>
        <w:t xml:space="preserve"> </w:t>
      </w:r>
      <w:r w:rsidR="00CA0EDF" w:rsidRPr="00A20F00">
        <w:t>ежегодный отчет о выполнении Стратегического плана</w:t>
      </w:r>
      <w:r w:rsidR="00654320" w:rsidRPr="00A20F00">
        <w:rPr>
          <w:szCs w:val="22"/>
        </w:rPr>
        <w:t xml:space="preserve">, </w:t>
      </w:r>
      <w:r w:rsidR="00CA0EDF" w:rsidRPr="00A20F00">
        <w:rPr>
          <w:szCs w:val="22"/>
        </w:rPr>
        <w:t>ежегодные отчеты</w:t>
      </w:r>
      <w:r w:rsidR="00654320" w:rsidRPr="00A20F00">
        <w:rPr>
          <w:szCs w:val="22"/>
        </w:rPr>
        <w:t xml:space="preserve"> </w:t>
      </w:r>
      <w:r w:rsidR="00DF0AC7" w:rsidRPr="00A20F00">
        <w:rPr>
          <w:szCs w:val="22"/>
        </w:rPr>
        <w:t>о деятельности</w:t>
      </w:r>
      <w:r w:rsidR="00654320" w:rsidRPr="00A20F00">
        <w:rPr>
          <w:szCs w:val="22"/>
        </w:rPr>
        <w:t>/</w:t>
      </w:r>
      <w:r w:rsidR="00DF0AC7" w:rsidRPr="00A20F00">
        <w:rPr>
          <w:szCs w:val="22"/>
        </w:rPr>
        <w:t>работе</w:t>
      </w:r>
      <w:r w:rsidR="00654320" w:rsidRPr="00A20F00">
        <w:rPr>
          <w:szCs w:val="22"/>
        </w:rPr>
        <w:t xml:space="preserve"> </w:t>
      </w:r>
      <w:r w:rsidR="00DF0AC7" w:rsidRPr="00A20F00">
        <w:rPr>
          <w:szCs w:val="22"/>
        </w:rPr>
        <w:t>и</w:t>
      </w:r>
      <w:r w:rsidR="00654320" w:rsidRPr="00A20F00">
        <w:rPr>
          <w:szCs w:val="22"/>
        </w:rPr>
        <w:t xml:space="preserve"> </w:t>
      </w:r>
      <w:r w:rsidR="00DF0AC7" w:rsidRPr="00A20F00">
        <w:rPr>
          <w:szCs w:val="22"/>
        </w:rPr>
        <w:t>отчет</w:t>
      </w:r>
      <w:r w:rsidR="00654320" w:rsidRPr="00A20F00">
        <w:rPr>
          <w:szCs w:val="22"/>
        </w:rPr>
        <w:t xml:space="preserve"> </w:t>
      </w:r>
      <w:r w:rsidR="00DF0AC7" w:rsidRPr="00A20F00">
        <w:rPr>
          <w:szCs w:val="22"/>
        </w:rPr>
        <w:t xml:space="preserve">о состоянии </w:t>
      </w:r>
      <w:r w:rsidR="00F01F72" w:rsidRPr="00A20F00">
        <w:rPr>
          <w:szCs w:val="22"/>
        </w:rPr>
        <w:t xml:space="preserve">дел </w:t>
      </w:r>
      <w:r w:rsidR="00DF0AC7" w:rsidRPr="00A20F00">
        <w:rPr>
          <w:szCs w:val="22"/>
        </w:rPr>
        <w:t>Союза</w:t>
      </w:r>
      <w:r w:rsidR="00654320" w:rsidRPr="00A20F00">
        <w:rPr>
          <w:szCs w:val="22"/>
        </w:rPr>
        <w:t xml:space="preserve">. </w:t>
      </w:r>
      <w:r w:rsidR="00DF0AC7" w:rsidRPr="00A20F00">
        <w:rPr>
          <w:szCs w:val="22"/>
        </w:rPr>
        <w:t xml:space="preserve">Через </w:t>
      </w:r>
      <w:r w:rsidR="00DF0AC7" w:rsidRPr="00A20F00">
        <w:t>составление бюджета, ориентированного на результаты, и управление, ориентированно</w:t>
      </w:r>
      <w:r w:rsidR="00FE7868" w:rsidRPr="00A20F00">
        <w:t>е</w:t>
      </w:r>
      <w:r w:rsidR="00DF0AC7" w:rsidRPr="00A20F00">
        <w:t xml:space="preserve"> на результаты,</w:t>
      </w:r>
      <w:r w:rsidR="00654320" w:rsidRPr="00A20F00">
        <w:rPr>
          <w:szCs w:val="22"/>
        </w:rPr>
        <w:t xml:space="preserve"> </w:t>
      </w:r>
      <w:r w:rsidR="00DF0AC7" w:rsidRPr="00A20F00">
        <w:rPr>
          <w:szCs w:val="22"/>
        </w:rPr>
        <w:t xml:space="preserve">результаты </w:t>
      </w:r>
      <w:r w:rsidR="00FE7868" w:rsidRPr="00A20F00">
        <w:rPr>
          <w:szCs w:val="22"/>
        </w:rPr>
        <w:t xml:space="preserve">деятельности </w:t>
      </w:r>
      <w:r w:rsidR="00DF0AC7" w:rsidRPr="00A20F00">
        <w:t>контролируются с составлением отчета, который представляется</w:t>
      </w:r>
      <w:r w:rsidR="00654320" w:rsidRPr="00A20F00">
        <w:rPr>
          <w:szCs w:val="22"/>
        </w:rPr>
        <w:t xml:space="preserve"> </w:t>
      </w:r>
      <w:r w:rsidR="00DF0AC7" w:rsidRPr="00A20F00">
        <w:rPr>
          <w:szCs w:val="22"/>
        </w:rPr>
        <w:t>Членам</w:t>
      </w:r>
      <w:r w:rsidR="00654320" w:rsidRPr="00A20F00">
        <w:rPr>
          <w:szCs w:val="22"/>
        </w:rPr>
        <w:t xml:space="preserve"> </w:t>
      </w:r>
      <w:r w:rsidR="00DF0AC7" w:rsidRPr="00A20F00">
        <w:rPr>
          <w:szCs w:val="22"/>
        </w:rPr>
        <w:t>для получения</w:t>
      </w:r>
      <w:r w:rsidR="00654320" w:rsidRPr="00A20F00">
        <w:rPr>
          <w:szCs w:val="22"/>
        </w:rPr>
        <w:t xml:space="preserve"> </w:t>
      </w:r>
      <w:r w:rsidR="00DF0AC7" w:rsidRPr="00A20F00">
        <w:t>руководящих указаний на будущее</w:t>
      </w:r>
      <w:r w:rsidR="00654320" w:rsidRPr="00A20F00">
        <w:rPr>
          <w:szCs w:val="22"/>
        </w:rPr>
        <w:t>.</w:t>
      </w:r>
    </w:p>
    <w:p w:rsidR="00654320" w:rsidRPr="00A20F00" w:rsidRDefault="007760B9" w:rsidP="00501C41">
      <w:pPr>
        <w:pStyle w:val="Headingb"/>
      </w:pPr>
      <w:r w:rsidRPr="00A20F00">
        <w:t>Принцип</w:t>
      </w:r>
      <w:r w:rsidR="00654320" w:rsidRPr="00A20F00">
        <w:t xml:space="preserve"> 2 </w:t>
      </w:r>
      <w:r w:rsidR="00501C41" w:rsidRPr="00A20F00">
        <w:t>−</w:t>
      </w:r>
      <w:r w:rsidR="00654320" w:rsidRPr="00A20F00">
        <w:t xml:space="preserve"> </w:t>
      </w:r>
      <w:r w:rsidRPr="00A20F00">
        <w:t>Управление рисками и внутренний контроль</w:t>
      </w:r>
    </w:p>
    <w:p w:rsidR="00654320" w:rsidRPr="00A20F00" w:rsidRDefault="00501C41" w:rsidP="00501C41">
      <w:r w:rsidRPr="00A20F00">
        <w:t>10</w:t>
      </w:r>
      <w:r w:rsidR="00654320" w:rsidRPr="00A20F00">
        <w:tab/>
      </w:r>
      <w:r w:rsidR="007760B9" w:rsidRPr="00A20F00">
        <w:t>Этот принцип имеет целью обеспечить</w:t>
      </w:r>
      <w:r w:rsidR="00654320" w:rsidRPr="00A20F00">
        <w:t xml:space="preserve"> </w:t>
      </w:r>
      <w:r w:rsidR="007760B9" w:rsidRPr="00A20F00">
        <w:t>согласованность результатов</w:t>
      </w:r>
      <w:r w:rsidR="00FE7868" w:rsidRPr="00A20F00">
        <w:t xml:space="preserve"> деятельности</w:t>
      </w:r>
      <w:r w:rsidR="00654320" w:rsidRPr="00A20F00">
        <w:t xml:space="preserve"> </w:t>
      </w:r>
      <w:r w:rsidR="007760B9" w:rsidRPr="00A20F00">
        <w:t xml:space="preserve">с </w:t>
      </w:r>
      <w:r w:rsidR="007760B9" w:rsidRPr="00A20F00">
        <w:rPr>
          <w:color w:val="000000"/>
        </w:rPr>
        <w:t>политикой, правилами и нормативными положениями, а также</w:t>
      </w:r>
      <w:r w:rsidR="00654320" w:rsidRPr="00A20F00">
        <w:t xml:space="preserve"> </w:t>
      </w:r>
      <w:r w:rsidR="007760B9" w:rsidRPr="00A20F00">
        <w:t>с требованиями</w:t>
      </w:r>
      <w:r w:rsidR="00654320" w:rsidRPr="00A20F00">
        <w:t xml:space="preserve"> </w:t>
      </w:r>
      <w:r w:rsidR="007760B9" w:rsidRPr="00A20F00">
        <w:rPr>
          <w:color w:val="000000"/>
        </w:rPr>
        <w:t>этики, добросовестности и другими стандартами</w:t>
      </w:r>
      <w:r w:rsidR="00654320" w:rsidRPr="00A20F00">
        <w:t xml:space="preserve">. </w:t>
      </w:r>
    </w:p>
    <w:p w:rsidR="00654320" w:rsidRPr="00A20F00" w:rsidRDefault="00501C41" w:rsidP="00501C41">
      <w:r w:rsidRPr="00A20F00">
        <w:t>11</w:t>
      </w:r>
      <w:r w:rsidR="00654320" w:rsidRPr="00A20F00">
        <w:tab/>
      </w:r>
      <w:r w:rsidR="007760B9" w:rsidRPr="00A20F00">
        <w:t>Существующими компонентами этого принципа являются</w:t>
      </w:r>
      <w:r w:rsidR="00654320" w:rsidRPr="00A20F00">
        <w:t>:</w:t>
      </w:r>
    </w:p>
    <w:p w:rsidR="00654320" w:rsidRPr="00A20F00" w:rsidRDefault="00501C41" w:rsidP="003D3116">
      <w:pPr>
        <w:pStyle w:val="enumlev1"/>
      </w:pPr>
      <w:r w:rsidRPr="00A20F00">
        <w:t>a)</w:t>
      </w:r>
      <w:r w:rsidRPr="00A20F00">
        <w:tab/>
      </w:r>
      <w:r w:rsidR="00DE1EE9" w:rsidRPr="00A20F00">
        <w:t>о</w:t>
      </w:r>
      <w:r w:rsidR="007760B9" w:rsidRPr="00A20F00">
        <w:t>тчет о финансовой деятельности, включая</w:t>
      </w:r>
      <w:r w:rsidR="00654320" w:rsidRPr="00A20F00">
        <w:t xml:space="preserve"> </w:t>
      </w:r>
      <w:r w:rsidR="007760B9" w:rsidRPr="00A20F00">
        <w:t xml:space="preserve">Заключение о внутреннем контроле </w:t>
      </w:r>
      <w:r w:rsidR="00654320" w:rsidRPr="00A20F00">
        <w:t xml:space="preserve">(SIC) </w:t>
      </w:r>
      <w:r w:rsidR="007760B9" w:rsidRPr="00A20F00">
        <w:t>и</w:t>
      </w:r>
      <w:r w:rsidR="00654320" w:rsidRPr="00A20F00">
        <w:t xml:space="preserve"> </w:t>
      </w:r>
      <w:r w:rsidR="00DE1EE9" w:rsidRPr="00A20F00">
        <w:t>о</w:t>
      </w:r>
      <w:r w:rsidR="007760B9" w:rsidRPr="00A20F00">
        <w:t>тчет руководства</w:t>
      </w:r>
      <w:r w:rsidR="00654320" w:rsidRPr="00A20F00">
        <w:t>;</w:t>
      </w:r>
    </w:p>
    <w:p w:rsidR="00654320" w:rsidRPr="00A20F00" w:rsidRDefault="00501C41" w:rsidP="003D3116">
      <w:pPr>
        <w:pStyle w:val="enumlev1"/>
      </w:pPr>
      <w:r w:rsidRPr="00A20F00">
        <w:t>b)</w:t>
      </w:r>
      <w:r w:rsidRPr="00A20F00">
        <w:tab/>
      </w:r>
      <w:r w:rsidR="00DE1EE9" w:rsidRPr="00A20F00">
        <w:t>конечные результаты деятельности Координационного комитет</w:t>
      </w:r>
      <w:r w:rsidR="00FE7868" w:rsidRPr="00A20F00">
        <w:t>а</w:t>
      </w:r>
      <w:r w:rsidR="00654320" w:rsidRPr="00A20F00">
        <w:t xml:space="preserve">, </w:t>
      </w:r>
      <w:r w:rsidR="00DE1EE9" w:rsidRPr="00A20F00">
        <w:t>Руководящей координационной группы</w:t>
      </w:r>
      <w:r w:rsidR="00654320" w:rsidRPr="00A20F00">
        <w:t xml:space="preserve">, </w:t>
      </w:r>
      <w:r w:rsidR="00DE1EE9" w:rsidRPr="00A20F00">
        <w:t>комитетов, учрежденных в соответствии с уставными документами,</w:t>
      </w:r>
      <w:r w:rsidR="00654320" w:rsidRPr="00A20F00">
        <w:t xml:space="preserve"> </w:t>
      </w:r>
      <w:r w:rsidR="00DE1EE9" w:rsidRPr="00A20F00">
        <w:t>и целевых групп</w:t>
      </w:r>
      <w:r w:rsidR="00FE7868" w:rsidRPr="00A20F00">
        <w:t>;</w:t>
      </w:r>
    </w:p>
    <w:p w:rsidR="00654320" w:rsidRPr="00A20F00" w:rsidRDefault="00501C41" w:rsidP="003D3116">
      <w:pPr>
        <w:pStyle w:val="enumlev1"/>
      </w:pPr>
      <w:r w:rsidRPr="00A20F00">
        <w:t>c)</w:t>
      </w:r>
      <w:r w:rsidRPr="00A20F00">
        <w:tab/>
      </w:r>
      <w:r w:rsidR="00DE1EE9" w:rsidRPr="00A20F00">
        <w:t>отчеты о внутреннем аудите</w:t>
      </w:r>
      <w:r w:rsidR="00654320" w:rsidRPr="00A20F00">
        <w:t>;</w:t>
      </w:r>
    </w:p>
    <w:p w:rsidR="00654320" w:rsidRPr="00A20F00" w:rsidRDefault="00501C41" w:rsidP="003D3116">
      <w:pPr>
        <w:pStyle w:val="enumlev1"/>
      </w:pPr>
      <w:r w:rsidRPr="00A20F00">
        <w:t>d)</w:t>
      </w:r>
      <w:r w:rsidRPr="00A20F00">
        <w:tab/>
      </w:r>
      <w:r w:rsidR="00DE1EE9" w:rsidRPr="00A20F00">
        <w:t>отчет внешних аудиторов</w:t>
      </w:r>
      <w:r w:rsidR="00654320" w:rsidRPr="00A20F00">
        <w:t>;</w:t>
      </w:r>
    </w:p>
    <w:p w:rsidR="00654320" w:rsidRPr="00A20F00" w:rsidRDefault="00501C41" w:rsidP="003D3116">
      <w:pPr>
        <w:pStyle w:val="enumlev1"/>
      </w:pPr>
      <w:r w:rsidRPr="00A20F00">
        <w:t>e)</w:t>
      </w:r>
      <w:r w:rsidRPr="00A20F00">
        <w:tab/>
      </w:r>
      <w:r w:rsidR="00DE1EE9" w:rsidRPr="00A20F00">
        <w:t xml:space="preserve">отчеты </w:t>
      </w:r>
      <w:r w:rsidR="00654320" w:rsidRPr="00A20F00">
        <w:t>IMAC;</w:t>
      </w:r>
    </w:p>
    <w:p w:rsidR="00654320" w:rsidRPr="00A20F00" w:rsidRDefault="00501C41" w:rsidP="00F01F72">
      <w:pPr>
        <w:pStyle w:val="enumlev1"/>
      </w:pPr>
      <w:r w:rsidRPr="00A20F00">
        <w:t>f)</w:t>
      </w:r>
      <w:r w:rsidRPr="00A20F00">
        <w:tab/>
      </w:r>
      <w:r w:rsidR="00DE1EE9" w:rsidRPr="00A20F00">
        <w:t>рекомендации ОИГ, принятые Генеральным секретарем;</w:t>
      </w:r>
    </w:p>
    <w:p w:rsidR="00654320" w:rsidRPr="00A20F00" w:rsidRDefault="00501C41" w:rsidP="00F01F72">
      <w:pPr>
        <w:pStyle w:val="enumlev1"/>
      </w:pPr>
      <w:r w:rsidRPr="00A20F00">
        <w:lastRenderedPageBreak/>
        <w:t>g)</w:t>
      </w:r>
      <w:r w:rsidRPr="00A20F00">
        <w:tab/>
      </w:r>
      <w:r w:rsidR="00DE1EE9" w:rsidRPr="00A20F00">
        <w:t xml:space="preserve">политика управления рисками и заявление о готовности к принятию рисков </w:t>
      </w:r>
      <w:r w:rsidR="00654320" w:rsidRPr="00A20F00">
        <w:t>(</w:t>
      </w:r>
      <w:r w:rsidR="0007743D" w:rsidRPr="00A20F00">
        <w:t>должны быть приняты на</w:t>
      </w:r>
      <w:r w:rsidR="00654320" w:rsidRPr="00A20F00">
        <w:t xml:space="preserve"> </w:t>
      </w:r>
      <w:r w:rsidR="0007743D" w:rsidRPr="00A20F00">
        <w:t>Совете-</w:t>
      </w:r>
      <w:r w:rsidR="00654320" w:rsidRPr="00A20F00">
        <w:t>17);</w:t>
      </w:r>
    </w:p>
    <w:p w:rsidR="00654320" w:rsidRPr="00A20F00" w:rsidRDefault="00501C41" w:rsidP="00F01F72">
      <w:pPr>
        <w:pStyle w:val="enumlev1"/>
      </w:pPr>
      <w:r w:rsidRPr="00A20F00">
        <w:t>h)</w:t>
      </w:r>
      <w:r w:rsidRPr="00A20F00">
        <w:tab/>
      </w:r>
      <w:r w:rsidR="0007743D" w:rsidRPr="00A20F00">
        <w:t>делегирование полномочий</w:t>
      </w:r>
      <w:r w:rsidR="00654320" w:rsidRPr="00A20F00">
        <w:t>;</w:t>
      </w:r>
    </w:p>
    <w:p w:rsidR="00654320" w:rsidRPr="00A20F00" w:rsidRDefault="00501C41" w:rsidP="00F01F72">
      <w:pPr>
        <w:pStyle w:val="enumlev1"/>
      </w:pPr>
      <w:r w:rsidRPr="00A20F00">
        <w:t>i)</w:t>
      </w:r>
      <w:r w:rsidRPr="00A20F00">
        <w:tab/>
      </w:r>
      <w:r w:rsidR="0007743D" w:rsidRPr="00A20F00">
        <w:t>доступ к системе</w:t>
      </w:r>
      <w:r w:rsidR="00654320" w:rsidRPr="00A20F00">
        <w:t xml:space="preserve"> ERP </w:t>
      </w:r>
      <w:r w:rsidR="0007743D" w:rsidRPr="00A20F00">
        <w:t>на основе разграничения обязанностей.</w:t>
      </w:r>
    </w:p>
    <w:p w:rsidR="00654320" w:rsidRPr="00A20F00" w:rsidRDefault="0007743D" w:rsidP="00501C41">
      <w:pPr>
        <w:pStyle w:val="Headingb"/>
      </w:pPr>
      <w:r w:rsidRPr="00A20F00">
        <w:t>Принцип</w:t>
      </w:r>
      <w:r w:rsidR="00654320" w:rsidRPr="00A20F00">
        <w:t xml:space="preserve"> 3 </w:t>
      </w:r>
      <w:r w:rsidR="00501C41" w:rsidRPr="00A20F00">
        <w:t>−</w:t>
      </w:r>
      <w:r w:rsidR="00654320" w:rsidRPr="00A20F00">
        <w:t xml:space="preserve"> </w:t>
      </w:r>
      <w:r w:rsidRPr="00A20F00">
        <w:t>Жалобы и механизм реагирования на них</w:t>
      </w:r>
    </w:p>
    <w:p w:rsidR="00654320" w:rsidRPr="00A20F00" w:rsidRDefault="00501C41" w:rsidP="003D3116">
      <w:r w:rsidRPr="00A20F00">
        <w:t>12</w:t>
      </w:r>
      <w:r w:rsidR="00654320" w:rsidRPr="00A20F00">
        <w:tab/>
      </w:r>
      <w:r w:rsidR="002F5951" w:rsidRPr="00A20F00">
        <w:t>Как указано в отчете ОИГ</w:t>
      </w:r>
      <w:r w:rsidR="00654320" w:rsidRPr="00A20F00">
        <w:t xml:space="preserve">, </w:t>
      </w:r>
      <w:r w:rsidR="002F5951" w:rsidRPr="00A20F00">
        <w:t>этот принцип основывается на</w:t>
      </w:r>
      <w:r w:rsidR="003D3116" w:rsidRPr="00A20F00">
        <w:t xml:space="preserve"> "</w:t>
      </w:r>
      <w:r w:rsidR="002F5951" w:rsidRPr="00A20F00">
        <w:t>механизме, посредством которого</w:t>
      </w:r>
      <w:r w:rsidR="00654320" w:rsidRPr="00A20F00">
        <w:t xml:space="preserve"> </w:t>
      </w:r>
      <w:r w:rsidR="002F5951" w:rsidRPr="00A20F00">
        <w:t>заинтересованные стороны могут привлечь организацию к ответственности,</w:t>
      </w:r>
      <w:r w:rsidR="00654320" w:rsidRPr="00A20F00">
        <w:t xml:space="preserve"> </w:t>
      </w:r>
      <w:r w:rsidR="002F5951" w:rsidRPr="00A20F00">
        <w:t>подвергнув сомнению</w:t>
      </w:r>
      <w:r w:rsidR="00654320" w:rsidRPr="00A20F00">
        <w:t xml:space="preserve"> </w:t>
      </w:r>
      <w:r w:rsidR="002F5951" w:rsidRPr="00A20F00">
        <w:t>ее решение</w:t>
      </w:r>
      <w:r w:rsidR="00654320" w:rsidRPr="00A20F00">
        <w:t xml:space="preserve">, </w:t>
      </w:r>
      <w:r w:rsidR="002F5951" w:rsidRPr="00A20F00">
        <w:t>действие или политику</w:t>
      </w:r>
      <w:r w:rsidR="00C87E9D" w:rsidRPr="00A20F00">
        <w:t>,</w:t>
      </w:r>
      <w:r w:rsidR="00654320" w:rsidRPr="00A20F00">
        <w:t xml:space="preserve"> </w:t>
      </w:r>
      <w:r w:rsidR="002F5951" w:rsidRPr="00A20F00">
        <w:t>и</w:t>
      </w:r>
      <w:r w:rsidR="00654320" w:rsidRPr="00A20F00">
        <w:t xml:space="preserve"> </w:t>
      </w:r>
      <w:r w:rsidR="00C87E9D" w:rsidRPr="00A20F00">
        <w:t>получить адекватный ответ</w:t>
      </w:r>
      <w:r w:rsidR="00654320" w:rsidRPr="00A20F00">
        <w:t xml:space="preserve"> </w:t>
      </w:r>
      <w:r w:rsidR="00C87E9D" w:rsidRPr="00A20F00">
        <w:t>на свою</w:t>
      </w:r>
      <w:r w:rsidR="00654320" w:rsidRPr="00A20F00">
        <w:t xml:space="preserve"> </w:t>
      </w:r>
      <w:r w:rsidR="002F5951" w:rsidRPr="00A20F00">
        <w:t>жалобу</w:t>
      </w:r>
      <w:r w:rsidR="00654320" w:rsidRPr="00A20F00">
        <w:t xml:space="preserve">. </w:t>
      </w:r>
      <w:r w:rsidR="00C87E9D" w:rsidRPr="00A20F00">
        <w:rPr>
          <w:bCs/>
        </w:rPr>
        <w:t>Жалобы и механизм реагирования на них</w:t>
      </w:r>
      <w:r w:rsidR="00654320" w:rsidRPr="00A20F00">
        <w:t xml:space="preserve"> </w:t>
      </w:r>
      <w:r w:rsidR="00C87E9D" w:rsidRPr="00A20F00">
        <w:t>следует рассматривать в качестве</w:t>
      </w:r>
      <w:r w:rsidR="00654320" w:rsidRPr="00A20F00">
        <w:t xml:space="preserve"> </w:t>
      </w:r>
      <w:r w:rsidR="00C87E9D" w:rsidRPr="00A20F00">
        <w:t xml:space="preserve">крайней меры, позволяющей заинтересованным сторонам привлечь соответствующую организацию к ответственности, </w:t>
      </w:r>
      <w:r w:rsidR="003D3116" w:rsidRPr="00A20F00">
        <w:t>а организациям −</w:t>
      </w:r>
      <w:r w:rsidR="00C87E9D" w:rsidRPr="00A20F00">
        <w:t xml:space="preserve"> </w:t>
      </w:r>
      <w:r w:rsidR="00D1428A" w:rsidRPr="00A20F00">
        <w:t>сообщить о наличии проблемы,</w:t>
      </w:r>
      <w:r w:rsidR="00654320" w:rsidRPr="00A20F00">
        <w:t xml:space="preserve"> </w:t>
      </w:r>
      <w:r w:rsidR="00D1428A" w:rsidRPr="00A20F00">
        <w:t>требующей решения</w:t>
      </w:r>
      <w:r w:rsidR="003D3116" w:rsidRPr="00A20F00">
        <w:t>"</w:t>
      </w:r>
      <w:r w:rsidR="00654320" w:rsidRPr="00A20F00">
        <w:t xml:space="preserve">. </w:t>
      </w:r>
      <w:r w:rsidR="00D1428A" w:rsidRPr="00A20F00">
        <w:t>В МСЭ</w:t>
      </w:r>
      <w:r w:rsidR="00654320" w:rsidRPr="00A20F00">
        <w:t xml:space="preserve"> </w:t>
      </w:r>
      <w:r w:rsidR="00D1428A" w:rsidRPr="00A20F00">
        <w:t>существует несколько механизмов рассмотрения жалоб</w:t>
      </w:r>
      <w:r w:rsidR="00654320" w:rsidRPr="00A20F00">
        <w:t xml:space="preserve">, </w:t>
      </w:r>
      <w:r w:rsidR="00D1428A" w:rsidRPr="00A20F00">
        <w:t>а именно</w:t>
      </w:r>
      <w:r w:rsidR="00654320" w:rsidRPr="00A20F00">
        <w:t>:</w:t>
      </w:r>
    </w:p>
    <w:p w:rsidR="00654320" w:rsidRPr="00A20F00" w:rsidRDefault="00501C41" w:rsidP="00501C41">
      <w:pPr>
        <w:pStyle w:val="enumlev1"/>
      </w:pPr>
      <w:r w:rsidRPr="00A20F00">
        <w:rPr>
          <w:color w:val="000000"/>
        </w:rPr>
        <w:t>a)</w:t>
      </w:r>
      <w:r w:rsidRPr="00A20F00">
        <w:rPr>
          <w:color w:val="000000"/>
        </w:rPr>
        <w:tab/>
      </w:r>
      <w:r w:rsidR="00D1428A" w:rsidRPr="00A20F00">
        <w:rPr>
          <w:color w:val="000000"/>
        </w:rPr>
        <w:t>сотрудник по этике</w:t>
      </w:r>
      <w:r w:rsidR="00654320" w:rsidRPr="00A20F00">
        <w:t xml:space="preserve"> – </w:t>
      </w:r>
      <w:r w:rsidR="00D1428A" w:rsidRPr="00A20F00">
        <w:t>моральные ценности</w:t>
      </w:r>
      <w:r w:rsidR="00654320" w:rsidRPr="00A20F00">
        <w:t xml:space="preserve"> </w:t>
      </w:r>
      <w:r w:rsidR="00D1428A" w:rsidRPr="00A20F00">
        <w:t>и нормы поведения</w:t>
      </w:r>
      <w:r w:rsidR="00654320" w:rsidRPr="00A20F00">
        <w:t>;</w:t>
      </w:r>
    </w:p>
    <w:p w:rsidR="00654320" w:rsidRPr="00A20F00" w:rsidRDefault="00501C41" w:rsidP="00501C41">
      <w:pPr>
        <w:pStyle w:val="enumlev1"/>
      </w:pPr>
      <w:r w:rsidRPr="00A20F00">
        <w:t>b)</w:t>
      </w:r>
      <w:r w:rsidRPr="00A20F00">
        <w:tab/>
      </w:r>
      <w:r w:rsidR="00D1428A" w:rsidRPr="00A20F00">
        <w:t>Совет персонала</w:t>
      </w:r>
      <w:r w:rsidR="00654320" w:rsidRPr="00A20F00">
        <w:t>;</w:t>
      </w:r>
    </w:p>
    <w:p w:rsidR="00654320" w:rsidRPr="00A20F00" w:rsidRDefault="00501C41" w:rsidP="00501C41">
      <w:pPr>
        <w:pStyle w:val="enumlev1"/>
      </w:pPr>
      <w:r w:rsidRPr="00A20F00">
        <w:t>c)</w:t>
      </w:r>
      <w:r w:rsidRPr="00A20F00">
        <w:tab/>
      </w:r>
      <w:r w:rsidR="00D1428A" w:rsidRPr="00A20F00">
        <w:t>посредники Союза</w:t>
      </w:r>
      <w:r w:rsidR="00654320" w:rsidRPr="00A20F00">
        <w:t>;</w:t>
      </w:r>
    </w:p>
    <w:p w:rsidR="00654320" w:rsidRPr="00A20F00" w:rsidRDefault="00501C41" w:rsidP="00501C41">
      <w:pPr>
        <w:pStyle w:val="enumlev1"/>
      </w:pPr>
      <w:r w:rsidRPr="00A20F00">
        <w:t>d)</w:t>
      </w:r>
      <w:r w:rsidRPr="00A20F00">
        <w:tab/>
      </w:r>
      <w:r w:rsidR="00D1428A" w:rsidRPr="00A20F00">
        <w:t>просьба о пересмотре решения,</w:t>
      </w:r>
      <w:r w:rsidR="00654320" w:rsidRPr="00A20F00">
        <w:t xml:space="preserve"> </w:t>
      </w:r>
      <w:r w:rsidR="00D1428A" w:rsidRPr="00A20F00">
        <w:t>которая должна быть адресована Генеральному секретарю</w:t>
      </w:r>
      <w:r w:rsidR="00654320" w:rsidRPr="00A20F00">
        <w:t>;</w:t>
      </w:r>
    </w:p>
    <w:p w:rsidR="00654320" w:rsidRPr="00A20F00" w:rsidRDefault="00501C41" w:rsidP="00501C41">
      <w:pPr>
        <w:pStyle w:val="enumlev1"/>
      </w:pPr>
      <w:r w:rsidRPr="00A20F00">
        <w:t>e)</w:t>
      </w:r>
      <w:r w:rsidRPr="00A20F00">
        <w:tab/>
      </w:r>
      <w:r w:rsidR="00D1428A" w:rsidRPr="00A20F00">
        <w:t>Апелляционный комитет</w:t>
      </w:r>
      <w:r w:rsidR="00654320" w:rsidRPr="00A20F00">
        <w:t>;</w:t>
      </w:r>
    </w:p>
    <w:p w:rsidR="00654320" w:rsidRPr="00A20F00" w:rsidRDefault="00501C41" w:rsidP="00501C41">
      <w:pPr>
        <w:pStyle w:val="enumlev1"/>
      </w:pPr>
      <w:r w:rsidRPr="00A20F00">
        <w:rPr>
          <w:color w:val="000000"/>
        </w:rPr>
        <w:t>f)</w:t>
      </w:r>
      <w:r w:rsidRPr="00A20F00">
        <w:rPr>
          <w:color w:val="000000"/>
        </w:rPr>
        <w:tab/>
      </w:r>
      <w:r w:rsidR="00D1428A" w:rsidRPr="00A20F00">
        <w:rPr>
          <w:color w:val="000000"/>
        </w:rPr>
        <w:t>Административный трибунал Международной организации труда</w:t>
      </w:r>
      <w:r w:rsidR="00654320" w:rsidRPr="00A20F00">
        <w:t xml:space="preserve"> (</w:t>
      </w:r>
      <w:r w:rsidR="00CC0D2A" w:rsidRPr="00A20F00">
        <w:t>АТ МОТ</w:t>
      </w:r>
      <w:r w:rsidR="00654320" w:rsidRPr="00A20F00">
        <w:t xml:space="preserve">): </w:t>
      </w:r>
      <w:r w:rsidR="00CC0D2A" w:rsidRPr="00A20F00">
        <w:t xml:space="preserve">Согласно </w:t>
      </w:r>
      <w:r w:rsidR="00CC0D2A" w:rsidRPr="00A20F00">
        <w:rPr>
          <w:color w:val="000000"/>
        </w:rPr>
        <w:t>Положениям о персонале</w:t>
      </w:r>
      <w:r w:rsidR="00CC0D2A" w:rsidRPr="00A20F00">
        <w:t xml:space="preserve"> любой с</w:t>
      </w:r>
      <w:r w:rsidR="00CC0D2A" w:rsidRPr="00A20F00">
        <w:rPr>
          <w:color w:val="000000"/>
        </w:rPr>
        <w:t xml:space="preserve">отрудник имеет право обратиться </w:t>
      </w:r>
      <w:r w:rsidR="00CC0D2A" w:rsidRPr="00A20F00">
        <w:t>в АТ МОТ</w:t>
      </w:r>
      <w:r w:rsidR="00654320" w:rsidRPr="00A20F00">
        <w:t xml:space="preserve"> </w:t>
      </w:r>
      <w:r w:rsidR="00CC0D2A" w:rsidRPr="00A20F00">
        <w:t>в соответствии с условиями, изложенными в</w:t>
      </w:r>
      <w:r w:rsidR="00654320" w:rsidRPr="00A20F00">
        <w:t xml:space="preserve"> </w:t>
      </w:r>
      <w:r w:rsidR="00CC0D2A" w:rsidRPr="00A20F00">
        <w:rPr>
          <w:color w:val="000000"/>
        </w:rPr>
        <w:t>Статуте этого Трибунала</w:t>
      </w:r>
      <w:r w:rsidR="00654320" w:rsidRPr="00A20F00">
        <w:t>;</w:t>
      </w:r>
    </w:p>
    <w:p w:rsidR="00654320" w:rsidRPr="00A20F00" w:rsidRDefault="00501C41" w:rsidP="00501C41">
      <w:pPr>
        <w:pStyle w:val="enumlev1"/>
      </w:pPr>
      <w:r w:rsidRPr="00A20F00">
        <w:t>g)</w:t>
      </w:r>
      <w:r w:rsidRPr="00A20F00">
        <w:tab/>
      </w:r>
      <w:r w:rsidR="00CC0D2A" w:rsidRPr="00A20F00">
        <w:t>механизм подачи жалоб ООН</w:t>
      </w:r>
      <w:r w:rsidR="00654320" w:rsidRPr="00A20F00">
        <w:t xml:space="preserve">, </w:t>
      </w:r>
      <w:r w:rsidR="00CC0D2A" w:rsidRPr="00A20F00">
        <w:t xml:space="preserve">к которому могут </w:t>
      </w:r>
      <w:r w:rsidR="00FE7868" w:rsidRPr="00A20F00">
        <w:t>прибегнуть</w:t>
      </w:r>
      <w:r w:rsidR="00654320" w:rsidRPr="00A20F00">
        <w:t xml:space="preserve"> </w:t>
      </w:r>
      <w:r w:rsidR="00CC0D2A" w:rsidRPr="00A20F00">
        <w:t>сотрудники</w:t>
      </w:r>
      <w:r w:rsidR="00654320" w:rsidRPr="00A20F00">
        <w:t xml:space="preserve"> </w:t>
      </w:r>
      <w:r w:rsidR="00CC0D2A" w:rsidRPr="00A20F00">
        <w:t>для принятия решения</w:t>
      </w:r>
      <w:r w:rsidR="00654320" w:rsidRPr="00A20F00">
        <w:t xml:space="preserve"> </w:t>
      </w:r>
      <w:r w:rsidR="00CC0D2A" w:rsidRPr="00A20F00">
        <w:t>в связи с вопросами</w:t>
      </w:r>
      <w:r w:rsidR="00FE7868" w:rsidRPr="00A20F00">
        <w:t>, относящимися к</w:t>
      </w:r>
      <w:r w:rsidR="00654320" w:rsidRPr="00A20F00">
        <w:t xml:space="preserve"> </w:t>
      </w:r>
      <w:r w:rsidR="00CC0D2A" w:rsidRPr="00A20F00">
        <w:rPr>
          <w:color w:val="000000"/>
        </w:rPr>
        <w:t>Объединенно</w:t>
      </w:r>
      <w:r w:rsidR="00FE7868" w:rsidRPr="00A20F00">
        <w:rPr>
          <w:color w:val="000000"/>
        </w:rPr>
        <w:t>му</w:t>
      </w:r>
      <w:r w:rsidR="00CC0D2A" w:rsidRPr="00A20F00">
        <w:rPr>
          <w:color w:val="000000"/>
        </w:rPr>
        <w:t xml:space="preserve"> пенсионно</w:t>
      </w:r>
      <w:r w:rsidR="00FE7868" w:rsidRPr="00A20F00">
        <w:rPr>
          <w:color w:val="000000"/>
        </w:rPr>
        <w:t>му</w:t>
      </w:r>
      <w:r w:rsidR="00CC0D2A" w:rsidRPr="00A20F00">
        <w:rPr>
          <w:color w:val="000000"/>
        </w:rPr>
        <w:t xml:space="preserve"> фонд</w:t>
      </w:r>
      <w:r w:rsidR="00FE7868" w:rsidRPr="00A20F00">
        <w:rPr>
          <w:color w:val="000000"/>
        </w:rPr>
        <w:t>у</w:t>
      </w:r>
      <w:r w:rsidR="00CC0D2A" w:rsidRPr="00A20F00">
        <w:rPr>
          <w:color w:val="000000"/>
        </w:rPr>
        <w:t xml:space="preserve"> персонала ООН</w:t>
      </w:r>
      <w:r w:rsidR="00CC0D2A" w:rsidRPr="00A20F00">
        <w:t xml:space="preserve"> </w:t>
      </w:r>
      <w:r w:rsidR="00654320" w:rsidRPr="00A20F00">
        <w:t>(</w:t>
      </w:r>
      <w:r w:rsidR="00CC0D2A" w:rsidRPr="00A20F00">
        <w:t>ОПФП ООН</w:t>
      </w:r>
      <w:r w:rsidR="00654320" w:rsidRPr="00A20F00">
        <w:t>);</w:t>
      </w:r>
    </w:p>
    <w:p w:rsidR="00654320" w:rsidRPr="00A20F00" w:rsidRDefault="00501C41" w:rsidP="00501C41">
      <w:pPr>
        <w:pStyle w:val="enumlev1"/>
      </w:pPr>
      <w:r w:rsidRPr="00A20F00">
        <w:rPr>
          <w:color w:val="000000"/>
        </w:rPr>
        <w:t>h)</w:t>
      </w:r>
      <w:r w:rsidRPr="00A20F00">
        <w:rPr>
          <w:color w:val="000000"/>
        </w:rPr>
        <w:tab/>
      </w:r>
      <w:r w:rsidR="00DB6A67" w:rsidRPr="00A20F00">
        <w:rPr>
          <w:color w:val="000000"/>
        </w:rPr>
        <w:t>Комитет по пересмотру категорий</w:t>
      </w:r>
      <w:r w:rsidR="00654320" w:rsidRPr="00A20F00">
        <w:t xml:space="preserve">; </w:t>
      </w:r>
      <w:r w:rsidR="00DB6A67" w:rsidRPr="00A20F00">
        <w:t>и</w:t>
      </w:r>
    </w:p>
    <w:p w:rsidR="00654320" w:rsidRPr="00A20F00" w:rsidRDefault="00501C41" w:rsidP="00501C41">
      <w:pPr>
        <w:pStyle w:val="enumlev1"/>
        <w:rPr>
          <w:sz w:val="24"/>
          <w:szCs w:val="24"/>
        </w:rPr>
      </w:pPr>
      <w:r w:rsidRPr="00A20F00">
        <w:rPr>
          <w:color w:val="000000"/>
        </w:rPr>
        <w:t>i)</w:t>
      </w:r>
      <w:r w:rsidRPr="00A20F00">
        <w:rPr>
          <w:color w:val="000000"/>
        </w:rPr>
        <w:tab/>
      </w:r>
      <w:r w:rsidR="00DB6A67" w:rsidRPr="00A20F00">
        <w:rPr>
          <w:color w:val="000000"/>
        </w:rPr>
        <w:t>комиссии по расследованию,</w:t>
      </w:r>
      <w:r w:rsidR="00654320" w:rsidRPr="00A20F00">
        <w:t xml:space="preserve"> </w:t>
      </w:r>
      <w:r w:rsidR="00DB6A67" w:rsidRPr="00A20F00">
        <w:t>создаваемые на основе</w:t>
      </w:r>
      <w:r w:rsidR="00654320" w:rsidRPr="00A20F00">
        <w:t xml:space="preserve"> </w:t>
      </w:r>
      <w:r w:rsidR="00DB6A67" w:rsidRPr="00A20F00">
        <w:t xml:space="preserve">соответствующих </w:t>
      </w:r>
      <w:r w:rsidR="00790257" w:rsidRPr="00A20F00">
        <w:t xml:space="preserve">служебных </w:t>
      </w:r>
      <w:r w:rsidR="00DB6A67" w:rsidRPr="00A20F00">
        <w:t>приказов</w:t>
      </w:r>
      <w:r w:rsidR="00654320" w:rsidRPr="00A20F00">
        <w:t xml:space="preserve"> (</w:t>
      </w:r>
      <w:r w:rsidR="00DB6A67" w:rsidRPr="00A20F00">
        <w:t>напр</w:t>
      </w:r>
      <w:r w:rsidRPr="00A20F00">
        <w:t>имер</w:t>
      </w:r>
      <w:r w:rsidR="00DB6A67" w:rsidRPr="00A20F00">
        <w:t>,</w:t>
      </w:r>
      <w:r w:rsidR="00654320" w:rsidRPr="00A20F00">
        <w:t xml:space="preserve"> SO 05/05 </w:t>
      </w:r>
      <w:r w:rsidR="00DB6A67" w:rsidRPr="00A20F00">
        <w:t>о</w:t>
      </w:r>
      <w:r w:rsidR="00654320" w:rsidRPr="00A20F00">
        <w:t xml:space="preserve"> </w:t>
      </w:r>
      <w:r w:rsidR="00DB6A67" w:rsidRPr="00A20F00">
        <w:rPr>
          <w:color w:val="000000"/>
        </w:rPr>
        <w:t>притеснении и злоупотреблении полномочиями</w:t>
      </w:r>
      <w:r w:rsidR="00654320" w:rsidRPr="00A20F00">
        <w:t>).</w:t>
      </w:r>
    </w:p>
    <w:p w:rsidR="00654320" w:rsidRPr="00A20F00" w:rsidRDefault="00654320" w:rsidP="00501C41">
      <w:pPr>
        <w:pStyle w:val="Heading1"/>
        <w:rPr>
          <w:rFonts w:eastAsiaTheme="majorEastAsia"/>
        </w:rPr>
      </w:pPr>
      <w:r w:rsidRPr="00A20F00">
        <w:rPr>
          <w:rFonts w:eastAsiaTheme="majorEastAsia"/>
        </w:rPr>
        <w:t>V</w:t>
      </w:r>
      <w:r w:rsidR="00501C41" w:rsidRPr="00A20F00">
        <w:rPr>
          <w:rFonts w:eastAsiaTheme="majorEastAsia"/>
        </w:rPr>
        <w:tab/>
      </w:r>
      <w:r w:rsidR="00F867B8" w:rsidRPr="00A20F00">
        <w:rPr>
          <w:rFonts w:eastAsiaTheme="majorEastAsia"/>
        </w:rPr>
        <w:t>Показатели</w:t>
      </w:r>
      <w:r w:rsidR="00D85DA7" w:rsidRPr="00A20F00">
        <w:rPr>
          <w:rFonts w:eastAsiaTheme="majorEastAsia"/>
        </w:rPr>
        <w:t>, установленные ОИГ для системы</w:t>
      </w:r>
      <w:r w:rsidRPr="00A20F00">
        <w:rPr>
          <w:rFonts w:eastAsiaTheme="majorEastAsia"/>
        </w:rPr>
        <w:t xml:space="preserve"> </w:t>
      </w:r>
      <w:r w:rsidR="00D85DA7" w:rsidRPr="00A20F00">
        <w:rPr>
          <w:rFonts w:eastAsiaTheme="majorEastAsia"/>
        </w:rPr>
        <w:t>п</w:t>
      </w:r>
      <w:r w:rsidR="00A6244D" w:rsidRPr="00A20F00">
        <w:rPr>
          <w:rFonts w:eastAsiaTheme="majorEastAsia"/>
        </w:rPr>
        <w:t>одотчетност</w:t>
      </w:r>
      <w:r w:rsidR="00D85DA7" w:rsidRPr="00A20F00">
        <w:rPr>
          <w:rFonts w:eastAsiaTheme="majorEastAsia"/>
        </w:rPr>
        <w:t>и</w:t>
      </w:r>
    </w:p>
    <w:p w:rsidR="00654320" w:rsidRPr="00A20F00" w:rsidRDefault="00654320" w:rsidP="00501C41">
      <w:pPr>
        <w:rPr>
          <w:rFonts w:eastAsiaTheme="majorEastAsia"/>
          <w:b/>
          <w:bCs/>
        </w:rPr>
      </w:pPr>
      <w:r w:rsidRPr="00A20F00">
        <w:t>13</w:t>
      </w:r>
      <w:r w:rsidRPr="00A20F00">
        <w:tab/>
      </w:r>
      <w:r w:rsidR="00D85DA7" w:rsidRPr="00A20F00">
        <w:t>В Отчете ОИГ</w:t>
      </w:r>
      <w:r w:rsidRPr="00A20F00">
        <w:t xml:space="preserve">/2011/5 </w:t>
      </w:r>
      <w:r w:rsidR="00D85DA7" w:rsidRPr="00A20F00">
        <w:t>содержится</w:t>
      </w:r>
      <w:r w:rsidRPr="00A20F00">
        <w:t xml:space="preserve"> 17 </w:t>
      </w:r>
      <w:r w:rsidR="00D85DA7" w:rsidRPr="00A20F00">
        <w:t>показателей</w:t>
      </w:r>
      <w:r w:rsidRPr="00A20F00">
        <w:t xml:space="preserve"> </w:t>
      </w:r>
      <w:r w:rsidR="00D85DA7" w:rsidRPr="00A20F00">
        <w:t>для измерения</w:t>
      </w:r>
      <w:r w:rsidRPr="00A20F00">
        <w:t xml:space="preserve"> </w:t>
      </w:r>
      <w:r w:rsidR="00D85DA7" w:rsidRPr="00A20F00">
        <w:t>устойчивой системы</w:t>
      </w:r>
      <w:r w:rsidRPr="00A20F00">
        <w:t xml:space="preserve"> </w:t>
      </w:r>
      <w:r w:rsidR="00A6244D" w:rsidRPr="00A20F00">
        <w:t>подотчетност</w:t>
      </w:r>
      <w:r w:rsidR="00D85DA7" w:rsidRPr="00A20F00">
        <w:t>и, основанной на</w:t>
      </w:r>
      <w:r w:rsidRPr="00A20F00">
        <w:t xml:space="preserve"> </w:t>
      </w:r>
      <w:r w:rsidR="00D85DA7" w:rsidRPr="00A20F00">
        <w:t>прозрачности и культуре</w:t>
      </w:r>
      <w:r w:rsidRPr="00A20F00">
        <w:t xml:space="preserve"> </w:t>
      </w:r>
      <w:r w:rsidR="00A6244D" w:rsidRPr="00A20F00">
        <w:t>подотчетност</w:t>
      </w:r>
      <w:r w:rsidR="00D85DA7" w:rsidRPr="00A20F00">
        <w:t>и</w:t>
      </w:r>
      <w:r w:rsidRPr="00A20F00">
        <w:t xml:space="preserve">. </w:t>
      </w:r>
      <w:r w:rsidR="00D85DA7" w:rsidRPr="00A20F00">
        <w:t>В Приложении представлена</w:t>
      </w:r>
      <w:r w:rsidRPr="00A20F00">
        <w:t xml:space="preserve"> </w:t>
      </w:r>
      <w:r w:rsidR="00D85DA7" w:rsidRPr="00A20F00">
        <w:t>подробная информация</w:t>
      </w:r>
      <w:r w:rsidRPr="00A20F00">
        <w:t xml:space="preserve"> </w:t>
      </w:r>
      <w:r w:rsidR="00D85DA7" w:rsidRPr="00A20F00">
        <w:t>о</w:t>
      </w:r>
      <w:r w:rsidRPr="00A20F00">
        <w:t xml:space="preserve"> </w:t>
      </w:r>
      <w:r w:rsidR="00D85DA7" w:rsidRPr="00A20F00">
        <w:t>состоянии показателей и инструментов</w:t>
      </w:r>
      <w:r w:rsidRPr="00A20F00">
        <w:t xml:space="preserve"> </w:t>
      </w:r>
      <w:r w:rsidR="00D85DA7" w:rsidRPr="00A20F00">
        <w:t>в системе</w:t>
      </w:r>
      <w:r w:rsidRPr="00A20F00">
        <w:t xml:space="preserve"> </w:t>
      </w:r>
      <w:r w:rsidR="00D85DA7" w:rsidRPr="00A20F00">
        <w:t>п</w:t>
      </w:r>
      <w:r w:rsidR="00A6244D" w:rsidRPr="00A20F00">
        <w:t>одотчетност</w:t>
      </w:r>
      <w:r w:rsidR="00D85DA7" w:rsidRPr="00A20F00">
        <w:t>и МСЭ</w:t>
      </w:r>
      <w:r w:rsidRPr="00A20F00">
        <w:t>.</w:t>
      </w:r>
    </w:p>
    <w:p w:rsidR="00654320" w:rsidRPr="00A20F00" w:rsidRDefault="00654320" w:rsidP="00501C41">
      <w:pPr>
        <w:pStyle w:val="Heading1"/>
        <w:rPr>
          <w:rFonts w:eastAsiaTheme="majorEastAsia"/>
        </w:rPr>
      </w:pPr>
      <w:r w:rsidRPr="00A20F00">
        <w:rPr>
          <w:rFonts w:eastAsiaTheme="majorEastAsia"/>
        </w:rPr>
        <w:t>VI</w:t>
      </w:r>
      <w:r w:rsidR="00501C41" w:rsidRPr="00A20F00">
        <w:rPr>
          <w:rFonts w:eastAsiaTheme="majorEastAsia"/>
        </w:rPr>
        <w:tab/>
      </w:r>
      <w:r w:rsidR="00D85DA7" w:rsidRPr="00A20F00">
        <w:rPr>
          <w:rFonts w:eastAsiaTheme="majorEastAsia"/>
        </w:rPr>
        <w:t>Вывод</w:t>
      </w:r>
    </w:p>
    <w:p w:rsidR="00654320" w:rsidRPr="00A20F00" w:rsidRDefault="00501C41" w:rsidP="00501C41">
      <w:r w:rsidRPr="00A20F00">
        <w:t>14</w:t>
      </w:r>
      <w:r w:rsidR="00654320" w:rsidRPr="00A20F00">
        <w:tab/>
      </w:r>
      <w:r w:rsidR="00D85DA7" w:rsidRPr="00A20F00">
        <w:t>МСЭ будет и впредь следить за тем, чтобы</w:t>
      </w:r>
      <w:r w:rsidR="00654320" w:rsidRPr="00A20F00">
        <w:t xml:space="preserve"> </w:t>
      </w:r>
      <w:r w:rsidR="00D85DA7" w:rsidRPr="00A20F00">
        <w:t>система</w:t>
      </w:r>
      <w:r w:rsidR="00654320" w:rsidRPr="00A20F00">
        <w:t xml:space="preserve"> </w:t>
      </w:r>
      <w:r w:rsidR="00D85DA7" w:rsidRPr="00A20F00">
        <w:t>п</w:t>
      </w:r>
      <w:r w:rsidR="00A6244D" w:rsidRPr="00A20F00">
        <w:t>одотчетност</w:t>
      </w:r>
      <w:r w:rsidR="00D85DA7" w:rsidRPr="00A20F00">
        <w:t>и Союза</w:t>
      </w:r>
      <w:r w:rsidR="00654320" w:rsidRPr="00A20F00">
        <w:t xml:space="preserve"> </w:t>
      </w:r>
      <w:r w:rsidR="00D85DA7" w:rsidRPr="00A20F00">
        <w:t>реагировала на меняющиеся обстоятельства</w:t>
      </w:r>
      <w:r w:rsidR="00654320" w:rsidRPr="00A20F00">
        <w:t xml:space="preserve"> </w:t>
      </w:r>
      <w:r w:rsidR="00D85DA7" w:rsidRPr="00A20F00">
        <w:t>и учитывала</w:t>
      </w:r>
      <w:r w:rsidR="00654320" w:rsidRPr="00A20F00">
        <w:t xml:space="preserve"> </w:t>
      </w:r>
      <w:r w:rsidR="00D85DA7" w:rsidRPr="00A20F00">
        <w:t>передовой опыт</w:t>
      </w:r>
      <w:r w:rsidR="007467C9" w:rsidRPr="00A20F00">
        <w:t>, накопленный в системе</w:t>
      </w:r>
      <w:r w:rsidR="00654320" w:rsidRPr="00A20F00">
        <w:t xml:space="preserve"> </w:t>
      </w:r>
      <w:r w:rsidR="007467C9" w:rsidRPr="00A20F00">
        <w:t>ООН</w:t>
      </w:r>
      <w:r w:rsidR="00654320" w:rsidRPr="00A20F00">
        <w:t xml:space="preserve">. </w:t>
      </w:r>
      <w:r w:rsidR="007467C9" w:rsidRPr="00A20F00">
        <w:t>Цель состоит в том, чтобы</w:t>
      </w:r>
      <w:r w:rsidR="00654320" w:rsidRPr="00A20F00">
        <w:t xml:space="preserve"> </w:t>
      </w:r>
      <w:r w:rsidR="007467C9" w:rsidRPr="00A20F00">
        <w:t>иметь в Союзе систему</w:t>
      </w:r>
      <w:r w:rsidR="00654320" w:rsidRPr="00A20F00">
        <w:t xml:space="preserve"> </w:t>
      </w:r>
      <w:r w:rsidR="00A6244D" w:rsidRPr="00A20F00">
        <w:t>подотчетност</w:t>
      </w:r>
      <w:r w:rsidR="007467C9" w:rsidRPr="00A20F00">
        <w:t>и, в которой основной упор делается</w:t>
      </w:r>
      <w:r w:rsidR="00654320" w:rsidRPr="00A20F00">
        <w:t xml:space="preserve"> </w:t>
      </w:r>
      <w:r w:rsidR="007467C9" w:rsidRPr="00A20F00">
        <w:t>на</w:t>
      </w:r>
      <w:r w:rsidR="00654320" w:rsidRPr="00A20F00">
        <w:t xml:space="preserve"> </w:t>
      </w:r>
      <w:r w:rsidR="007467C9" w:rsidRPr="00A20F00">
        <w:rPr>
          <w:color w:val="000000"/>
        </w:rPr>
        <w:t>управление, ориентированное на результаты</w:t>
      </w:r>
      <w:r w:rsidR="00654320" w:rsidRPr="00A20F00">
        <w:t xml:space="preserve"> </w:t>
      </w:r>
      <w:r w:rsidR="007467C9" w:rsidRPr="00A20F00">
        <w:t>и</w:t>
      </w:r>
      <w:r w:rsidR="00654320" w:rsidRPr="00A20F00">
        <w:t xml:space="preserve"> </w:t>
      </w:r>
      <w:r w:rsidR="007467C9" w:rsidRPr="00A20F00">
        <w:t>показатели работы</w:t>
      </w:r>
      <w:r w:rsidR="00D93C17" w:rsidRPr="00A20F00">
        <w:t>, которая</w:t>
      </w:r>
      <w:r w:rsidR="00654320" w:rsidRPr="00A20F00">
        <w:t xml:space="preserve"> </w:t>
      </w:r>
      <w:r w:rsidR="007467C9" w:rsidRPr="00A20F00">
        <w:t>п</w:t>
      </w:r>
      <w:r w:rsidR="00D93C17" w:rsidRPr="00A20F00">
        <w:t>редоставляет</w:t>
      </w:r>
      <w:r w:rsidR="007467C9" w:rsidRPr="00A20F00">
        <w:t xml:space="preserve"> руководителям большую гибкость и самостоятельность</w:t>
      </w:r>
      <w:r w:rsidR="00D93C17" w:rsidRPr="00A20F00">
        <w:t xml:space="preserve"> в целях</w:t>
      </w:r>
      <w:r w:rsidR="007467C9" w:rsidRPr="00A20F00">
        <w:t xml:space="preserve"> </w:t>
      </w:r>
      <w:proofErr w:type="gramStart"/>
      <w:r w:rsidR="007467C9" w:rsidRPr="00A20F00">
        <w:t>дости</w:t>
      </w:r>
      <w:r w:rsidR="00D93C17" w:rsidRPr="00A20F00">
        <w:t>жения</w:t>
      </w:r>
      <w:r w:rsidR="007467C9" w:rsidRPr="00A20F00">
        <w:t xml:space="preserve"> наилучших результатов</w:t>
      </w:r>
      <w:proofErr w:type="gramEnd"/>
      <w:r w:rsidR="00654320" w:rsidRPr="00A20F00">
        <w:t xml:space="preserve"> </w:t>
      </w:r>
      <w:r w:rsidR="00D93C17" w:rsidRPr="00A20F00">
        <w:t>и которая</w:t>
      </w:r>
      <w:r w:rsidR="00654320" w:rsidRPr="00A20F00">
        <w:t xml:space="preserve"> </w:t>
      </w:r>
      <w:r w:rsidR="005C064A" w:rsidRPr="00A20F00">
        <w:t>выделяет</w:t>
      </w:r>
      <w:r w:rsidR="00D93C17" w:rsidRPr="00A20F00">
        <w:t xml:space="preserve"> прозрачность</w:t>
      </w:r>
      <w:r w:rsidR="00654320" w:rsidRPr="00A20F00">
        <w:t xml:space="preserve"> </w:t>
      </w:r>
      <w:r w:rsidR="00D93C17" w:rsidRPr="00A20F00">
        <w:t>в качестве</w:t>
      </w:r>
      <w:r w:rsidR="00654320" w:rsidRPr="00A20F00">
        <w:t xml:space="preserve"> </w:t>
      </w:r>
      <w:r w:rsidR="00D93C17" w:rsidRPr="00A20F00">
        <w:t>важного элемента</w:t>
      </w:r>
      <w:r w:rsidR="00654320" w:rsidRPr="00A20F00">
        <w:t xml:space="preserve"> </w:t>
      </w:r>
      <w:r w:rsidR="00A6244D" w:rsidRPr="00A20F00">
        <w:t>подотчетност</w:t>
      </w:r>
      <w:r w:rsidR="00D93C17" w:rsidRPr="00A20F00">
        <w:t>и</w:t>
      </w:r>
      <w:r w:rsidR="00654320" w:rsidRPr="00A20F00">
        <w:t>.</w:t>
      </w:r>
    </w:p>
    <w:p w:rsidR="00654320" w:rsidRPr="00A20F00" w:rsidRDefault="00501C41" w:rsidP="00501C41">
      <w:pPr>
        <w:rPr>
          <w:sz w:val="24"/>
          <w:szCs w:val="24"/>
        </w:rPr>
      </w:pPr>
      <w:r w:rsidRPr="00A20F00">
        <w:t>15</w:t>
      </w:r>
      <w:r w:rsidR="00654320" w:rsidRPr="00A20F00">
        <w:tab/>
      </w:r>
      <w:r w:rsidR="005C064A" w:rsidRPr="00A20F00">
        <w:t>Система п</w:t>
      </w:r>
      <w:r w:rsidR="00A6244D" w:rsidRPr="00A20F00">
        <w:t>одотчетност</w:t>
      </w:r>
      <w:r w:rsidR="005C064A" w:rsidRPr="00A20F00">
        <w:t>и МСЭ</w:t>
      </w:r>
      <w:r w:rsidR="00654320" w:rsidRPr="00A20F00">
        <w:t xml:space="preserve"> </w:t>
      </w:r>
      <w:r w:rsidR="005C064A" w:rsidRPr="00A20F00">
        <w:t>будет периодически пересматриваться,</w:t>
      </w:r>
      <w:r w:rsidR="00654320" w:rsidRPr="00A20F00">
        <w:t xml:space="preserve"> </w:t>
      </w:r>
      <w:r w:rsidR="005C064A" w:rsidRPr="00A20F00">
        <w:t>чтобы</w:t>
      </w:r>
      <w:r w:rsidR="00654320" w:rsidRPr="00A20F00">
        <w:t xml:space="preserve"> </w:t>
      </w:r>
      <w:r w:rsidR="005C064A" w:rsidRPr="00A20F00">
        <w:t>усилить потенциал</w:t>
      </w:r>
      <w:r w:rsidR="00654320" w:rsidRPr="00A20F00">
        <w:t xml:space="preserve"> </w:t>
      </w:r>
      <w:r w:rsidR="0099763D" w:rsidRPr="00A20F00">
        <w:t xml:space="preserve">организации </w:t>
      </w:r>
      <w:r w:rsidR="005C064A" w:rsidRPr="00A20F00">
        <w:t>и обеспечить</w:t>
      </w:r>
      <w:r w:rsidR="00654320" w:rsidRPr="00A20F00">
        <w:t xml:space="preserve"> </w:t>
      </w:r>
      <w:r w:rsidR="005C064A" w:rsidRPr="00A20F00">
        <w:t>ее постоянную полезность</w:t>
      </w:r>
      <w:r w:rsidR="00654320" w:rsidRPr="00A20F00">
        <w:t xml:space="preserve">. </w:t>
      </w:r>
      <w:r w:rsidR="005C064A" w:rsidRPr="00A20F00">
        <w:t>Она будет обновляться, чтобы отражать</w:t>
      </w:r>
      <w:r w:rsidR="00654320" w:rsidRPr="00A20F00">
        <w:t xml:space="preserve"> </w:t>
      </w:r>
      <w:r w:rsidR="005C064A" w:rsidRPr="00A20F00">
        <w:t>новые</w:t>
      </w:r>
      <w:r w:rsidR="00654320" w:rsidRPr="00A20F00">
        <w:t xml:space="preserve"> </w:t>
      </w:r>
      <w:r w:rsidR="005C064A" w:rsidRPr="00A20F00">
        <w:t>требования или улучшения,</w:t>
      </w:r>
      <w:r w:rsidR="00654320" w:rsidRPr="00A20F00">
        <w:t xml:space="preserve"> </w:t>
      </w:r>
      <w:r w:rsidR="005C064A" w:rsidRPr="00A20F00">
        <w:t>вытекающие из новых инициатив</w:t>
      </w:r>
      <w:r w:rsidR="00654320" w:rsidRPr="00A20F00">
        <w:t xml:space="preserve"> </w:t>
      </w:r>
      <w:r w:rsidR="005C064A" w:rsidRPr="00A20F00">
        <w:t>или извлеченных уроков</w:t>
      </w:r>
      <w:r w:rsidR="00654320" w:rsidRPr="00A20F00">
        <w:t xml:space="preserve">. </w:t>
      </w:r>
      <w:r w:rsidR="005C064A" w:rsidRPr="00A20F00">
        <w:t>МСЭ обеспечит, чтобы</w:t>
      </w:r>
      <w:r w:rsidR="00654320" w:rsidRPr="00A20F00">
        <w:t xml:space="preserve"> </w:t>
      </w:r>
      <w:r w:rsidR="005C064A" w:rsidRPr="00A20F00">
        <w:t>система подотчетности</w:t>
      </w:r>
      <w:r w:rsidR="00654320" w:rsidRPr="00A20F00">
        <w:t xml:space="preserve"> </w:t>
      </w:r>
      <w:r w:rsidR="005C064A" w:rsidRPr="00A20F00">
        <w:t>оставалась</w:t>
      </w:r>
      <w:r w:rsidR="00654320" w:rsidRPr="00A20F00">
        <w:t xml:space="preserve"> </w:t>
      </w:r>
      <w:r w:rsidR="005C064A" w:rsidRPr="00A20F00">
        <w:t>адаптированной к мандату и</w:t>
      </w:r>
      <w:r w:rsidR="00654320" w:rsidRPr="00A20F00">
        <w:t xml:space="preserve"> </w:t>
      </w:r>
      <w:r w:rsidR="005C064A" w:rsidRPr="00A20F00">
        <w:t>задачам Союза</w:t>
      </w:r>
      <w:r w:rsidR="00654320" w:rsidRPr="00A20F00">
        <w:rPr>
          <w:sz w:val="24"/>
          <w:szCs w:val="24"/>
        </w:rPr>
        <w:t>.</w:t>
      </w:r>
    </w:p>
    <w:p w:rsidR="00654320" w:rsidRPr="00A20F00" w:rsidRDefault="00654320" w:rsidP="00654320">
      <w:pPr>
        <w:jc w:val="both"/>
      </w:pPr>
    </w:p>
    <w:p w:rsidR="00654320" w:rsidRPr="00A20F00" w:rsidRDefault="00654320" w:rsidP="00654320">
      <w:pPr>
        <w:jc w:val="both"/>
        <w:sectPr w:rsidR="00654320" w:rsidRPr="00A20F00" w:rsidSect="00501C41">
          <w:headerReference w:type="default" r:id="rId16"/>
          <w:footerReference w:type="default" r:id="rId17"/>
          <w:footerReference w:type="first" r:id="rId18"/>
          <w:pgSz w:w="11907" w:h="16840" w:code="9"/>
          <w:pgMar w:top="1418" w:right="1134" w:bottom="1134" w:left="1134" w:header="567" w:footer="567" w:gutter="0"/>
          <w:cols w:space="708"/>
          <w:titlePg/>
          <w:docGrid w:linePitch="360"/>
        </w:sectPr>
      </w:pPr>
    </w:p>
    <w:p w:rsidR="00654320" w:rsidRPr="00A20F00" w:rsidRDefault="00195041" w:rsidP="00501C41">
      <w:pPr>
        <w:pStyle w:val="AnnexNo"/>
        <w:spacing w:before="0"/>
        <w:rPr>
          <w:rFonts w:eastAsiaTheme="majorEastAsia"/>
        </w:rPr>
      </w:pPr>
      <w:r w:rsidRPr="00A20F00">
        <w:rPr>
          <w:rFonts w:eastAsiaTheme="majorEastAsia"/>
        </w:rPr>
        <w:lastRenderedPageBreak/>
        <w:t>ПРИЛОЖЕНИЕ</w:t>
      </w:r>
    </w:p>
    <w:p w:rsidR="00654320" w:rsidRPr="00A20F00" w:rsidRDefault="00195041" w:rsidP="00501C41">
      <w:pPr>
        <w:pStyle w:val="Annextitle"/>
        <w:rPr>
          <w:rFonts w:eastAsiaTheme="majorEastAsia"/>
        </w:rPr>
      </w:pPr>
      <w:r w:rsidRPr="00A20F00">
        <w:rPr>
          <w:color w:val="000000"/>
        </w:rPr>
        <w:t>Прогресс, достигнутый на пути к внедрению</w:t>
      </w:r>
      <w:r w:rsidRPr="00A20F00">
        <w:rPr>
          <w:rFonts w:eastAsiaTheme="majorEastAsia"/>
        </w:rPr>
        <w:t xml:space="preserve"> показателей ОИГ</w:t>
      </w:r>
      <w:r w:rsidR="00654320" w:rsidRPr="00A20F00">
        <w:rPr>
          <w:rFonts w:eastAsiaTheme="majorEastAsia"/>
        </w:rPr>
        <w:t xml:space="preserve"> </w:t>
      </w:r>
      <w:r w:rsidRPr="00A20F00">
        <w:rPr>
          <w:rFonts w:eastAsiaTheme="majorEastAsia"/>
        </w:rPr>
        <w:t>для системы</w:t>
      </w:r>
      <w:r w:rsidR="00654320" w:rsidRPr="00A20F00">
        <w:rPr>
          <w:rFonts w:eastAsiaTheme="majorEastAsia"/>
        </w:rPr>
        <w:t xml:space="preserve"> </w:t>
      </w:r>
      <w:r w:rsidRPr="00A20F00">
        <w:rPr>
          <w:rFonts w:eastAsiaTheme="majorEastAsia"/>
        </w:rPr>
        <w:t>п</w:t>
      </w:r>
      <w:r w:rsidR="00A6244D" w:rsidRPr="00A20F00">
        <w:rPr>
          <w:rFonts w:eastAsiaTheme="majorEastAsia"/>
        </w:rPr>
        <w:t>одотчетност</w:t>
      </w:r>
      <w:r w:rsidRPr="00A20F00">
        <w:rPr>
          <w:rFonts w:eastAsiaTheme="majorEastAsia"/>
        </w:rPr>
        <w:t>и</w:t>
      </w:r>
    </w:p>
    <w:p w:rsidR="00654320" w:rsidRPr="00A20F00" w:rsidRDefault="00195041" w:rsidP="00501C41">
      <w:pPr>
        <w:pStyle w:val="Headingb"/>
        <w:spacing w:after="120"/>
      </w:pPr>
      <w:r w:rsidRPr="00A20F00">
        <w:t>Принцип</w:t>
      </w:r>
      <w:r w:rsidR="00654320" w:rsidRPr="00A20F00">
        <w:t xml:space="preserve"> 1</w:t>
      </w: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1559"/>
        <w:gridCol w:w="5954"/>
      </w:tblGrid>
      <w:tr w:rsidR="00654320" w:rsidRPr="00A20F00" w:rsidTr="00501C41">
        <w:trPr>
          <w:tblHeader/>
        </w:trPr>
        <w:tc>
          <w:tcPr>
            <w:tcW w:w="3402" w:type="dxa"/>
            <w:shd w:val="clear" w:color="auto" w:fill="B8CCE4" w:themeFill="accent1" w:themeFillTint="66"/>
          </w:tcPr>
          <w:p w:rsidR="00654320" w:rsidRPr="00A20F00" w:rsidRDefault="004F2D32" w:rsidP="00501C41">
            <w:pPr>
              <w:pStyle w:val="Tablehead"/>
            </w:pPr>
            <w:r w:rsidRPr="00A20F00">
              <w:t>Показатель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654320" w:rsidRPr="00A20F00" w:rsidRDefault="004F2D32" w:rsidP="00501C41">
            <w:pPr>
              <w:pStyle w:val="Tablehead"/>
            </w:pPr>
            <w:r w:rsidRPr="00A20F00">
              <w:t>Инструменты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654320" w:rsidRPr="00A20F00" w:rsidRDefault="004F2D32" w:rsidP="00501C41">
            <w:pPr>
              <w:pStyle w:val="Tablehead"/>
            </w:pPr>
            <w:r w:rsidRPr="00A20F00">
              <w:t>Состояние</w:t>
            </w:r>
          </w:p>
        </w:tc>
        <w:tc>
          <w:tcPr>
            <w:tcW w:w="5954" w:type="dxa"/>
            <w:shd w:val="clear" w:color="auto" w:fill="B8CCE4" w:themeFill="accent1" w:themeFillTint="66"/>
          </w:tcPr>
          <w:p w:rsidR="00654320" w:rsidRPr="00A20F00" w:rsidRDefault="004F2D32" w:rsidP="00501C41">
            <w:pPr>
              <w:pStyle w:val="Tablehead"/>
            </w:pPr>
            <w:r w:rsidRPr="00A20F00">
              <w:t>Комментарий</w:t>
            </w:r>
          </w:p>
        </w:tc>
      </w:tr>
      <w:tr w:rsidR="00654320" w:rsidRPr="00A20F00" w:rsidTr="00501C41">
        <w:trPr>
          <w:trHeight w:val="255"/>
        </w:trPr>
        <w:tc>
          <w:tcPr>
            <w:tcW w:w="3402" w:type="dxa"/>
            <w:vMerge w:val="restart"/>
          </w:tcPr>
          <w:p w:rsidR="00654320" w:rsidRPr="00A20F00" w:rsidRDefault="00654320" w:rsidP="00501C41">
            <w:pPr>
              <w:pStyle w:val="Tabletext"/>
            </w:pPr>
            <w:r w:rsidRPr="00A20F00">
              <w:t>1</w:t>
            </w:r>
            <w:r w:rsidR="00501C41" w:rsidRPr="00A20F00">
              <w:tab/>
            </w:r>
            <w:r w:rsidR="00796871" w:rsidRPr="00A20F00">
              <w:t>Существуют четкая система</w:t>
            </w:r>
            <w:r w:rsidRPr="00A20F00">
              <w:t xml:space="preserve"> </w:t>
            </w:r>
            <w:r w:rsidR="00A6244D" w:rsidRPr="00A20F00">
              <w:t>подотчетност</w:t>
            </w:r>
            <w:r w:rsidR="00796871" w:rsidRPr="00A20F00">
              <w:t>и</w:t>
            </w:r>
            <w:r w:rsidRPr="00A20F00">
              <w:t xml:space="preserve">, </w:t>
            </w:r>
            <w:r w:rsidR="00796871" w:rsidRPr="00A20F00">
              <w:t>включая ее определение,</w:t>
            </w:r>
            <w:r w:rsidRPr="00A20F00">
              <w:t xml:space="preserve"> </w:t>
            </w:r>
            <w:r w:rsidR="00796871" w:rsidRPr="00A20F00">
              <w:t>и</w:t>
            </w:r>
            <w:r w:rsidRPr="00A20F00">
              <w:t xml:space="preserve"> </w:t>
            </w:r>
            <w:r w:rsidR="00796871" w:rsidRPr="00A20F00">
              <w:t>четкие указания в отношении того, кто отвечает за общее внедрение</w:t>
            </w:r>
            <w:r w:rsidRPr="00A20F00">
              <w:t xml:space="preserve"> </w:t>
            </w:r>
            <w:r w:rsidR="00796871" w:rsidRPr="00A20F00">
              <w:t>этой системы</w:t>
            </w:r>
            <w:r w:rsidRPr="00A20F00">
              <w:t xml:space="preserve">, </w:t>
            </w:r>
            <w:r w:rsidR="00796871" w:rsidRPr="00A20F00">
              <w:t>все компоненты которой взаимосвязаны</w:t>
            </w:r>
          </w:p>
        </w:tc>
        <w:tc>
          <w:tcPr>
            <w:tcW w:w="3686" w:type="dxa"/>
          </w:tcPr>
          <w:p w:rsidR="00654320" w:rsidRPr="00A20F00" w:rsidRDefault="00796871" w:rsidP="00501C41">
            <w:pPr>
              <w:pStyle w:val="Tabletext"/>
            </w:pPr>
            <w:r w:rsidRPr="00A20F00">
              <w:t>Рамочный документ о политике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 w:val="restart"/>
          </w:tcPr>
          <w:p w:rsidR="00654320" w:rsidRPr="00A20F00" w:rsidRDefault="00D821D0" w:rsidP="003D3116">
            <w:pPr>
              <w:pStyle w:val="Tabletext"/>
            </w:pPr>
            <w:r w:rsidRPr="00A20F00">
              <w:t>В соответствии с этим предложением</w:t>
            </w:r>
            <w:r w:rsidR="00654320" w:rsidRPr="00A20F00">
              <w:t xml:space="preserve"> </w:t>
            </w:r>
            <w:r w:rsidRPr="00A20F00">
              <w:t>МСЭ создает такую систему</w:t>
            </w:r>
            <w:r w:rsidR="00654320" w:rsidRPr="00A20F00">
              <w:t xml:space="preserve">. </w:t>
            </w:r>
            <w:r w:rsidRPr="00A20F00">
              <w:t>Эта система должна</w:t>
            </w:r>
            <w:r w:rsidR="00654320" w:rsidRPr="00A20F00">
              <w:t xml:space="preserve"> </w:t>
            </w:r>
            <w:r w:rsidRPr="00A20F00">
              <w:t>быть полностью реализована</w:t>
            </w:r>
            <w:r w:rsidR="00654320" w:rsidRPr="00A20F00">
              <w:t xml:space="preserve"> </w:t>
            </w:r>
            <w:r w:rsidRPr="00A20F00">
              <w:t>после принятия</w:t>
            </w:r>
            <w:r w:rsidR="00654320" w:rsidRPr="00A20F00">
              <w:t xml:space="preserve"> </w:t>
            </w:r>
            <w:r w:rsidR="005D4A21" w:rsidRPr="00A20F00">
              <w:t>ее Советом в</w:t>
            </w:r>
            <w:r w:rsidR="00654320" w:rsidRPr="00A20F00">
              <w:t xml:space="preserve"> 2017</w:t>
            </w:r>
            <w:r w:rsidR="005D4A21" w:rsidRPr="00A20F00">
              <w:t xml:space="preserve"> г</w:t>
            </w:r>
            <w:r w:rsidR="00A20F00" w:rsidRPr="00A20F00">
              <w:t>ода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trHeight w:val="256"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D821D0" w:rsidP="00501C41">
            <w:pPr>
              <w:pStyle w:val="Tabletext"/>
            </w:pPr>
            <w:r w:rsidRPr="00A20F00">
              <w:t>Определение</w:t>
            </w:r>
            <w:r w:rsidR="00654320" w:rsidRPr="00A20F00">
              <w:t xml:space="preserve"> </w:t>
            </w:r>
            <w:r w:rsidR="00A6244D" w:rsidRPr="00A20F00">
              <w:t>подотчетност</w:t>
            </w:r>
            <w:r w:rsidRPr="00A20F00">
              <w:t>и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/>
          </w:tcPr>
          <w:p w:rsidR="00654320" w:rsidRPr="00A20F00" w:rsidRDefault="00654320" w:rsidP="00501C41">
            <w:pPr>
              <w:rPr>
                <w:sz w:val="18"/>
                <w:szCs w:val="18"/>
              </w:rPr>
            </w:pPr>
          </w:p>
        </w:tc>
      </w:tr>
      <w:tr w:rsidR="00654320" w:rsidRPr="00A20F00" w:rsidTr="00501C41">
        <w:trPr>
          <w:trHeight w:val="255"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D73E60" w:rsidP="00501C41">
            <w:pPr>
              <w:pStyle w:val="Tabletext"/>
            </w:pPr>
            <w:r w:rsidRPr="00A20F00">
              <w:t>Функции</w:t>
            </w:r>
            <w:r w:rsidR="00D821D0" w:rsidRPr="00A20F00">
              <w:t xml:space="preserve"> и </w:t>
            </w:r>
            <w:r w:rsidRPr="00A20F00">
              <w:t>обяза</w:t>
            </w:r>
            <w:r w:rsidR="00D821D0" w:rsidRPr="00A20F00">
              <w:t>нности</w:t>
            </w:r>
            <w:r w:rsidR="00654320" w:rsidRPr="00A20F00">
              <w:t xml:space="preserve"> </w:t>
            </w:r>
            <w:r w:rsidR="00D821D0" w:rsidRPr="00A20F00">
              <w:t>высшего руководства</w:t>
            </w:r>
            <w:r w:rsidR="00654320" w:rsidRPr="00A20F00">
              <w:t xml:space="preserve">, </w:t>
            </w:r>
            <w:r w:rsidR="00D821D0" w:rsidRPr="00A20F00">
              <w:t>департамента прямого действия и персонала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/>
          </w:tcPr>
          <w:p w:rsidR="00654320" w:rsidRPr="00A20F00" w:rsidRDefault="00654320" w:rsidP="00501C41">
            <w:pPr>
              <w:rPr>
                <w:sz w:val="18"/>
                <w:szCs w:val="18"/>
              </w:rPr>
            </w:pPr>
          </w:p>
        </w:tc>
      </w:tr>
      <w:tr w:rsidR="00654320" w:rsidRPr="00A20F00" w:rsidTr="00501C41">
        <w:trPr>
          <w:trHeight w:val="256"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D821D0" w:rsidP="00501C41">
            <w:pPr>
              <w:pStyle w:val="Tabletext"/>
            </w:pPr>
            <w:r w:rsidRPr="00A20F00">
              <w:t>Документ о политике, доступный</w:t>
            </w:r>
            <w:r w:rsidR="00654320" w:rsidRPr="00A20F00">
              <w:t xml:space="preserve"> </w:t>
            </w:r>
            <w:r w:rsidRPr="00A20F00">
              <w:t>на веб-сайте и для персонала</w:t>
            </w:r>
          </w:p>
        </w:tc>
        <w:tc>
          <w:tcPr>
            <w:tcW w:w="1559" w:type="dxa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4" w:type="dxa"/>
            <w:vMerge/>
          </w:tcPr>
          <w:p w:rsidR="00654320" w:rsidRPr="00A20F00" w:rsidRDefault="00654320" w:rsidP="00501C41">
            <w:pPr>
              <w:rPr>
                <w:sz w:val="18"/>
                <w:szCs w:val="18"/>
              </w:rPr>
            </w:pPr>
          </w:p>
        </w:tc>
      </w:tr>
      <w:tr w:rsidR="00654320" w:rsidRPr="00A20F00" w:rsidTr="00501C41">
        <w:trPr>
          <w:trHeight w:val="256"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D821D0" w:rsidP="00501C41">
            <w:pPr>
              <w:pStyle w:val="Tabletext"/>
            </w:pPr>
            <w:r w:rsidRPr="00A20F00">
              <w:t>Система содержит ключевые компоненты</w:t>
            </w:r>
            <w:r w:rsidR="00654320" w:rsidRPr="00A20F00">
              <w:t xml:space="preserve"> </w:t>
            </w:r>
            <w:r w:rsidR="00A6244D" w:rsidRPr="00A20F00">
              <w:t>подотчетност</w:t>
            </w:r>
            <w:r w:rsidRPr="00A20F00">
              <w:t>и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/>
          </w:tcPr>
          <w:p w:rsidR="00654320" w:rsidRPr="00A20F00" w:rsidRDefault="00654320" w:rsidP="00501C41">
            <w:pPr>
              <w:rPr>
                <w:sz w:val="18"/>
                <w:szCs w:val="18"/>
              </w:rPr>
            </w:pPr>
          </w:p>
        </w:tc>
      </w:tr>
      <w:tr w:rsidR="00654320" w:rsidRPr="00A20F00" w:rsidTr="00501C41">
        <w:trPr>
          <w:trHeight w:val="479"/>
        </w:trPr>
        <w:tc>
          <w:tcPr>
            <w:tcW w:w="3402" w:type="dxa"/>
            <w:vMerge w:val="restart"/>
          </w:tcPr>
          <w:p w:rsidR="00654320" w:rsidRPr="00A20F00" w:rsidRDefault="00501C41" w:rsidP="00501C41">
            <w:pPr>
              <w:pStyle w:val="Tabletext"/>
            </w:pPr>
            <w:r w:rsidRPr="00A20F00">
              <w:t>2</w:t>
            </w:r>
            <w:r w:rsidRPr="00A20F00">
              <w:tab/>
            </w:r>
            <w:r w:rsidR="005D4A21" w:rsidRPr="00A20F00">
              <w:t>УОР</w:t>
            </w:r>
            <w:r w:rsidR="00654320" w:rsidRPr="00A20F00">
              <w:t xml:space="preserve"> </w:t>
            </w:r>
            <w:r w:rsidR="005D4A21" w:rsidRPr="00A20F00">
              <w:t>функционирует</w:t>
            </w:r>
            <w:r w:rsidR="00BA08B7" w:rsidRPr="00A20F00">
              <w:t>,</w:t>
            </w:r>
            <w:r w:rsidR="00654320" w:rsidRPr="00A20F00">
              <w:t xml:space="preserve"> </w:t>
            </w:r>
            <w:r w:rsidR="005D4A21" w:rsidRPr="00A20F00">
              <w:t>согласуется с</w:t>
            </w:r>
            <w:r w:rsidR="00654320" w:rsidRPr="00A20F00">
              <w:t xml:space="preserve"> </w:t>
            </w:r>
            <w:r w:rsidR="005D4A21" w:rsidRPr="00A20F00">
              <w:t>мандатом и задачами</w:t>
            </w:r>
            <w:r w:rsidR="00654320" w:rsidRPr="00A20F00">
              <w:t xml:space="preserve"> </w:t>
            </w:r>
            <w:r w:rsidR="005D4A21" w:rsidRPr="00A20F00">
              <w:t>организации</w:t>
            </w:r>
            <w:r w:rsidR="00654320" w:rsidRPr="00A20F00">
              <w:t xml:space="preserve"> </w:t>
            </w:r>
            <w:r w:rsidR="005D4A21" w:rsidRPr="00A20F00">
              <w:t>и отражено в планах работы подразделений</w:t>
            </w:r>
            <w:r w:rsidR="00654320" w:rsidRPr="00A20F00">
              <w:t xml:space="preserve"> </w:t>
            </w:r>
            <w:r w:rsidR="005D4A21" w:rsidRPr="00A20F00">
              <w:t>и персонала</w:t>
            </w:r>
          </w:p>
        </w:tc>
        <w:tc>
          <w:tcPr>
            <w:tcW w:w="3686" w:type="dxa"/>
          </w:tcPr>
          <w:p w:rsidR="00654320" w:rsidRPr="00A20F00" w:rsidRDefault="005D4A21" w:rsidP="00501C41">
            <w:pPr>
              <w:pStyle w:val="Tabletext"/>
            </w:pPr>
            <w:r w:rsidRPr="00A20F00">
              <w:t>Стратегические планы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 w:val="restart"/>
          </w:tcPr>
          <w:p w:rsidR="00654320" w:rsidRPr="00A20F00" w:rsidRDefault="005D4A21" w:rsidP="00501C41">
            <w:pPr>
              <w:pStyle w:val="Tabletext"/>
              <w:rPr>
                <w:rFonts w:asciiTheme="minorHAnsi" w:hAnsiTheme="minorHAnsi"/>
              </w:rPr>
            </w:pPr>
            <w:r w:rsidRPr="00A20F00">
              <w:t xml:space="preserve">УОР функционирует и согласуется с мандатом и задачами организации </w:t>
            </w:r>
            <w:r w:rsidR="00654320" w:rsidRPr="00A20F00">
              <w:t>(</w:t>
            </w:r>
            <w:r w:rsidRPr="00A20F00">
              <w:t xml:space="preserve">стратегические цели и </w:t>
            </w:r>
            <w:r w:rsidRPr="00A20F00">
              <w:rPr>
                <w:rFonts w:asciiTheme="minorHAnsi" w:hAnsiTheme="minorHAnsi"/>
              </w:rPr>
              <w:t>целевые показатели</w:t>
            </w:r>
            <w:r w:rsidR="00654320" w:rsidRPr="00A20F00">
              <w:rPr>
                <w:rFonts w:asciiTheme="minorHAnsi" w:hAnsiTheme="minorHAnsi"/>
              </w:rPr>
              <w:t xml:space="preserve">, </w:t>
            </w:r>
            <w:r w:rsidR="0099763D" w:rsidRPr="00A20F00">
              <w:rPr>
                <w:rFonts w:asciiTheme="minorHAnsi" w:hAnsiTheme="minorHAnsi" w:cstheme="majorBidi"/>
              </w:rPr>
              <w:t xml:space="preserve">секторальные и </w:t>
            </w:r>
            <w:proofErr w:type="spellStart"/>
            <w:r w:rsidR="0099763D" w:rsidRPr="00A20F00">
              <w:rPr>
                <w:rFonts w:asciiTheme="minorHAnsi" w:hAnsiTheme="minorHAnsi" w:cstheme="majorBidi"/>
              </w:rPr>
              <w:t>межсекторальные</w:t>
            </w:r>
            <w:proofErr w:type="spellEnd"/>
            <w:r w:rsidR="0099763D" w:rsidRPr="00A20F00">
              <w:rPr>
                <w:rFonts w:asciiTheme="minorHAnsi" w:hAnsiTheme="minorHAnsi" w:cstheme="majorBidi"/>
              </w:rPr>
              <w:t xml:space="preserve"> задачи/конечные результаты, намеченные результаты деятельности, а также</w:t>
            </w:r>
            <w:r w:rsidR="00654320" w:rsidRPr="00A20F00">
              <w:rPr>
                <w:rFonts w:asciiTheme="minorHAnsi" w:hAnsiTheme="minorHAnsi"/>
              </w:rPr>
              <w:t xml:space="preserve"> </w:t>
            </w:r>
            <w:r w:rsidR="0099763D" w:rsidRPr="00A20F00">
              <w:t>содействующая деятельность/вспомогательные услуги)</w:t>
            </w:r>
            <w:r w:rsidR="00654320" w:rsidRPr="00A20F00">
              <w:rPr>
                <w:rFonts w:asciiTheme="minorHAnsi" w:hAnsiTheme="minorHAnsi"/>
              </w:rPr>
              <w:t>.</w:t>
            </w:r>
            <w:r w:rsidR="0099763D" w:rsidRPr="00A20F00">
              <w:rPr>
                <w:rFonts w:asciiTheme="minorHAnsi" w:hAnsiTheme="minorHAnsi"/>
              </w:rPr>
              <w:t xml:space="preserve"> </w:t>
            </w:r>
          </w:p>
          <w:p w:rsidR="00654320" w:rsidRPr="00A20F00" w:rsidRDefault="0099763D" w:rsidP="00501C41">
            <w:pPr>
              <w:pStyle w:val="Tabletext"/>
            </w:pPr>
            <w:r w:rsidRPr="00A20F00">
              <w:t>Планы работы подразделений и персонала</w:t>
            </w:r>
            <w:r w:rsidR="00654320" w:rsidRPr="00A20F00">
              <w:t xml:space="preserve"> </w:t>
            </w:r>
            <w:r w:rsidRPr="00A20F00">
              <w:t>разрабатываются на основе</w:t>
            </w:r>
            <w:r w:rsidR="00654320" w:rsidRPr="00A20F00">
              <w:t xml:space="preserve"> </w:t>
            </w:r>
            <w:r w:rsidRPr="00A20F00">
              <w:t>структуры результатов деятельности</w:t>
            </w:r>
            <w:r w:rsidR="00654320" w:rsidRPr="00A20F00">
              <w:t xml:space="preserve"> </w:t>
            </w:r>
            <w:r w:rsidRPr="00A20F00">
              <w:t>организации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trHeight w:val="454"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5D4A21" w:rsidP="00501C41">
            <w:pPr>
              <w:pStyle w:val="Tabletext"/>
            </w:pPr>
            <w:r w:rsidRPr="00A20F00">
              <w:t>Планы работы подразделений</w:t>
            </w:r>
          </w:p>
        </w:tc>
        <w:tc>
          <w:tcPr>
            <w:tcW w:w="1559" w:type="dxa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4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trHeight w:val="287"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5D4A21" w:rsidP="00501C41">
            <w:pPr>
              <w:pStyle w:val="Tabletext"/>
            </w:pPr>
            <w:r w:rsidRPr="00A20F00">
              <w:t>Задачи работы персонала</w:t>
            </w:r>
          </w:p>
        </w:tc>
        <w:tc>
          <w:tcPr>
            <w:tcW w:w="1559" w:type="dxa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4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c>
          <w:tcPr>
            <w:tcW w:w="3402" w:type="dxa"/>
          </w:tcPr>
          <w:p w:rsidR="00654320" w:rsidRPr="00A20F00" w:rsidRDefault="00654320" w:rsidP="003D3116">
            <w:pPr>
              <w:pStyle w:val="Tabletext"/>
            </w:pPr>
            <w:r w:rsidRPr="00A20F00">
              <w:t>3</w:t>
            </w:r>
            <w:r w:rsidR="00501C41" w:rsidRPr="00A20F00">
              <w:tab/>
            </w:r>
            <w:r w:rsidR="00224C6C" w:rsidRPr="00A20F00">
              <w:t>Организации</w:t>
            </w:r>
            <w:r w:rsidRPr="00A20F00">
              <w:t xml:space="preserve"> </w:t>
            </w:r>
            <w:r w:rsidR="00224C6C" w:rsidRPr="00A20F00">
              <w:t>проводят</w:t>
            </w:r>
            <w:r w:rsidRPr="00A20F00">
              <w:t xml:space="preserve"> </w:t>
            </w:r>
            <w:r w:rsidR="00224C6C" w:rsidRPr="00A20F00">
              <w:t>заслуживающие доверия</w:t>
            </w:r>
            <w:r w:rsidRPr="00A20F00">
              <w:t xml:space="preserve">, </w:t>
            </w:r>
            <w:r w:rsidR="00DF0373" w:rsidRPr="00A20F00">
              <w:t>ориентированные на использование оценки</w:t>
            </w:r>
            <w:r w:rsidRPr="00A20F00">
              <w:t xml:space="preserve"> </w:t>
            </w:r>
            <w:r w:rsidR="00DF0373" w:rsidRPr="00A20F00">
              <w:t>и</w:t>
            </w:r>
            <w:r w:rsidRPr="00A20F00">
              <w:t xml:space="preserve"> </w:t>
            </w:r>
            <w:r w:rsidR="00DF0373" w:rsidRPr="00A20F00">
              <w:t>сообщают заинтересованным сторонам свои</w:t>
            </w:r>
            <w:r w:rsidRPr="00A20F00">
              <w:t xml:space="preserve"> </w:t>
            </w:r>
            <w:r w:rsidR="00DF0373" w:rsidRPr="00A20F00">
              <w:t>заключения, выводы</w:t>
            </w:r>
            <w:r w:rsidRPr="00A20F00">
              <w:t xml:space="preserve"> </w:t>
            </w:r>
            <w:r w:rsidR="00DF0373" w:rsidRPr="00A20F00">
              <w:t xml:space="preserve">и рекомендации </w:t>
            </w:r>
          </w:p>
        </w:tc>
        <w:tc>
          <w:tcPr>
            <w:tcW w:w="3686" w:type="dxa"/>
          </w:tcPr>
          <w:p w:rsidR="00654320" w:rsidRPr="00A20F00" w:rsidRDefault="00DF0373" w:rsidP="00501C41">
            <w:pPr>
              <w:pStyle w:val="Tabletext"/>
            </w:pPr>
            <w:r w:rsidRPr="00A20F00">
              <w:t>Функция оценки</w:t>
            </w:r>
          </w:p>
        </w:tc>
        <w:tc>
          <w:tcPr>
            <w:tcW w:w="1559" w:type="dxa"/>
            <w:vAlign w:val="center"/>
          </w:tcPr>
          <w:p w:rsidR="00DF0373" w:rsidRPr="00A20F00" w:rsidRDefault="004F2D32" w:rsidP="00501C41">
            <w:pPr>
              <w:pStyle w:val="Tabletext"/>
              <w:jc w:val="center"/>
            </w:pPr>
            <w:r w:rsidRPr="00A20F00">
              <w:t>В стадии рассмотрения</w:t>
            </w:r>
          </w:p>
        </w:tc>
        <w:tc>
          <w:tcPr>
            <w:tcW w:w="5954" w:type="dxa"/>
          </w:tcPr>
          <w:p w:rsidR="001A1A8F" w:rsidRPr="00A20F00" w:rsidRDefault="00DF0373" w:rsidP="00F01F72">
            <w:pPr>
              <w:pStyle w:val="Tabletext"/>
            </w:pPr>
            <w:r w:rsidRPr="00A20F00">
              <w:t>В настоящее время МСЭ проводит техн</w:t>
            </w:r>
            <w:r w:rsidR="00F01F72" w:rsidRPr="00A20F00">
              <w:t>ик</w:t>
            </w:r>
            <w:r w:rsidRPr="00A20F00">
              <w:t>о</w:t>
            </w:r>
            <w:r w:rsidR="00F01F72" w:rsidRPr="00A20F00">
              <w:t>-</w:t>
            </w:r>
            <w:r w:rsidRPr="00A20F00">
              <w:t>экономическое обоснование оценки, чтобы</w:t>
            </w:r>
            <w:r w:rsidR="00654320" w:rsidRPr="00A20F00">
              <w:t xml:space="preserve"> </w:t>
            </w:r>
            <w:r w:rsidRPr="00A20F00">
              <w:t>подготовить</w:t>
            </w:r>
            <w:r w:rsidR="00654320" w:rsidRPr="00A20F00">
              <w:t xml:space="preserve">: a) </w:t>
            </w:r>
            <w:r w:rsidRPr="00A20F00">
              <w:t>краткий отчет</w:t>
            </w:r>
            <w:r w:rsidR="00654320" w:rsidRPr="00A20F00">
              <w:t xml:space="preserve"> </w:t>
            </w:r>
            <w:r w:rsidRPr="00A20F00">
              <w:t>с подробной информацией</w:t>
            </w:r>
            <w:r w:rsidR="00654320" w:rsidRPr="00A20F00">
              <w:t xml:space="preserve"> </w:t>
            </w:r>
            <w:r w:rsidR="001A1A8F" w:rsidRPr="00A20F00">
              <w:t xml:space="preserve">о </w:t>
            </w:r>
            <w:r w:rsidRPr="00A20F00">
              <w:t xml:space="preserve">результатах, </w:t>
            </w:r>
            <w:r w:rsidR="001A1A8F" w:rsidRPr="00A20F00">
              <w:t xml:space="preserve">которые были выявлены и которые </w:t>
            </w:r>
            <w:r w:rsidRPr="00A20F00">
              <w:t>рекоменд</w:t>
            </w:r>
            <w:r w:rsidR="001A1A8F" w:rsidRPr="00A20F00">
              <w:t>уются</w:t>
            </w:r>
            <w:r w:rsidR="00654320" w:rsidRPr="00A20F00">
              <w:t xml:space="preserve"> </w:t>
            </w:r>
            <w:r w:rsidRPr="00A20F00">
              <w:t>для включения в процесс оценки</w:t>
            </w:r>
            <w:r w:rsidR="00654320" w:rsidRPr="00A20F00">
              <w:t>, b</w:t>
            </w:r>
            <w:r w:rsidR="00F01F72" w:rsidRPr="00A20F00">
              <w:t>) </w:t>
            </w:r>
            <w:r w:rsidR="001A1A8F" w:rsidRPr="00A20F00">
              <w:t>краткий отчет с подробной информацией о потребностях МСЭ в оценке</w:t>
            </w:r>
            <w:r w:rsidR="00654320" w:rsidRPr="00A20F00">
              <w:t xml:space="preserve"> </w:t>
            </w:r>
            <w:r w:rsidR="001A1A8F" w:rsidRPr="00A20F00">
              <w:t>на основе</w:t>
            </w:r>
            <w:r w:rsidR="00654320" w:rsidRPr="00A20F00">
              <w:t xml:space="preserve"> </w:t>
            </w:r>
            <w:r w:rsidR="001A1A8F" w:rsidRPr="00A20F00">
              <w:t>рекомендованных охвата и задач</w:t>
            </w:r>
            <w:r w:rsidR="00654320" w:rsidRPr="00A20F00">
              <w:t xml:space="preserve"> </w:t>
            </w:r>
            <w:r w:rsidR="001A1A8F" w:rsidRPr="00A20F00">
              <w:t>оценки</w:t>
            </w:r>
            <w:r w:rsidR="00654320" w:rsidRPr="00A20F00">
              <w:t xml:space="preserve">, </w:t>
            </w:r>
            <w:r w:rsidR="001A1A8F" w:rsidRPr="00A20F00">
              <w:t>и</w:t>
            </w:r>
            <w:r w:rsidR="00F01F72" w:rsidRPr="00A20F00">
              <w:t> </w:t>
            </w:r>
            <w:r w:rsidR="00654320" w:rsidRPr="00A20F00">
              <w:t>c)</w:t>
            </w:r>
            <w:r w:rsidR="00F01F72" w:rsidRPr="00A20F00">
              <w:t> </w:t>
            </w:r>
            <w:r w:rsidR="001A1A8F" w:rsidRPr="00A20F00">
              <w:t>документ с изложением политики, руководящих указаний, плана работы, а также других мер, касающихся оценки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trHeight w:val="576"/>
        </w:trPr>
        <w:tc>
          <w:tcPr>
            <w:tcW w:w="3402" w:type="dxa"/>
            <w:vMerge w:val="restart"/>
          </w:tcPr>
          <w:p w:rsidR="00654320" w:rsidRPr="00A20F00" w:rsidRDefault="00501C41" w:rsidP="00501C41">
            <w:pPr>
              <w:pStyle w:val="Tabletext"/>
              <w:keepNext/>
            </w:pPr>
            <w:r w:rsidRPr="00A20F00">
              <w:lastRenderedPageBreak/>
              <w:t>4</w:t>
            </w:r>
            <w:r w:rsidRPr="00A20F00">
              <w:tab/>
            </w:r>
            <w:r w:rsidR="00E35A52" w:rsidRPr="00A20F00">
              <w:t>Организации</w:t>
            </w:r>
            <w:r w:rsidR="00654320" w:rsidRPr="00A20F00">
              <w:t xml:space="preserve"> </w:t>
            </w:r>
            <w:r w:rsidR="00E35A52" w:rsidRPr="00A20F00">
              <w:t>имеют</w:t>
            </w:r>
            <w:r w:rsidR="00654320" w:rsidRPr="00A20F00">
              <w:t xml:space="preserve"> </w:t>
            </w:r>
            <w:r w:rsidR="00E35A52" w:rsidRPr="00A20F00">
              <w:t>фактически применяемую</w:t>
            </w:r>
            <w:r w:rsidR="00654320" w:rsidRPr="00A20F00">
              <w:t xml:space="preserve"> </w:t>
            </w:r>
            <w:r w:rsidR="00E35A52" w:rsidRPr="00A20F00">
              <w:t>установившуюся практику раскрытия информации</w:t>
            </w:r>
            <w:r w:rsidR="00EC0544" w:rsidRPr="00A20F00">
              <w:t>,</w:t>
            </w:r>
            <w:r w:rsidR="00654320" w:rsidRPr="00A20F00">
              <w:t xml:space="preserve"> </w:t>
            </w:r>
            <w:r w:rsidR="00EC0544" w:rsidRPr="00A20F00">
              <w:t>в соответствии с которой</w:t>
            </w:r>
            <w:r w:rsidR="00654320" w:rsidRPr="00A20F00">
              <w:t xml:space="preserve"> </w:t>
            </w:r>
            <w:r w:rsidR="00EC0544" w:rsidRPr="00A20F00">
              <w:t>результаты деятельности организации</w:t>
            </w:r>
            <w:r w:rsidR="00654320" w:rsidRPr="00A20F00">
              <w:t xml:space="preserve"> </w:t>
            </w:r>
            <w:r w:rsidR="00EC0544" w:rsidRPr="00A20F00">
              <w:t>регулярно сообщаются</w:t>
            </w:r>
            <w:r w:rsidR="00654320" w:rsidRPr="00A20F00">
              <w:t xml:space="preserve"> </w:t>
            </w:r>
            <w:r w:rsidR="00EC0544" w:rsidRPr="00A20F00">
              <w:t>законодательным органам</w:t>
            </w:r>
            <w:r w:rsidR="00654320" w:rsidRPr="00A20F00">
              <w:t xml:space="preserve">, </w:t>
            </w:r>
            <w:r w:rsidR="00EC0544" w:rsidRPr="00A20F00">
              <w:t>Государствам-Членам</w:t>
            </w:r>
            <w:r w:rsidR="00654320" w:rsidRPr="00A20F00">
              <w:t xml:space="preserve"> </w:t>
            </w:r>
            <w:r w:rsidR="00EC0544" w:rsidRPr="00A20F00">
              <w:t>и другим заинтересованным сторонам</w:t>
            </w:r>
            <w:r w:rsidR="00654320" w:rsidRPr="00A20F00">
              <w:t xml:space="preserve">, </w:t>
            </w:r>
            <w:r w:rsidR="00EC0544" w:rsidRPr="00A20F00">
              <w:t>включая доноров</w:t>
            </w:r>
            <w:r w:rsidR="00654320" w:rsidRPr="00A20F00">
              <w:t xml:space="preserve">, </w:t>
            </w:r>
            <w:r w:rsidR="00EC0544" w:rsidRPr="00A20F00">
              <w:t>бенефициаров</w:t>
            </w:r>
            <w:r w:rsidR="00654320" w:rsidRPr="00A20F00">
              <w:t xml:space="preserve"> </w:t>
            </w:r>
            <w:r w:rsidR="00EC0544" w:rsidRPr="00A20F00">
              <w:t>и</w:t>
            </w:r>
            <w:r w:rsidR="00654320" w:rsidRPr="00A20F00">
              <w:t xml:space="preserve"> </w:t>
            </w:r>
            <w:r w:rsidR="00EC0544" w:rsidRPr="00A20F00">
              <w:t>широкую общественность</w:t>
            </w:r>
          </w:p>
        </w:tc>
        <w:tc>
          <w:tcPr>
            <w:tcW w:w="3686" w:type="dxa"/>
          </w:tcPr>
          <w:p w:rsidR="00654320" w:rsidRPr="00A20F00" w:rsidRDefault="00EC0544" w:rsidP="00501C41">
            <w:pPr>
              <w:pStyle w:val="Tabletext"/>
              <w:keepNext/>
            </w:pPr>
            <w:r w:rsidRPr="00A20F00">
              <w:t>Политика раскрытия информации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keepNext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 w:val="restart"/>
          </w:tcPr>
          <w:p w:rsidR="00654320" w:rsidRPr="00A20F00" w:rsidRDefault="005762FF" w:rsidP="003D3116">
            <w:pPr>
              <w:pStyle w:val="Tabletext"/>
              <w:keepNext/>
            </w:pPr>
            <w:r w:rsidRPr="00A20F00">
              <w:t>В качестве шага по обеспечению большей прозрачности и</w:t>
            </w:r>
            <w:r w:rsidR="00654320" w:rsidRPr="00A20F00">
              <w:t xml:space="preserve"> </w:t>
            </w:r>
            <w:r w:rsidR="00A6244D" w:rsidRPr="00A20F00">
              <w:t>подотчетност</w:t>
            </w:r>
            <w:r w:rsidRPr="00A20F00">
              <w:t>и</w:t>
            </w:r>
            <w:r w:rsidR="00654320" w:rsidRPr="00A20F00">
              <w:t xml:space="preserve">, </w:t>
            </w:r>
            <w:r w:rsidRPr="00A20F00">
              <w:t>Совет МСЭ принял на своей сессии</w:t>
            </w:r>
            <w:r w:rsidR="00654320" w:rsidRPr="00A20F00">
              <w:t xml:space="preserve"> 2016 </w:t>
            </w:r>
            <w:r w:rsidRPr="00A20F00">
              <w:t>года</w:t>
            </w:r>
            <w:r w:rsidR="00654320" w:rsidRPr="00A20F00">
              <w:t xml:space="preserve"> </w:t>
            </w:r>
            <w:r w:rsidRPr="00A20F00">
              <w:t>политику обеспечения доступа к информации/документам МСЭ,</w:t>
            </w:r>
            <w:r w:rsidR="00654320" w:rsidRPr="00A20F00">
              <w:rPr>
                <w:rFonts w:eastAsia="Times New Roman"/>
              </w:rPr>
              <w:t xml:space="preserve"> </w:t>
            </w:r>
            <w:r w:rsidRPr="00A20F00">
              <w:rPr>
                <w:rFonts w:eastAsia="Times New Roman"/>
              </w:rPr>
              <w:t>которая</w:t>
            </w:r>
            <w:r w:rsidR="00654320" w:rsidRPr="00A20F00">
              <w:rPr>
                <w:rFonts w:eastAsia="Times New Roman"/>
              </w:rPr>
              <w:t xml:space="preserve"> </w:t>
            </w:r>
            <w:r w:rsidR="00F01F72" w:rsidRPr="00A20F00">
              <w:rPr>
                <w:rFonts w:eastAsia="Times New Roman"/>
              </w:rPr>
              <w:t>"</w:t>
            </w:r>
            <w:r w:rsidR="00654320" w:rsidRPr="00A20F00">
              <w:rPr>
                <w:rFonts w:eastAsia="Times New Roman"/>
              </w:rPr>
              <w:t xml:space="preserve">… </w:t>
            </w:r>
            <w:r w:rsidRPr="00A20F00">
              <w:t>обеспечивает доступ общественности к информации, которой располагает МСЭ, которой он управляет или которую он создает</w:t>
            </w:r>
            <w:r w:rsidR="00F01F72" w:rsidRPr="00A20F00">
              <w:t>"</w:t>
            </w:r>
            <w:r w:rsidR="00654320" w:rsidRPr="00A20F00">
              <w:rPr>
                <w:rFonts w:eastAsia="Times New Roman"/>
              </w:rPr>
              <w:t xml:space="preserve">; </w:t>
            </w:r>
            <w:r w:rsidRPr="00A20F00">
              <w:rPr>
                <w:rFonts w:eastAsia="Times New Roman"/>
              </w:rPr>
              <w:t>эта политика</w:t>
            </w:r>
            <w:r w:rsidR="00654320" w:rsidRPr="00A20F00">
              <w:rPr>
                <w:rFonts w:eastAsia="Times New Roman"/>
              </w:rPr>
              <w:t xml:space="preserve"> </w:t>
            </w:r>
            <w:r w:rsidRPr="00A20F00">
              <w:t>вступ</w:t>
            </w:r>
            <w:r w:rsidR="003D3116" w:rsidRPr="00A20F00">
              <w:t>ит в силу на временной основе 1 </w:t>
            </w:r>
            <w:r w:rsidRPr="00A20F00">
              <w:t>января 2017 г</w:t>
            </w:r>
            <w:r w:rsidR="00A20F00" w:rsidRPr="00A20F00">
              <w:t>ода</w:t>
            </w:r>
            <w:r w:rsidR="00654320" w:rsidRPr="00A20F00">
              <w:rPr>
                <w:rFonts w:eastAsia="Times New Roman"/>
              </w:rPr>
              <w:t>.</w:t>
            </w:r>
          </w:p>
        </w:tc>
      </w:tr>
      <w:tr w:rsidR="00654320" w:rsidRPr="00A20F00" w:rsidTr="00501C41"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  <w:keepNext/>
            </w:pPr>
          </w:p>
        </w:tc>
        <w:tc>
          <w:tcPr>
            <w:tcW w:w="3686" w:type="dxa"/>
          </w:tcPr>
          <w:p w:rsidR="00654320" w:rsidRPr="00A20F00" w:rsidRDefault="00EC0544" w:rsidP="00501C41">
            <w:pPr>
              <w:pStyle w:val="Tabletext"/>
              <w:keepNext/>
            </w:pPr>
            <w:r w:rsidRPr="00A20F00">
              <w:t>Оценка и результаты аудиторской проверки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keepNext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/>
          </w:tcPr>
          <w:p w:rsidR="00654320" w:rsidRPr="00A20F00" w:rsidRDefault="00654320" w:rsidP="00501C41">
            <w:pPr>
              <w:pStyle w:val="Tabletext"/>
              <w:keepNext/>
            </w:pPr>
          </w:p>
        </w:tc>
      </w:tr>
      <w:tr w:rsidR="00654320" w:rsidRPr="00A20F00" w:rsidTr="00501C41"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  <w:keepNext/>
            </w:pPr>
          </w:p>
        </w:tc>
        <w:tc>
          <w:tcPr>
            <w:tcW w:w="3686" w:type="dxa"/>
          </w:tcPr>
          <w:p w:rsidR="00654320" w:rsidRPr="00A20F00" w:rsidRDefault="00EC0544" w:rsidP="00501C41">
            <w:pPr>
              <w:pStyle w:val="Tabletext"/>
              <w:keepNext/>
            </w:pPr>
            <w:r w:rsidRPr="00A20F00">
              <w:t>Сводные ежегодные отчеты</w:t>
            </w:r>
            <w:r w:rsidR="00654320" w:rsidRPr="00A20F00">
              <w:t xml:space="preserve"> </w:t>
            </w:r>
            <w:r w:rsidRPr="00A20F00">
              <w:t>о финансовой деятельности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keepNext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 w:val="restart"/>
          </w:tcPr>
          <w:p w:rsidR="00654320" w:rsidRPr="00A20F00" w:rsidRDefault="00EC0544" w:rsidP="00501C41">
            <w:pPr>
              <w:pStyle w:val="Tabletext"/>
              <w:keepNext/>
            </w:pPr>
            <w:r w:rsidRPr="00A20F00">
              <w:t>Сводные ежегодные отчеты представляются Совету</w:t>
            </w:r>
          </w:p>
        </w:tc>
      </w:tr>
      <w:tr w:rsidR="00654320" w:rsidRPr="00A20F00" w:rsidTr="00501C41"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EC0544" w:rsidP="00501C41">
            <w:pPr>
              <w:pStyle w:val="Tabletext"/>
            </w:pPr>
            <w:r w:rsidRPr="00A20F00">
              <w:t>Результаты по программам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vMerge/>
          </w:tcPr>
          <w:p w:rsidR="00654320" w:rsidRPr="00A20F00" w:rsidRDefault="00654320" w:rsidP="00224907">
            <w:pPr>
              <w:rPr>
                <w:sz w:val="18"/>
                <w:szCs w:val="18"/>
              </w:rPr>
            </w:pPr>
          </w:p>
        </w:tc>
      </w:tr>
    </w:tbl>
    <w:p w:rsidR="00654320" w:rsidRPr="00A20F00" w:rsidRDefault="000D1CC8" w:rsidP="00501C41">
      <w:pPr>
        <w:pStyle w:val="Headingb"/>
        <w:spacing w:after="120"/>
      </w:pPr>
      <w:r w:rsidRPr="00A20F00">
        <w:t>Принцип</w:t>
      </w:r>
      <w:r w:rsidR="00654320" w:rsidRPr="00A20F00">
        <w:t xml:space="preserve"> 2</w:t>
      </w:r>
    </w:p>
    <w:tbl>
      <w:tblPr>
        <w:tblStyle w:val="TableGrid"/>
        <w:tblW w:w="14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1559"/>
        <w:gridCol w:w="5955"/>
      </w:tblGrid>
      <w:tr w:rsidR="004F2D32" w:rsidRPr="00A20F00" w:rsidTr="00501C41">
        <w:trPr>
          <w:cantSplit/>
          <w:tblHeader/>
        </w:trPr>
        <w:tc>
          <w:tcPr>
            <w:tcW w:w="3402" w:type="dxa"/>
            <w:shd w:val="clear" w:color="auto" w:fill="B8CCE4" w:themeFill="accent1" w:themeFillTint="66"/>
          </w:tcPr>
          <w:p w:rsidR="004F2D32" w:rsidRPr="00A20F00" w:rsidRDefault="004F2D32" w:rsidP="00501C41">
            <w:pPr>
              <w:pStyle w:val="Tablehead"/>
            </w:pPr>
            <w:r w:rsidRPr="00A20F00">
              <w:t>Показатель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4F2D32" w:rsidRPr="00A20F00" w:rsidRDefault="004F2D32" w:rsidP="00501C41">
            <w:pPr>
              <w:pStyle w:val="Tablehead"/>
            </w:pPr>
            <w:r w:rsidRPr="00A20F00">
              <w:t>Инструменты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F2D32" w:rsidRPr="00A20F00" w:rsidRDefault="004F2D32" w:rsidP="00501C41">
            <w:pPr>
              <w:pStyle w:val="Tablehead"/>
            </w:pPr>
            <w:r w:rsidRPr="00A20F00">
              <w:t>Состояние</w:t>
            </w:r>
          </w:p>
        </w:tc>
        <w:tc>
          <w:tcPr>
            <w:tcW w:w="5955" w:type="dxa"/>
            <w:shd w:val="clear" w:color="auto" w:fill="B8CCE4" w:themeFill="accent1" w:themeFillTint="66"/>
          </w:tcPr>
          <w:p w:rsidR="004F2D32" w:rsidRPr="00A20F00" w:rsidRDefault="004F2D32" w:rsidP="00501C41">
            <w:pPr>
              <w:pStyle w:val="Tablehead"/>
            </w:pPr>
            <w:r w:rsidRPr="00A20F00">
              <w:t>Комментарий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</w:tcPr>
          <w:p w:rsidR="00654320" w:rsidRPr="00A20F00" w:rsidRDefault="00501C41" w:rsidP="00501C41">
            <w:pPr>
              <w:pStyle w:val="Tabletext"/>
            </w:pPr>
            <w:r w:rsidRPr="00A20F00">
              <w:t>5</w:t>
            </w:r>
            <w:r w:rsidRPr="00A20F00">
              <w:tab/>
            </w:r>
            <w:r w:rsidR="007740F8" w:rsidRPr="00A20F00">
              <w:t>Этика поведения</w:t>
            </w:r>
            <w:r w:rsidR="00654320" w:rsidRPr="00A20F00">
              <w:t xml:space="preserve">, </w:t>
            </w:r>
            <w:r w:rsidR="007740F8" w:rsidRPr="00A20F00">
              <w:t>стандарты добросовестности</w:t>
            </w:r>
            <w:r w:rsidR="00654320" w:rsidRPr="00A20F00">
              <w:t xml:space="preserve">, </w:t>
            </w:r>
            <w:r w:rsidR="007740F8" w:rsidRPr="00A20F00">
              <w:t xml:space="preserve">политика противодействия коррупции </w:t>
            </w:r>
            <w:r w:rsidR="007740F8" w:rsidRPr="00A20F00">
              <w:rPr>
                <w:color w:val="000000"/>
              </w:rPr>
              <w:t>и мошенничеству</w:t>
            </w:r>
            <w:r w:rsidR="007740F8" w:rsidRPr="00A20F00">
              <w:t xml:space="preserve"> разработаны и</w:t>
            </w:r>
            <w:r w:rsidR="00654320" w:rsidRPr="00A20F00">
              <w:t xml:space="preserve"> </w:t>
            </w:r>
            <w:r w:rsidR="007740F8" w:rsidRPr="00A20F00">
              <w:t>проводятся в жизнь</w:t>
            </w:r>
          </w:p>
        </w:tc>
        <w:tc>
          <w:tcPr>
            <w:tcW w:w="3686" w:type="dxa"/>
          </w:tcPr>
          <w:p w:rsidR="00654320" w:rsidRPr="00A20F00" w:rsidRDefault="007740F8" w:rsidP="00501C41">
            <w:pPr>
              <w:pStyle w:val="Tabletext"/>
            </w:pPr>
            <w:r w:rsidRPr="00A20F00">
              <w:t>Положения о персонале</w:t>
            </w:r>
            <w:r w:rsidR="00654320" w:rsidRPr="00A20F00">
              <w:t>/</w:t>
            </w:r>
            <w:r w:rsidRPr="00A20F00">
              <w:t>кодекс поведения</w:t>
            </w:r>
            <w:r w:rsidR="005F2185" w:rsidRPr="00A20F00">
              <w:t xml:space="preserve"> сотрудников</w:t>
            </w:r>
            <w:r w:rsidR="00654320" w:rsidRPr="00A20F00">
              <w:t xml:space="preserve">, </w:t>
            </w:r>
            <w:r w:rsidR="005F2185" w:rsidRPr="00A20F00">
              <w:t>включая</w:t>
            </w:r>
            <w:r w:rsidR="00654320" w:rsidRPr="00A20F00">
              <w:t xml:space="preserve"> </w:t>
            </w:r>
            <w:r w:rsidR="005F2185" w:rsidRPr="00A20F00">
              <w:t>притеснение</w:t>
            </w:r>
            <w:r w:rsidR="00654320" w:rsidRPr="00A20F00">
              <w:t xml:space="preserve"> 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 w:val="restart"/>
          </w:tcPr>
          <w:p w:rsidR="00654320" w:rsidRPr="00A20F00" w:rsidRDefault="00C1764D" w:rsidP="00F01F72">
            <w:pPr>
              <w:pStyle w:val="Tabletext"/>
            </w:pPr>
            <w:r w:rsidRPr="00A20F00">
              <w:t>Новый</w:t>
            </w:r>
            <w:r w:rsidR="00654320" w:rsidRPr="00A20F00">
              <w:t xml:space="preserve"> </w:t>
            </w:r>
            <w:r w:rsidRPr="00A20F00">
              <w:t>сотрудник по вопросам этики назначен</w:t>
            </w:r>
            <w:r w:rsidR="00654320" w:rsidRPr="00A20F00">
              <w:t xml:space="preserve"> 1 </w:t>
            </w:r>
            <w:r w:rsidRPr="00A20F00">
              <w:t>ноября</w:t>
            </w:r>
            <w:r w:rsidR="00654320" w:rsidRPr="00A20F00">
              <w:t xml:space="preserve"> 2016</w:t>
            </w:r>
            <w:r w:rsidRPr="00A20F00">
              <w:t xml:space="preserve"> г</w:t>
            </w:r>
            <w:r w:rsidR="00A20F00" w:rsidRPr="00A20F00">
              <w:t>ода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5F2185" w:rsidP="00501C41">
            <w:pPr>
              <w:pStyle w:val="Tabletext"/>
            </w:pPr>
            <w:r w:rsidRPr="00A20F00">
              <w:t>Функция в сфере этики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5F2185" w:rsidP="00501C41">
            <w:pPr>
              <w:pStyle w:val="Tabletext"/>
            </w:pPr>
            <w:r w:rsidRPr="00A20F00">
              <w:t>Подарки</w:t>
            </w:r>
            <w:r w:rsidR="00654320" w:rsidRPr="00A20F00">
              <w:t xml:space="preserve">, </w:t>
            </w:r>
            <w:r w:rsidRPr="00A20F00">
              <w:t>сувениры и</w:t>
            </w:r>
            <w:r w:rsidR="00654320" w:rsidRPr="00A20F00">
              <w:t xml:space="preserve"> </w:t>
            </w:r>
            <w:r w:rsidRPr="00A20F00">
              <w:t>политика гостеприимства</w:t>
            </w:r>
          </w:p>
        </w:tc>
        <w:tc>
          <w:tcPr>
            <w:tcW w:w="1559" w:type="dxa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</w:tcPr>
          <w:p w:rsidR="00654320" w:rsidRPr="00A20F00" w:rsidRDefault="00C1764D" w:rsidP="00501C41">
            <w:pPr>
              <w:pStyle w:val="Tabletext"/>
            </w:pPr>
            <w:r w:rsidRPr="00A20F00">
              <w:t>Разрабатывается усовершенствованная политика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5F2185" w:rsidP="00501C41">
            <w:pPr>
              <w:pStyle w:val="Tabletext"/>
            </w:pPr>
            <w:r w:rsidRPr="00A20F00">
              <w:t>Защита от мер возмездия</w:t>
            </w:r>
            <w:r w:rsidR="00654320" w:rsidRPr="00A20F00">
              <w:t xml:space="preserve"> </w:t>
            </w:r>
            <w:r w:rsidR="00C1764D" w:rsidRPr="00A20F00">
              <w:t>по</w:t>
            </w:r>
            <w:r w:rsidRPr="00A20F00">
              <w:t xml:space="preserve"> отношени</w:t>
            </w:r>
            <w:r w:rsidR="00C1764D" w:rsidRPr="00A20F00">
              <w:t>ю к</w:t>
            </w:r>
            <w:r w:rsidRPr="00A20F00">
              <w:t xml:space="preserve"> те</w:t>
            </w:r>
            <w:r w:rsidR="00C1764D" w:rsidRPr="00A20F00">
              <w:t>м</w:t>
            </w:r>
            <w:r w:rsidRPr="00A20F00">
              <w:t>, кто</w:t>
            </w:r>
            <w:r w:rsidR="00654320" w:rsidRPr="00A20F00">
              <w:t xml:space="preserve"> </w:t>
            </w:r>
            <w:r w:rsidRPr="00A20F00">
              <w:t>сообщает о совершении неправомерных действий</w:t>
            </w:r>
            <w:r w:rsidR="00654320" w:rsidRPr="00A20F00">
              <w:t xml:space="preserve"> (</w:t>
            </w:r>
            <w:r w:rsidRPr="00A20F00">
              <w:t>политика в отношении сотрудник</w:t>
            </w:r>
            <w:r w:rsidR="00C1764D" w:rsidRPr="00A20F00">
              <w:t>ов</w:t>
            </w:r>
            <w:r w:rsidRPr="00A20F00">
              <w:t>, сообщающи</w:t>
            </w:r>
            <w:r w:rsidR="00C1764D" w:rsidRPr="00A20F00">
              <w:t>х</w:t>
            </w:r>
            <w:r w:rsidRPr="00A20F00">
              <w:t xml:space="preserve"> о нарушениях</w:t>
            </w:r>
            <w:r w:rsidR="00654320" w:rsidRPr="00A20F00">
              <w:t>)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 w:val="restart"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C1764D" w:rsidP="00501C41">
            <w:pPr>
              <w:pStyle w:val="Tabletext"/>
            </w:pPr>
            <w:r w:rsidRPr="00A20F00">
              <w:t>Политика в отношении внеслужебной деятельности</w:t>
            </w:r>
            <w:r w:rsidR="00654320" w:rsidRPr="00A20F00">
              <w:t xml:space="preserve"> (</w:t>
            </w:r>
            <w:r w:rsidRPr="00A20F00">
              <w:t>способной привести к конфликту интересов</w:t>
            </w:r>
            <w:r w:rsidR="00654320" w:rsidRPr="00A20F00">
              <w:t>)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C1764D" w:rsidP="00501C41">
            <w:pPr>
              <w:pStyle w:val="Tabletext"/>
            </w:pPr>
            <w:r w:rsidRPr="00A20F00">
              <w:t xml:space="preserve">Политика противодействия </w:t>
            </w:r>
            <w:r w:rsidRPr="00A20F00">
              <w:rPr>
                <w:color w:val="000000"/>
              </w:rPr>
              <w:t xml:space="preserve">мошенничеству и </w:t>
            </w:r>
            <w:r w:rsidRPr="00A20F00">
              <w:t>коррупции</w:t>
            </w:r>
          </w:p>
        </w:tc>
        <w:tc>
          <w:tcPr>
            <w:tcW w:w="1559" w:type="dxa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vMerge/>
          </w:tcPr>
          <w:p w:rsidR="00654320" w:rsidRPr="00A20F00" w:rsidRDefault="00654320" w:rsidP="00501C41">
            <w:pPr>
              <w:pStyle w:val="Tabletext"/>
              <w:rPr>
                <w:highlight w:val="yellow"/>
              </w:rPr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C1764D" w:rsidP="00501C41">
            <w:pPr>
              <w:pStyle w:val="Tabletext"/>
            </w:pPr>
            <w:r w:rsidRPr="00A20F00">
              <w:t>Обучение</w:t>
            </w:r>
          </w:p>
        </w:tc>
        <w:tc>
          <w:tcPr>
            <w:tcW w:w="1559" w:type="dxa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</w:tcPr>
          <w:p w:rsidR="00654320" w:rsidRPr="00A20F00" w:rsidRDefault="00501C41" w:rsidP="00501C41">
            <w:pPr>
              <w:pStyle w:val="Tabletext"/>
              <w:keepNext/>
            </w:pPr>
            <w:r w:rsidRPr="00A20F00">
              <w:lastRenderedPageBreak/>
              <w:t>6</w:t>
            </w:r>
            <w:r w:rsidRPr="00A20F00">
              <w:tab/>
            </w:r>
            <w:r w:rsidR="00D73E60" w:rsidRPr="00A20F00">
              <w:t>Несоблюдение</w:t>
            </w:r>
            <w:r w:rsidR="00654320" w:rsidRPr="00A20F00">
              <w:t xml:space="preserve"> </w:t>
            </w:r>
            <w:r w:rsidR="0051577C" w:rsidRPr="00A20F00">
              <w:t>установленной</w:t>
            </w:r>
            <w:r w:rsidR="00654320" w:rsidRPr="00A20F00">
              <w:t xml:space="preserve"> </w:t>
            </w:r>
            <w:r w:rsidR="0051577C" w:rsidRPr="00A20F00">
              <w:t>политики</w:t>
            </w:r>
            <w:r w:rsidR="00654320" w:rsidRPr="00A20F00">
              <w:t>/</w:t>
            </w:r>
            <w:r w:rsidR="0051577C" w:rsidRPr="00A20F00">
              <w:t>правил</w:t>
            </w:r>
            <w:r w:rsidR="00654320" w:rsidRPr="00A20F00">
              <w:t xml:space="preserve"> </w:t>
            </w:r>
            <w:r w:rsidR="00BA08B7" w:rsidRPr="00A20F00">
              <w:t>влечет</w:t>
            </w:r>
            <w:r w:rsidR="0051577C" w:rsidRPr="00A20F00">
              <w:t xml:space="preserve"> </w:t>
            </w:r>
            <w:r w:rsidR="00BA08B7" w:rsidRPr="00A20F00">
              <w:t>за собой</w:t>
            </w:r>
            <w:r w:rsidR="0051577C" w:rsidRPr="00A20F00">
              <w:t xml:space="preserve"> очевидны</w:t>
            </w:r>
            <w:r w:rsidR="00BA08B7" w:rsidRPr="00A20F00">
              <w:t>е</w:t>
            </w:r>
            <w:r w:rsidR="0051577C" w:rsidRPr="00A20F00">
              <w:t xml:space="preserve"> последствия</w:t>
            </w:r>
            <w:r w:rsidR="00654320" w:rsidRPr="00A20F00">
              <w:t xml:space="preserve">. </w:t>
            </w:r>
            <w:r w:rsidR="0051577C" w:rsidRPr="00A20F00">
              <w:t>Санкции</w:t>
            </w:r>
            <w:r w:rsidR="00654320" w:rsidRPr="00A20F00">
              <w:t xml:space="preserve"> </w:t>
            </w:r>
            <w:r w:rsidR="0051577C" w:rsidRPr="00A20F00">
              <w:t>должны быть</w:t>
            </w:r>
            <w:r w:rsidR="00654320" w:rsidRPr="00A20F00">
              <w:t xml:space="preserve"> </w:t>
            </w:r>
            <w:r w:rsidR="0051577C" w:rsidRPr="00A20F00">
              <w:t>понятными, соразмерными</w:t>
            </w:r>
            <w:r w:rsidR="00654320" w:rsidRPr="00A20F00">
              <w:t xml:space="preserve"> </w:t>
            </w:r>
            <w:r w:rsidR="0051577C" w:rsidRPr="00A20F00">
              <w:t>и</w:t>
            </w:r>
            <w:r w:rsidR="00654320" w:rsidRPr="00A20F00">
              <w:t xml:space="preserve"> </w:t>
            </w:r>
            <w:r w:rsidR="0051577C" w:rsidRPr="00A20F00">
              <w:t>примен</w:t>
            </w:r>
            <w:r w:rsidR="005762FF" w:rsidRPr="00A20F00">
              <w:t>яемы</w:t>
            </w:r>
            <w:r w:rsidR="0051577C" w:rsidRPr="00A20F00">
              <w:t>ми на всех уровнях</w:t>
            </w:r>
            <w:r w:rsidR="00654320" w:rsidRPr="00A20F00">
              <w:t xml:space="preserve">. </w:t>
            </w:r>
            <w:r w:rsidR="0051577C" w:rsidRPr="00A20F00">
              <w:t>Кроме того</w:t>
            </w:r>
            <w:r w:rsidR="00654320" w:rsidRPr="00A20F00">
              <w:t xml:space="preserve">, </w:t>
            </w:r>
            <w:r w:rsidR="006222C2" w:rsidRPr="00A20F00">
              <w:t>высокие результаты работы</w:t>
            </w:r>
            <w:r w:rsidR="00654320" w:rsidRPr="00A20F00">
              <w:t xml:space="preserve"> </w:t>
            </w:r>
            <w:r w:rsidR="006222C2" w:rsidRPr="00A20F00">
              <w:t>должны быть</w:t>
            </w:r>
            <w:r w:rsidR="00654320" w:rsidRPr="00A20F00">
              <w:t xml:space="preserve"> </w:t>
            </w:r>
            <w:r w:rsidR="006222C2" w:rsidRPr="00A20F00">
              <w:t>отмечены поощрением</w:t>
            </w:r>
            <w:r w:rsidR="00654320" w:rsidRPr="00A20F00">
              <w:t>/</w:t>
            </w:r>
            <w:r w:rsidR="006222C2" w:rsidRPr="00A20F00">
              <w:t>наградами</w:t>
            </w:r>
            <w:r w:rsidR="00654320" w:rsidRPr="00A20F00">
              <w:t>/</w:t>
            </w:r>
            <w:r w:rsidR="006222C2" w:rsidRPr="00A20F00">
              <w:t>премиями</w:t>
            </w:r>
            <w:r w:rsidR="00654320" w:rsidRPr="00A20F00">
              <w:t xml:space="preserve"> </w:t>
            </w:r>
          </w:p>
        </w:tc>
        <w:tc>
          <w:tcPr>
            <w:tcW w:w="3686" w:type="dxa"/>
          </w:tcPr>
          <w:p w:rsidR="00654320" w:rsidRPr="00A20F00" w:rsidRDefault="00061A57" w:rsidP="00501C41">
            <w:pPr>
              <w:pStyle w:val="Tabletext"/>
              <w:keepNext/>
            </w:pPr>
            <w:r w:rsidRPr="00A20F00">
              <w:t>Документы о политике</w:t>
            </w:r>
            <w:r w:rsidR="00654320" w:rsidRPr="00A20F00">
              <w:t xml:space="preserve"> </w:t>
            </w:r>
            <w:r w:rsidRPr="00A20F00">
              <w:t>в отношении санкций</w:t>
            </w:r>
            <w:r w:rsidR="00654320" w:rsidRPr="00A20F00">
              <w:t xml:space="preserve"> </w:t>
            </w:r>
            <w:r w:rsidRPr="00A20F00">
              <w:t xml:space="preserve">и </w:t>
            </w:r>
            <w:r w:rsidRPr="00A20F00">
              <w:rPr>
                <w:color w:val="000000"/>
              </w:rPr>
              <w:t>мер дисциплинарного характера</w:t>
            </w:r>
          </w:p>
        </w:tc>
        <w:tc>
          <w:tcPr>
            <w:tcW w:w="1559" w:type="dxa"/>
            <w:vAlign w:val="center"/>
          </w:tcPr>
          <w:p w:rsidR="00654320" w:rsidRPr="00A20F00" w:rsidRDefault="004F2D32" w:rsidP="00501C41">
            <w:pPr>
              <w:pStyle w:val="Tabletext"/>
              <w:keepNext/>
              <w:jc w:val="center"/>
            </w:pPr>
            <w:r w:rsidRPr="00A20F00">
              <w:t>Не применимо</w:t>
            </w:r>
          </w:p>
        </w:tc>
        <w:tc>
          <w:tcPr>
            <w:tcW w:w="5955" w:type="dxa"/>
          </w:tcPr>
          <w:p w:rsidR="00654320" w:rsidRPr="00A20F00" w:rsidRDefault="00061A57" w:rsidP="00501C41">
            <w:pPr>
              <w:pStyle w:val="Tabletext"/>
              <w:keepNext/>
            </w:pPr>
            <w:r w:rsidRPr="00A20F00">
              <w:t>Применяется Глава</w:t>
            </w:r>
            <w:r w:rsidR="00654320" w:rsidRPr="00A20F00">
              <w:t xml:space="preserve"> X </w:t>
            </w:r>
            <w:r w:rsidRPr="00A20F00">
              <w:rPr>
                <w:color w:val="000000"/>
              </w:rPr>
              <w:t>Положений о персонале и Правил о персонале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524F3A" w:rsidP="00501C41">
            <w:pPr>
              <w:pStyle w:val="Tabletext"/>
            </w:pPr>
            <w:r w:rsidRPr="00A20F00">
              <w:t>Публикация в</w:t>
            </w:r>
            <w:r w:rsidR="00654320" w:rsidRPr="00A20F00">
              <w:t xml:space="preserve"> </w:t>
            </w:r>
            <w:r w:rsidRPr="00A20F00">
              <w:t>ежегодных отчетах санкци</w:t>
            </w:r>
            <w:r w:rsidR="00BA08B7" w:rsidRPr="00A20F00">
              <w:t>й</w:t>
            </w:r>
            <w:r w:rsidRPr="00A20F00">
              <w:t>, наложенных</w:t>
            </w:r>
            <w:r w:rsidR="00654320" w:rsidRPr="00A20F00">
              <w:t xml:space="preserve"> </w:t>
            </w:r>
            <w:r w:rsidRPr="00A20F00">
              <w:t>административным руководителем</w:t>
            </w:r>
          </w:p>
        </w:tc>
        <w:tc>
          <w:tcPr>
            <w:tcW w:w="1559" w:type="dxa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Не применимо</w:t>
            </w:r>
          </w:p>
        </w:tc>
        <w:tc>
          <w:tcPr>
            <w:tcW w:w="5955" w:type="dxa"/>
          </w:tcPr>
          <w:p w:rsidR="00654320" w:rsidRPr="00A20F00" w:rsidRDefault="005762FF" w:rsidP="00F01F72">
            <w:pPr>
              <w:pStyle w:val="Tabletext"/>
            </w:pPr>
            <w:r w:rsidRPr="00A20F00">
              <w:t>Эти положения н</w:t>
            </w:r>
            <w:r w:rsidR="00524F3A" w:rsidRPr="00A20F00">
              <w:t>е вытекают их</w:t>
            </w:r>
            <w:r w:rsidR="00654320" w:rsidRPr="00A20F00">
              <w:t xml:space="preserve"> </w:t>
            </w:r>
            <w:r w:rsidR="00524F3A" w:rsidRPr="00A20F00">
              <w:rPr>
                <w:rFonts w:ascii="TimesNewRomanPSMT" w:hAnsi="TimesNewRomanPSMT" w:cs="TimesNewRomanPSMT"/>
                <w:lang w:eastAsia="zh-CN"/>
              </w:rPr>
              <w:t>основополагающих документов М</w:t>
            </w:r>
            <w:r w:rsidR="00F01F72" w:rsidRPr="00A20F00">
              <w:rPr>
                <w:rFonts w:asciiTheme="minorHAnsi" w:hAnsiTheme="minorHAnsi" w:cs="TimesNewRomanPSMT"/>
                <w:lang w:eastAsia="zh-CN"/>
              </w:rPr>
              <w:t>СЭ.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524F3A" w:rsidP="00501C41">
            <w:pPr>
              <w:pStyle w:val="Tabletext"/>
            </w:pPr>
            <w:r w:rsidRPr="00A20F00">
              <w:t>Программы наград</w:t>
            </w:r>
            <w:r w:rsidR="00654320" w:rsidRPr="00A20F00">
              <w:t>/</w:t>
            </w:r>
            <w:r w:rsidRPr="00A20F00">
              <w:t>премий,</w:t>
            </w:r>
            <w:r w:rsidR="00654320" w:rsidRPr="00A20F00">
              <w:t xml:space="preserve"> </w:t>
            </w:r>
            <w:r w:rsidR="005C0676" w:rsidRPr="00A20F00">
              <w:t>присуждаемых</w:t>
            </w:r>
            <w:r w:rsidR="00654320" w:rsidRPr="00A20F00">
              <w:t xml:space="preserve"> </w:t>
            </w:r>
            <w:r w:rsidR="005C0676" w:rsidRPr="00A20F00">
              <w:t>комитетами</w:t>
            </w:r>
            <w:r w:rsidR="00654320" w:rsidRPr="00A20F00">
              <w:t>/</w:t>
            </w:r>
            <w:r w:rsidR="005C0676" w:rsidRPr="00A20F00">
              <w:t>специальными комиссиями</w:t>
            </w:r>
            <w:r w:rsidR="00654320" w:rsidRPr="00A20F00">
              <w:t xml:space="preserve"> </w:t>
            </w:r>
            <w:r w:rsidR="005C0676" w:rsidRPr="00A20F00">
              <w:t>на основе четких критериев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 w:val="restart"/>
          </w:tcPr>
          <w:p w:rsidR="00654320" w:rsidRPr="00A20F00" w:rsidRDefault="005C0676" w:rsidP="00501C41">
            <w:pPr>
              <w:pStyle w:val="Tabletext"/>
            </w:pPr>
            <w:r w:rsidRPr="00A20F00">
              <w:t>Ежегодные награды сотрудникам,</w:t>
            </w:r>
            <w:r w:rsidR="00654320" w:rsidRPr="00A20F00">
              <w:t xml:space="preserve"> </w:t>
            </w:r>
            <w:r w:rsidRPr="00A20F00">
              <w:t>показавшим высокие результаты работы, присуждаются и публикуются.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5C0676" w:rsidP="00501C41">
            <w:pPr>
              <w:pStyle w:val="Tabletext"/>
            </w:pPr>
            <w:r w:rsidRPr="00A20F00">
              <w:t>Публикация фамилий</w:t>
            </w:r>
            <w:r w:rsidR="00654320" w:rsidRPr="00A20F00">
              <w:t xml:space="preserve"> </w:t>
            </w:r>
            <w:r w:rsidRPr="00A20F00">
              <w:t>сотрудников,</w:t>
            </w:r>
            <w:r w:rsidR="00654320" w:rsidRPr="00A20F00">
              <w:t xml:space="preserve"> </w:t>
            </w:r>
            <w:r w:rsidRPr="00A20F00">
              <w:t>удостоенных наград и премий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</w:tcPr>
          <w:p w:rsidR="00654320" w:rsidRPr="00A20F00" w:rsidRDefault="00501C41" w:rsidP="00501C41">
            <w:pPr>
              <w:pStyle w:val="Tabletext"/>
            </w:pPr>
            <w:r w:rsidRPr="00A20F00">
              <w:t>7</w:t>
            </w:r>
            <w:r w:rsidRPr="00A20F00">
              <w:tab/>
            </w:r>
            <w:r w:rsidR="005E1796" w:rsidRPr="00A20F00">
              <w:t>Всем сотрудникам</w:t>
            </w:r>
            <w:r w:rsidR="00654320" w:rsidRPr="00A20F00">
              <w:t xml:space="preserve"> </w:t>
            </w:r>
            <w:r w:rsidR="005E1796" w:rsidRPr="00A20F00">
              <w:t>может быть предложено отчитаться о своей работе</w:t>
            </w:r>
            <w:r w:rsidR="00654320" w:rsidRPr="00A20F00">
              <w:t xml:space="preserve"> </w:t>
            </w:r>
            <w:r w:rsidR="005E1796" w:rsidRPr="00A20F00">
              <w:t>на основе</w:t>
            </w:r>
            <w:r w:rsidR="00654320" w:rsidRPr="00A20F00">
              <w:t xml:space="preserve"> </w:t>
            </w:r>
            <w:r w:rsidR="005E1796" w:rsidRPr="00A20F00">
              <w:t xml:space="preserve">обновленных письменных </w:t>
            </w:r>
            <w:r w:rsidR="005E1796" w:rsidRPr="00A20F00">
              <w:rPr>
                <w:color w:val="000000"/>
              </w:rPr>
              <w:t>должностных обязанностей,</w:t>
            </w:r>
            <w:r w:rsidR="00654320" w:rsidRPr="00A20F00">
              <w:t xml:space="preserve"> </w:t>
            </w:r>
            <w:r w:rsidR="005E1796" w:rsidRPr="00A20F00">
              <w:t>точно отражающих их фактическую работу</w:t>
            </w:r>
          </w:p>
        </w:tc>
        <w:tc>
          <w:tcPr>
            <w:tcW w:w="3686" w:type="dxa"/>
          </w:tcPr>
          <w:p w:rsidR="00654320" w:rsidRPr="00A20F00" w:rsidRDefault="005E1796" w:rsidP="00501C41">
            <w:pPr>
              <w:pStyle w:val="Tabletext"/>
            </w:pPr>
            <w:r w:rsidRPr="00A20F00">
              <w:t>Описание должност</w:t>
            </w:r>
            <w:r w:rsidR="00E01B50" w:rsidRPr="00A20F00">
              <w:t>н</w:t>
            </w:r>
            <w:r w:rsidRPr="00A20F00">
              <w:t>ых обязанностей для всех сотрудников</w:t>
            </w:r>
          </w:p>
        </w:tc>
        <w:tc>
          <w:tcPr>
            <w:tcW w:w="1559" w:type="dxa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 w:val="restart"/>
          </w:tcPr>
          <w:p w:rsidR="00654320" w:rsidRPr="00A20F00" w:rsidRDefault="00E01B50" w:rsidP="00501C41">
            <w:pPr>
              <w:pStyle w:val="Tabletext"/>
            </w:pPr>
            <w:r w:rsidRPr="00A20F00">
              <w:t>Добиться полной согласованности между фактической работой</w:t>
            </w:r>
            <w:r w:rsidR="00654320" w:rsidRPr="00A20F00">
              <w:t xml:space="preserve"> </w:t>
            </w:r>
            <w:r w:rsidRPr="00A20F00">
              <w:t>и</w:t>
            </w:r>
            <w:r w:rsidR="00654320" w:rsidRPr="00A20F00">
              <w:t xml:space="preserve"> </w:t>
            </w:r>
            <w:r w:rsidRPr="00A20F00">
              <w:t>описанием должностных обязанностей</w:t>
            </w:r>
            <w:r w:rsidR="00654320" w:rsidRPr="00A20F00">
              <w:t xml:space="preserve"> </w:t>
            </w:r>
            <w:r w:rsidRPr="00A20F00">
              <w:t>не всегда легко, однако</w:t>
            </w:r>
            <w:r w:rsidR="00654320" w:rsidRPr="00A20F00">
              <w:t xml:space="preserve"> </w:t>
            </w:r>
            <w:r w:rsidR="00BF7017" w:rsidRPr="00A20F00">
              <w:t xml:space="preserve">ежегодная </w:t>
            </w:r>
            <w:r w:rsidR="00BF7017" w:rsidRPr="00A20F00">
              <w:rPr>
                <w:color w:val="000000"/>
              </w:rPr>
              <w:t xml:space="preserve">аттестация персонала </w:t>
            </w:r>
            <w:r w:rsidR="00A55510" w:rsidRPr="00A20F00">
              <w:t>наме</w:t>
            </w:r>
            <w:r w:rsidR="00BF7017" w:rsidRPr="00A20F00">
              <w:t>чает в общих чертах цели и</w:t>
            </w:r>
            <w:r w:rsidR="00654320" w:rsidRPr="00A20F00">
              <w:t xml:space="preserve"> </w:t>
            </w:r>
            <w:r w:rsidR="00BF7017" w:rsidRPr="00A20F00">
              <w:t>повседневные задачи</w:t>
            </w:r>
            <w:r w:rsidR="00654320" w:rsidRPr="00A20F00">
              <w:t xml:space="preserve"> </w:t>
            </w:r>
            <w:r w:rsidR="00BF7017" w:rsidRPr="00A20F00">
              <w:t>сотрудников, а также</w:t>
            </w:r>
            <w:r w:rsidR="00654320" w:rsidRPr="00A20F00">
              <w:t xml:space="preserve"> </w:t>
            </w:r>
            <w:r w:rsidR="00BF7017" w:rsidRPr="00A20F00">
              <w:t>их участие</w:t>
            </w:r>
            <w:r w:rsidR="00654320" w:rsidRPr="00A20F00">
              <w:t xml:space="preserve"> </w:t>
            </w:r>
            <w:r w:rsidR="00BF7017" w:rsidRPr="00A20F00">
              <w:t>в</w:t>
            </w:r>
            <w:r w:rsidR="00654320" w:rsidRPr="00A20F00">
              <w:t xml:space="preserve"> </w:t>
            </w:r>
            <w:r w:rsidR="00BF7017" w:rsidRPr="00A20F00">
              <w:t>официальных комитетах и целевых группах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  <w:trHeight w:val="732"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</w:tcPr>
          <w:p w:rsidR="00654320" w:rsidRPr="00A20F00" w:rsidRDefault="00E01B50" w:rsidP="00501C41">
            <w:pPr>
              <w:pStyle w:val="Tabletext"/>
            </w:pPr>
            <w:r w:rsidRPr="00A20F00">
              <w:t>Согласованность между</w:t>
            </w:r>
            <w:r w:rsidR="00654320" w:rsidRPr="00A20F00">
              <w:t xml:space="preserve"> </w:t>
            </w:r>
            <w:r w:rsidRPr="00A20F00">
              <w:rPr>
                <w:color w:val="000000"/>
              </w:rPr>
              <w:t>должностными обязанностями</w:t>
            </w:r>
            <w:r w:rsidR="00654320" w:rsidRPr="00A20F00">
              <w:t xml:space="preserve"> </w:t>
            </w:r>
            <w:r w:rsidRPr="00A20F00">
              <w:t>и повседневной работой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vMerge/>
          </w:tcPr>
          <w:p w:rsidR="00654320" w:rsidRPr="00A20F00" w:rsidRDefault="00654320" w:rsidP="00501C41">
            <w:pPr>
              <w:pStyle w:val="Tabletext"/>
              <w:rPr>
                <w:highlight w:val="yellow"/>
              </w:rPr>
            </w:pPr>
          </w:p>
        </w:tc>
      </w:tr>
      <w:tr w:rsidR="00654320" w:rsidRPr="00A20F00" w:rsidTr="00501C41">
        <w:trPr>
          <w:cantSplit/>
          <w:trHeight w:val="218"/>
        </w:trPr>
        <w:tc>
          <w:tcPr>
            <w:tcW w:w="3402" w:type="dxa"/>
            <w:vMerge w:val="restart"/>
          </w:tcPr>
          <w:p w:rsidR="00654320" w:rsidRPr="00A20F00" w:rsidRDefault="00501C41" w:rsidP="00501C41">
            <w:pPr>
              <w:pStyle w:val="Tabletext"/>
            </w:pPr>
            <w:r w:rsidRPr="00A20F00">
              <w:t>8</w:t>
            </w:r>
            <w:r w:rsidRPr="00A20F00">
              <w:tab/>
            </w:r>
            <w:r w:rsidR="00BF7017" w:rsidRPr="00A20F00">
              <w:t>Конкретизация политики</w:t>
            </w:r>
            <w:r w:rsidR="00654320" w:rsidRPr="00A20F00">
              <w:t xml:space="preserve"> </w:t>
            </w:r>
            <w:r w:rsidR="008B49D9" w:rsidRPr="00A20F00">
              <w:t xml:space="preserve">в отношении </w:t>
            </w:r>
            <w:r w:rsidR="00BF7017" w:rsidRPr="00A20F00">
              <w:t>отбора</w:t>
            </w:r>
            <w:r w:rsidR="00654320" w:rsidRPr="00A20F00">
              <w:t xml:space="preserve">, </w:t>
            </w:r>
            <w:r w:rsidR="00BF7017" w:rsidRPr="00A20F00">
              <w:t>найма и</w:t>
            </w:r>
            <w:r w:rsidR="00654320" w:rsidRPr="00A20F00">
              <w:t xml:space="preserve"> </w:t>
            </w:r>
            <w:r w:rsidR="008B49D9" w:rsidRPr="00A20F00">
              <w:rPr>
                <w:color w:val="000000"/>
              </w:rPr>
              <w:t xml:space="preserve">повторного использования </w:t>
            </w:r>
            <w:r w:rsidR="00C74FF0" w:rsidRPr="00A20F00">
              <w:rPr>
                <w:color w:val="000000"/>
              </w:rPr>
              <w:t xml:space="preserve">услуг </w:t>
            </w:r>
            <w:r w:rsidR="008B49D9" w:rsidRPr="00A20F00">
              <w:rPr>
                <w:color w:val="000000"/>
              </w:rPr>
              <w:t xml:space="preserve">сотрудников, </w:t>
            </w:r>
            <w:r w:rsidR="00C74FF0" w:rsidRPr="00A20F00">
              <w:rPr>
                <w:color w:val="000000"/>
              </w:rPr>
              <w:t>покинувших организацию</w:t>
            </w:r>
          </w:p>
        </w:tc>
        <w:tc>
          <w:tcPr>
            <w:tcW w:w="3686" w:type="dxa"/>
            <w:shd w:val="clear" w:color="auto" w:fill="auto"/>
          </w:tcPr>
          <w:p w:rsidR="00654320" w:rsidRPr="00A20F00" w:rsidRDefault="00C74FF0" w:rsidP="00501C41">
            <w:pPr>
              <w:pStyle w:val="Tabletext"/>
            </w:pPr>
            <w:r w:rsidRPr="00A20F00">
              <w:t>Политика найма,</w:t>
            </w:r>
            <w:r w:rsidR="00654320" w:rsidRPr="00A20F00">
              <w:t xml:space="preserve"> </w:t>
            </w:r>
            <w:r w:rsidRPr="00A20F00">
              <w:t>ограничивающая прием на работу</w:t>
            </w:r>
            <w:r w:rsidR="00654320" w:rsidRPr="00A20F00">
              <w:t xml:space="preserve"> </w:t>
            </w:r>
            <w:r w:rsidRPr="00A20F00">
              <w:t>членов семей и родственников сотрудников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C74FF0" w:rsidP="00501C41">
            <w:pPr>
              <w:pStyle w:val="Tabletext"/>
            </w:pPr>
            <w:r w:rsidRPr="00A20F00">
              <w:t>Правило</w:t>
            </w:r>
            <w:r w:rsidR="00654320" w:rsidRPr="00A20F00">
              <w:t xml:space="preserve"> 4.7.1 </w:t>
            </w:r>
            <w:r w:rsidRPr="00A20F00">
              <w:rPr>
                <w:color w:val="000000"/>
              </w:rPr>
              <w:t>Положений о персонале и Правил о персонале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  <w:trHeight w:val="217"/>
        </w:trPr>
        <w:tc>
          <w:tcPr>
            <w:tcW w:w="3402" w:type="dxa"/>
            <w:vMerge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auto"/>
          </w:tcPr>
          <w:p w:rsidR="00654320" w:rsidRPr="00A20F00" w:rsidRDefault="00C74FF0" w:rsidP="00501C41">
            <w:pPr>
              <w:pStyle w:val="Tabletext"/>
            </w:pPr>
            <w:r w:rsidRPr="00A20F00">
              <w:t>Ограничения в отношении повторного использования услуг сотрудников,</w:t>
            </w:r>
            <w:r w:rsidR="00654320" w:rsidRPr="00A20F00">
              <w:t xml:space="preserve"> </w:t>
            </w:r>
            <w:r w:rsidRPr="00A20F00">
              <w:t>вышедших на пенсию</w:t>
            </w:r>
            <w:r w:rsidR="00654320" w:rsidRPr="00A20F00">
              <w:t>/</w:t>
            </w:r>
            <w:r w:rsidRPr="00A20F00">
              <w:t>уволившихся из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C74FF0" w:rsidP="00501C41">
            <w:pPr>
              <w:pStyle w:val="Tabletext"/>
            </w:pPr>
            <w:r w:rsidRPr="00A20F00">
              <w:t>Уже принята политика в отношении пенсионеров</w:t>
            </w:r>
            <w:r w:rsidR="00654320" w:rsidRPr="00A20F00">
              <w:t xml:space="preserve"> (</w:t>
            </w:r>
            <w:r w:rsidRPr="00A20F00">
              <w:t>МСЭ применяет ограничения ООН</w:t>
            </w:r>
            <w:r w:rsidR="00654320" w:rsidRPr="00A20F00">
              <w:t xml:space="preserve">) </w:t>
            </w:r>
            <w:r w:rsidRPr="00A20F00">
              <w:t>и</w:t>
            </w:r>
            <w:r w:rsidR="00654320" w:rsidRPr="00A20F00">
              <w:t xml:space="preserve"> </w:t>
            </w:r>
            <w:r w:rsidRPr="00A20F00">
              <w:t>сотрудников, поки</w:t>
            </w:r>
            <w:r w:rsidR="00A55510" w:rsidRPr="00A20F00">
              <w:t>нувших</w:t>
            </w:r>
            <w:r w:rsidR="00654320" w:rsidRPr="00A20F00">
              <w:t xml:space="preserve"> </w:t>
            </w:r>
            <w:r w:rsidRPr="00A20F00">
              <w:t>организацию</w:t>
            </w:r>
            <w:r w:rsidR="00654320" w:rsidRPr="00A20F00">
              <w:t xml:space="preserve"> </w:t>
            </w:r>
            <w:r w:rsidR="002614E2" w:rsidRPr="00A20F00">
              <w:t>в камках программы</w:t>
            </w:r>
            <w:r w:rsidR="00654320" w:rsidRPr="00A20F00">
              <w:t xml:space="preserve"> </w:t>
            </w:r>
            <w:r w:rsidR="002614E2" w:rsidRPr="00A20F00">
              <w:rPr>
                <w:color w:val="000000"/>
              </w:rPr>
              <w:t>досрочного прекращения службы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shd w:val="clear" w:color="auto" w:fill="FFFFFF" w:themeFill="background1"/>
          </w:tcPr>
          <w:p w:rsidR="00654320" w:rsidRPr="00A20F00" w:rsidRDefault="00501C41" w:rsidP="00501C41">
            <w:pPr>
              <w:pStyle w:val="Tabletext"/>
            </w:pPr>
            <w:r w:rsidRPr="00A20F00">
              <w:t>9</w:t>
            </w:r>
            <w:r w:rsidRPr="00A20F00">
              <w:tab/>
            </w:r>
            <w:r w:rsidR="003806E2" w:rsidRPr="00A20F00">
              <w:t>Организация имеет</w:t>
            </w:r>
            <w:r w:rsidR="00654320" w:rsidRPr="00A20F00">
              <w:t xml:space="preserve"> </w:t>
            </w:r>
            <w:r w:rsidR="008A58CC" w:rsidRPr="00A20F00">
              <w:t>официальную политику управления рисками, которая должна</w:t>
            </w:r>
            <w:r w:rsidR="00654320" w:rsidRPr="00A20F00">
              <w:t xml:space="preserve"> </w:t>
            </w:r>
            <w:r w:rsidR="008A58CC" w:rsidRPr="00A20F00">
              <w:t>реализовываться</w:t>
            </w:r>
            <w:r w:rsidR="00654320" w:rsidRPr="00A20F00">
              <w:t xml:space="preserve"> </w:t>
            </w:r>
            <w:r w:rsidR="008A58CC" w:rsidRPr="00A20F00">
              <w:t>на базе согласованной методики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8A58CC" w:rsidP="00501C41">
            <w:pPr>
              <w:pStyle w:val="Tabletext"/>
            </w:pPr>
            <w:r w:rsidRPr="00A20F00">
              <w:t xml:space="preserve">Анализ рисков проводится </w:t>
            </w:r>
            <w:r w:rsidR="00A55510" w:rsidRPr="00A20F00">
              <w:t>в отношении</w:t>
            </w:r>
            <w:r w:rsidR="00654320" w:rsidRPr="00A20F00">
              <w:t xml:space="preserve"> </w:t>
            </w:r>
            <w:r w:rsidRPr="00A20F00">
              <w:t>каждого подразделения</w:t>
            </w:r>
            <w:r w:rsidR="00654320" w:rsidRPr="00A20F00">
              <w:t>/</w:t>
            </w:r>
            <w:r w:rsidRPr="00A20F00">
              <w:t>проекта</w:t>
            </w:r>
            <w:r w:rsidR="00654320" w:rsidRPr="00A20F00">
              <w:t>/</w:t>
            </w:r>
            <w:r w:rsidRPr="00A20F00">
              <w:t>процесса,</w:t>
            </w:r>
            <w:r w:rsidR="00654320" w:rsidRPr="00A20F00">
              <w:t xml:space="preserve"> </w:t>
            </w:r>
            <w:r w:rsidRPr="00A20F00">
              <w:t>и в организации существует план</w:t>
            </w:r>
            <w:r w:rsidR="00654320" w:rsidRPr="00A20F00">
              <w:t xml:space="preserve"> </w:t>
            </w:r>
            <w:r w:rsidRPr="00A20F00">
              <w:t>в области рисков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shd w:val="clear" w:color="auto" w:fill="FFFFFF" w:themeFill="background1"/>
          </w:tcPr>
          <w:p w:rsidR="00654320" w:rsidRPr="00A20F00" w:rsidRDefault="00AA554E" w:rsidP="00501C41">
            <w:pPr>
              <w:pStyle w:val="Tabletext"/>
            </w:pPr>
            <w:r w:rsidRPr="00A20F00">
              <w:t>Реестр рисков</w:t>
            </w:r>
            <w:r w:rsidR="00654320" w:rsidRPr="00A20F00">
              <w:t xml:space="preserve"> </w:t>
            </w:r>
            <w:r w:rsidRPr="00A20F00">
              <w:t>ведется,</w:t>
            </w:r>
            <w:r w:rsidR="00654320" w:rsidRPr="00A20F00">
              <w:t xml:space="preserve"> </w:t>
            </w:r>
            <w:r w:rsidRPr="00A20F00">
              <w:t>а</w:t>
            </w:r>
            <w:r w:rsidR="00654320" w:rsidRPr="00A20F00">
              <w:t xml:space="preserve"> </w:t>
            </w:r>
            <w:r w:rsidRPr="00A20F00">
              <w:t>содержащаяся в нем информация отражается в</w:t>
            </w:r>
            <w:r w:rsidR="00654320" w:rsidRPr="00A20F00">
              <w:t xml:space="preserve"> </w:t>
            </w:r>
            <w:r w:rsidRPr="00A20F00">
              <w:rPr>
                <w:color w:val="000000"/>
              </w:rPr>
              <w:t>оперативных планах Секторов и Генерального секретариата</w:t>
            </w:r>
            <w:r w:rsidR="00654320" w:rsidRPr="00A20F00">
              <w:t>.</w:t>
            </w:r>
          </w:p>
          <w:p w:rsidR="00654320" w:rsidRPr="00A20F00" w:rsidRDefault="00AA554E" w:rsidP="00A20F00">
            <w:pPr>
              <w:pStyle w:val="Tabletext"/>
            </w:pPr>
            <w:r w:rsidRPr="00A20F00">
              <w:t xml:space="preserve">Официальная </w:t>
            </w:r>
            <w:r w:rsidRPr="00A20F00">
              <w:rPr>
                <w:color w:val="000000"/>
              </w:rPr>
              <w:t>политик</w:t>
            </w:r>
            <w:r w:rsidR="00A55510" w:rsidRPr="00A20F00">
              <w:rPr>
                <w:color w:val="000000"/>
              </w:rPr>
              <w:t>а</w:t>
            </w:r>
            <w:r w:rsidRPr="00A20F00">
              <w:rPr>
                <w:color w:val="000000"/>
              </w:rPr>
              <w:t xml:space="preserve"> управления рисками и заявление о готовности к принятию рисков</w:t>
            </w:r>
            <w:r w:rsidR="00654320" w:rsidRPr="00A20F00">
              <w:t xml:space="preserve"> </w:t>
            </w:r>
            <w:r w:rsidRPr="00A20F00">
              <w:t>будут одобрены сессией Совета</w:t>
            </w:r>
            <w:r w:rsidR="00A20F00" w:rsidRPr="00A20F00">
              <w:t> </w:t>
            </w:r>
            <w:r w:rsidR="00654320" w:rsidRPr="00A20F00">
              <w:t xml:space="preserve">2017 </w:t>
            </w:r>
            <w:r w:rsidRPr="00A20F00">
              <w:t>г</w:t>
            </w:r>
            <w:r w:rsidR="00A20F00" w:rsidRPr="00A20F00">
              <w:t>ода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  <w:shd w:val="clear" w:color="auto" w:fill="FFFFFF" w:themeFill="background1"/>
          </w:tcPr>
          <w:p w:rsidR="00654320" w:rsidRPr="00A20F00" w:rsidRDefault="00501C41" w:rsidP="00501C41">
            <w:pPr>
              <w:pStyle w:val="Tabletext"/>
              <w:keepNext/>
            </w:pPr>
            <w:r w:rsidRPr="00A20F00">
              <w:lastRenderedPageBreak/>
              <w:t>10</w:t>
            </w:r>
            <w:r w:rsidRPr="00A20F00">
              <w:tab/>
            </w:r>
            <w:r w:rsidR="005C428B" w:rsidRPr="00A20F00">
              <w:t>Цепочка управления</w:t>
            </w:r>
            <w:r w:rsidR="00654320" w:rsidRPr="00A20F00">
              <w:t xml:space="preserve"> </w:t>
            </w:r>
            <w:r w:rsidR="005C428B" w:rsidRPr="00A20F00">
              <w:t>и делегирование полномочий выверены, четко определены, согласованы</w:t>
            </w:r>
            <w:r w:rsidR="00654320" w:rsidRPr="00A20F00">
              <w:t xml:space="preserve"> </w:t>
            </w:r>
            <w:r w:rsidR="005C428B" w:rsidRPr="00A20F00">
              <w:t>и интегрированы в</w:t>
            </w:r>
            <w:r w:rsidR="00654320" w:rsidRPr="00A20F00">
              <w:t xml:space="preserve"> </w:t>
            </w:r>
            <w:r w:rsidR="005C428B" w:rsidRPr="00A20F00">
              <w:t>существующие системы планирования ресурсов предприятия</w:t>
            </w:r>
            <w:r w:rsidR="00654320" w:rsidRPr="00A20F00">
              <w:t xml:space="preserve"> (ERP)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5C428B" w:rsidP="00501C41">
            <w:pPr>
              <w:pStyle w:val="Tabletext"/>
              <w:keepNext/>
              <w:keepLines/>
            </w:pPr>
            <w:r w:rsidRPr="00A20F00">
              <w:t>Четкое определение делегирования полномочий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keepNext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654320" w:rsidP="00501C41">
            <w:pPr>
              <w:pStyle w:val="Tabletext"/>
              <w:keepNext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  <w:keepNext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5C428B" w:rsidP="00501C41">
            <w:pPr>
              <w:pStyle w:val="Tabletext"/>
              <w:keepNext/>
              <w:keepLines/>
            </w:pPr>
            <w:r w:rsidRPr="00A20F00">
              <w:t>Согласованность между</w:t>
            </w:r>
            <w:r w:rsidR="00654320" w:rsidRPr="00A20F00">
              <w:t xml:space="preserve"> </w:t>
            </w:r>
            <w:r w:rsidRPr="00A20F00">
              <w:t>линией управления,</w:t>
            </w:r>
            <w:r w:rsidR="00654320" w:rsidRPr="00A20F00">
              <w:t xml:space="preserve"> </w:t>
            </w:r>
            <w:r w:rsidRPr="00A20F00">
              <w:t>делегированием полномочий и</w:t>
            </w:r>
            <w:r w:rsidR="00654320" w:rsidRPr="00A20F00">
              <w:t xml:space="preserve"> </w:t>
            </w:r>
            <w:r w:rsidR="00A21186" w:rsidRPr="00A20F00">
              <w:t>четким функциональным подчинением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keepNext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654320" w:rsidP="00501C41">
            <w:pPr>
              <w:pStyle w:val="Tabletext"/>
              <w:keepNext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  <w:keepNext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A21186" w:rsidP="00501C41">
            <w:pPr>
              <w:pStyle w:val="Tabletext"/>
              <w:keepNext/>
            </w:pPr>
            <w:r w:rsidRPr="00A20F00">
              <w:t>Делегирование полномочий встроено в существующие системы</w:t>
            </w:r>
            <w:r w:rsidR="00654320" w:rsidRPr="00A20F00">
              <w:t xml:space="preserve"> ERP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keepNext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A21186" w:rsidP="00501C41">
            <w:pPr>
              <w:pStyle w:val="Tabletext"/>
              <w:keepNext/>
            </w:pPr>
            <w:r w:rsidRPr="00A20F00">
              <w:t>Доступ к системе</w:t>
            </w:r>
            <w:r w:rsidR="00654320" w:rsidRPr="00A20F00">
              <w:t xml:space="preserve"> ERP </w:t>
            </w:r>
            <w:r w:rsidRPr="00A20F00">
              <w:t>основан на</w:t>
            </w:r>
            <w:r w:rsidR="00654320" w:rsidRPr="00A20F00">
              <w:t xml:space="preserve"> </w:t>
            </w:r>
            <w:r w:rsidRPr="00A20F00">
              <w:t>разграничении обязанностей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  <w:r w:rsidRPr="00A20F00">
              <w:t>11</w:t>
            </w:r>
            <w:r w:rsidR="00501C41" w:rsidRPr="00A20F00">
              <w:tab/>
            </w:r>
            <w:r w:rsidR="00A21186" w:rsidRPr="00A20F00">
              <w:rPr>
                <w:color w:val="000000"/>
              </w:rPr>
              <w:t>Финансовый регламент и Финансовые правила</w:t>
            </w:r>
            <w:r w:rsidRPr="00A20F00">
              <w:t xml:space="preserve"> (FRR) </w:t>
            </w:r>
            <w:r w:rsidR="00A21186" w:rsidRPr="00A20F00">
              <w:t>в организациях системы Организации Объединенных Наций</w:t>
            </w:r>
            <w:r w:rsidRPr="00A20F00">
              <w:t xml:space="preserve"> </w:t>
            </w:r>
            <w:r w:rsidR="00A21186" w:rsidRPr="00A20F00">
              <w:t>должен</w:t>
            </w:r>
            <w:r w:rsidR="00F0297D" w:rsidRPr="00A20F00">
              <w:t xml:space="preserve"> содержать положения, касающиеся борьбы с мошенничеством</w:t>
            </w:r>
            <w:r w:rsidRPr="00A20F00">
              <w:t xml:space="preserve"> </w:t>
            </w:r>
            <w:r w:rsidR="00F0297D" w:rsidRPr="00A20F00">
              <w:t>и</w:t>
            </w:r>
            <w:r w:rsidRPr="00A20F00">
              <w:t xml:space="preserve"> </w:t>
            </w:r>
            <w:r w:rsidR="00F0297D" w:rsidRPr="00A20F00">
              <w:t>финансовыми злоупотреблениями, которые должны</w:t>
            </w:r>
            <w:r w:rsidRPr="00A20F00">
              <w:t xml:space="preserve"> </w:t>
            </w:r>
            <w:r w:rsidR="00F0297D" w:rsidRPr="00A20F00">
              <w:t>применяться на практике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  <w:r w:rsidRPr="00A20F00">
              <w:t>FRR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F0297D" w:rsidP="00501C41">
            <w:pPr>
              <w:pStyle w:val="Tabletext"/>
            </w:pPr>
            <w:r w:rsidRPr="00A20F00">
              <w:t>Заявления о конфликте интересов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 w:val="restart"/>
            <w:shd w:val="clear" w:color="auto" w:fill="FFFFFF" w:themeFill="background1"/>
          </w:tcPr>
          <w:p w:rsidR="00654320" w:rsidRPr="00A20F00" w:rsidRDefault="006A7721" w:rsidP="00501C41">
            <w:pPr>
              <w:pStyle w:val="Tabletext"/>
            </w:pPr>
            <w:r w:rsidRPr="00A20F00">
              <w:t>МСЭ ведет</w:t>
            </w:r>
            <w:r w:rsidR="00654320" w:rsidRPr="00A20F00">
              <w:t xml:space="preserve"> </w:t>
            </w:r>
            <w:r w:rsidRPr="00A20F00">
              <w:t>ежегодное заявление о потенциальном конфликте интересов, касающееся финансовых вопросов и вопросов закупок,</w:t>
            </w:r>
            <w:r w:rsidR="00654320" w:rsidRPr="00A20F00">
              <w:t xml:space="preserve"> </w:t>
            </w:r>
            <w:r w:rsidRPr="00A20F00">
              <w:t>согласно нормам этики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F0297D" w:rsidP="00501C41">
            <w:pPr>
              <w:pStyle w:val="Tabletext"/>
            </w:pPr>
            <w:r w:rsidRPr="00A20F00">
              <w:rPr>
                <w:color w:val="000000"/>
              </w:rPr>
              <w:t>Заявления о раскрытии финансовой информации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6A7721" w:rsidP="00501C41">
            <w:pPr>
              <w:pStyle w:val="Tabletext"/>
            </w:pPr>
            <w:r w:rsidRPr="00A20F00">
              <w:t xml:space="preserve">Политика противодействия </w:t>
            </w:r>
            <w:r w:rsidRPr="00A20F00">
              <w:rPr>
                <w:color w:val="000000"/>
              </w:rPr>
              <w:t>мошенничеству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</w:tcPr>
          <w:p w:rsidR="00654320" w:rsidRPr="00A20F00" w:rsidRDefault="006A7721" w:rsidP="00501C41">
            <w:pPr>
              <w:pStyle w:val="Tabletext"/>
            </w:pPr>
            <w:r w:rsidRPr="00A20F00">
              <w:t>В стадии рассмотрения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  <w:r w:rsidRPr="00A20F00">
              <w:t>12</w:t>
            </w:r>
            <w:r w:rsidR="00501C41" w:rsidRPr="00A20F00">
              <w:tab/>
            </w:r>
            <w:r w:rsidR="00F12CBB" w:rsidRPr="00A20F00">
              <w:t>Руководители подтверждают</w:t>
            </w:r>
            <w:r w:rsidRPr="00A20F00">
              <w:t xml:space="preserve"> </w:t>
            </w:r>
            <w:r w:rsidR="00F12CBB" w:rsidRPr="00A20F00">
              <w:t>соблюдение требований внутреннего контроля</w:t>
            </w:r>
            <w:r w:rsidRPr="00A20F00">
              <w:t xml:space="preserve"> </w:t>
            </w:r>
            <w:r w:rsidR="00F12CBB" w:rsidRPr="00A20F00">
              <w:t>в контексте делегирования им полномочий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F12CBB" w:rsidP="00A20F00">
            <w:pPr>
              <w:pStyle w:val="Tabletext"/>
            </w:pPr>
            <w:r w:rsidRPr="00A20F00">
              <w:t>Письмо</w:t>
            </w:r>
            <w:r w:rsidR="00F108C6" w:rsidRPr="00A20F00">
              <w:t>-</w:t>
            </w:r>
            <w:r w:rsidR="00654320" w:rsidRPr="00A20F00">
              <w:t>/</w:t>
            </w:r>
            <w:r w:rsidR="00D44F3C" w:rsidRPr="00A20F00">
              <w:t>форма</w:t>
            </w:r>
            <w:r w:rsidR="00F108C6" w:rsidRPr="00A20F00">
              <w:t>-подтверждение</w:t>
            </w:r>
            <w:r w:rsidR="00654320" w:rsidRPr="00A20F00">
              <w:t>/</w:t>
            </w:r>
            <w:r w:rsidR="00D44F3C" w:rsidRPr="00A20F00">
              <w:t>гарантийное письмо</w:t>
            </w:r>
            <w:r w:rsidR="00654320" w:rsidRPr="00A20F00">
              <w:t>/</w:t>
            </w:r>
            <w:r w:rsidR="00D44F3C" w:rsidRPr="00A20F00">
              <w:t>свидетельство,</w:t>
            </w:r>
            <w:r w:rsidR="00654320" w:rsidRPr="00A20F00">
              <w:t xml:space="preserve"> </w:t>
            </w:r>
            <w:r w:rsidR="00D44F3C" w:rsidRPr="00A20F00">
              <w:t>предоставляемое ежегодно руководителю</w:t>
            </w:r>
          </w:p>
        </w:tc>
        <w:tc>
          <w:tcPr>
            <w:tcW w:w="1559" w:type="dxa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FFFFFF" w:themeFill="background1"/>
          </w:tcPr>
          <w:p w:rsidR="00654320" w:rsidRPr="00A20F00" w:rsidRDefault="00BB175A" w:rsidP="00501C41">
            <w:pPr>
              <w:pStyle w:val="Tabletext"/>
            </w:pPr>
            <w:r w:rsidRPr="00A20F00">
              <w:rPr>
                <w:color w:val="000000"/>
              </w:rPr>
              <w:t>Каждое избираемое должностное лицо</w:t>
            </w:r>
            <w:r w:rsidR="00654320" w:rsidRPr="00A20F00">
              <w:t xml:space="preserve">, </w:t>
            </w:r>
            <w:r w:rsidRPr="00A20F00">
              <w:t>руководители Департаментов</w:t>
            </w:r>
            <w:r w:rsidR="00654320" w:rsidRPr="00A20F00">
              <w:t xml:space="preserve"> </w:t>
            </w:r>
            <w:r w:rsidRPr="00A20F00">
              <w:t>и</w:t>
            </w:r>
            <w:r w:rsidR="00654320" w:rsidRPr="00A20F00">
              <w:t xml:space="preserve"> </w:t>
            </w:r>
            <w:r w:rsidRPr="00A20F00">
              <w:t>руководител</w:t>
            </w:r>
            <w:r w:rsidR="00F108C6" w:rsidRPr="00A20F00">
              <w:t>и</w:t>
            </w:r>
            <w:r w:rsidRPr="00A20F00">
              <w:t xml:space="preserve"> подразделени</w:t>
            </w:r>
            <w:r w:rsidR="00F108C6" w:rsidRPr="00A20F00">
              <w:t>й</w:t>
            </w:r>
            <w:r w:rsidR="00654320" w:rsidRPr="00A20F00">
              <w:t xml:space="preserve"> </w:t>
            </w:r>
            <w:r w:rsidRPr="00A20F00">
              <w:t>ГС</w:t>
            </w:r>
            <w:r w:rsidR="00654320" w:rsidRPr="00A20F00">
              <w:t xml:space="preserve"> </w:t>
            </w:r>
            <w:r w:rsidRPr="00A20F00">
              <w:t>обязан</w:t>
            </w:r>
            <w:r w:rsidR="00F108C6" w:rsidRPr="00A20F00">
              <w:t>ы</w:t>
            </w:r>
            <w:r w:rsidRPr="00A20F00">
              <w:t xml:space="preserve"> представить</w:t>
            </w:r>
            <w:r w:rsidR="00654320" w:rsidRPr="00A20F00">
              <w:t xml:space="preserve"> </w:t>
            </w:r>
            <w:r w:rsidR="00F108C6" w:rsidRPr="00A20F00">
              <w:t>внутреннее письмо-подтверждение</w:t>
            </w:r>
            <w:r w:rsidR="00654320" w:rsidRPr="00A20F00">
              <w:t xml:space="preserve">, </w:t>
            </w:r>
            <w:r w:rsidR="00F108C6" w:rsidRPr="00A20F00">
              <w:t>являющееся письменным подтверждением того, что</w:t>
            </w:r>
            <w:r w:rsidR="00654320" w:rsidRPr="00A20F00">
              <w:t xml:space="preserve"> </w:t>
            </w:r>
            <w:r w:rsidR="00F108C6" w:rsidRPr="00A20F00">
              <w:t xml:space="preserve">они </w:t>
            </w:r>
            <w:r w:rsidR="00A55510" w:rsidRPr="00A20F00">
              <w:t>надлежащим</w:t>
            </w:r>
            <w:r w:rsidR="00F108C6" w:rsidRPr="00A20F00">
              <w:t xml:space="preserve"> образом</w:t>
            </w:r>
            <w:r w:rsidR="00654320" w:rsidRPr="00A20F00">
              <w:t xml:space="preserve"> </w:t>
            </w:r>
            <w:r w:rsidR="00D7368A" w:rsidRPr="00A20F00">
              <w:t>осуществляли</w:t>
            </w:r>
            <w:r w:rsidR="00654320" w:rsidRPr="00A20F00">
              <w:t xml:space="preserve"> </w:t>
            </w:r>
            <w:r w:rsidR="00D7368A" w:rsidRPr="00A20F00">
              <w:t>делегированные им финансовые</w:t>
            </w:r>
            <w:r w:rsidR="00654320" w:rsidRPr="00A20F00">
              <w:t xml:space="preserve"> </w:t>
            </w:r>
            <w:r w:rsidR="00D7368A" w:rsidRPr="00A20F00">
              <w:t>полномочия и обязанности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  <w:r w:rsidRPr="00A20F00">
              <w:t>13</w:t>
            </w:r>
            <w:r w:rsidR="00501C41" w:rsidRPr="00A20F00">
              <w:tab/>
            </w:r>
            <w:r w:rsidR="00D7368A" w:rsidRPr="00A20F00">
              <w:t>Сотрудники на всех уровнях имеют доступ к соответствующей</w:t>
            </w:r>
            <w:r w:rsidRPr="00A20F00">
              <w:t xml:space="preserve"> </w:t>
            </w:r>
            <w:r w:rsidR="00D7368A" w:rsidRPr="00A20F00">
              <w:t>достоверной информации,</w:t>
            </w:r>
            <w:r w:rsidRPr="00A20F00">
              <w:t xml:space="preserve"> </w:t>
            </w:r>
            <w:r w:rsidR="00D7368A" w:rsidRPr="00A20F00">
              <w:t>которая помогает им</w:t>
            </w:r>
            <w:r w:rsidRPr="00A20F00">
              <w:t xml:space="preserve"> </w:t>
            </w:r>
            <w:r w:rsidR="00D7368A" w:rsidRPr="00A20F00">
              <w:t>принимать решения</w:t>
            </w:r>
            <w:r w:rsidRPr="00A20F00">
              <w:t xml:space="preserve"> </w:t>
            </w:r>
            <w:r w:rsidR="00D7368A" w:rsidRPr="00A20F00">
              <w:t>в соответствии с делегированными им полномочиями,</w:t>
            </w:r>
            <w:r w:rsidRPr="00A20F00">
              <w:t xml:space="preserve"> </w:t>
            </w:r>
            <w:r w:rsidR="00A55510" w:rsidRPr="00A20F00">
              <w:t>а</w:t>
            </w:r>
            <w:r w:rsidR="00D7368A" w:rsidRPr="00A20F00">
              <w:t xml:space="preserve"> организация</w:t>
            </w:r>
            <w:r w:rsidRPr="00A20F00">
              <w:t xml:space="preserve"> </w:t>
            </w:r>
            <w:r w:rsidR="00D7368A" w:rsidRPr="00A20F00">
              <w:t>имеет систему внутренней и внешней связи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D7368A" w:rsidP="00501C41">
            <w:pPr>
              <w:pStyle w:val="Tabletext"/>
            </w:pPr>
            <w:r w:rsidRPr="00A20F00">
              <w:t xml:space="preserve">Существует система </w:t>
            </w:r>
            <w:r w:rsidR="00654320" w:rsidRPr="00A20F00">
              <w:t xml:space="preserve">ERP </w:t>
            </w:r>
            <w:r w:rsidRPr="00A20F00">
              <w:t>или аналогичная система</w:t>
            </w:r>
            <w:r w:rsidR="00E8711F" w:rsidRPr="00A20F00">
              <w:t>, предназначенная</w:t>
            </w:r>
            <w:r w:rsidRPr="00A20F00">
              <w:t xml:space="preserve"> для сбора и</w:t>
            </w:r>
            <w:r w:rsidR="00654320" w:rsidRPr="00A20F00">
              <w:t xml:space="preserve"> </w:t>
            </w:r>
            <w:r w:rsidRPr="00A20F00">
              <w:rPr>
                <w:color w:val="000000"/>
              </w:rPr>
              <w:t xml:space="preserve">документирования </w:t>
            </w:r>
            <w:r w:rsidR="00E8711F" w:rsidRPr="00A20F00">
              <w:rPr>
                <w:color w:val="000000"/>
              </w:rPr>
              <w:t xml:space="preserve">соответствующей </w:t>
            </w:r>
            <w:r w:rsidRPr="00A20F00">
              <w:rPr>
                <w:color w:val="000000"/>
              </w:rPr>
              <w:t xml:space="preserve">информации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vMerge w:val="restart"/>
            <w:shd w:val="clear" w:color="auto" w:fill="auto"/>
          </w:tcPr>
          <w:p w:rsidR="00654320" w:rsidRPr="00A20F00" w:rsidRDefault="00FE76C7" w:rsidP="00501C41">
            <w:pPr>
              <w:pStyle w:val="Tabletext"/>
            </w:pPr>
            <w:r w:rsidRPr="00A20F00">
              <w:t>МСЭ</w:t>
            </w:r>
            <w:r w:rsidR="00654320" w:rsidRPr="00A20F00">
              <w:t xml:space="preserve"> </w:t>
            </w:r>
            <w:r w:rsidRPr="00A20F00">
              <w:t>управляет информацией и знаниями</w:t>
            </w:r>
            <w:r w:rsidR="00654320" w:rsidRPr="00A20F00">
              <w:t xml:space="preserve"> </w:t>
            </w:r>
            <w:r w:rsidRPr="00A20F00">
              <w:t>через</w:t>
            </w:r>
            <w:r w:rsidR="00654320" w:rsidRPr="00A20F00">
              <w:t xml:space="preserve"> </w:t>
            </w:r>
            <w:r w:rsidRPr="00A20F00">
              <w:t>стандартизированное управление информацией,</w:t>
            </w:r>
            <w:r w:rsidR="00654320" w:rsidRPr="00A20F00">
              <w:t xml:space="preserve"> </w:t>
            </w:r>
            <w:r w:rsidRPr="00A20F00">
              <w:t>т</w:t>
            </w:r>
            <w:r w:rsidR="00654320" w:rsidRPr="00A20F00">
              <w:t>.</w:t>
            </w:r>
            <w:r w:rsidR="00A20F00" w:rsidRPr="00A20F00">
              <w:t> </w:t>
            </w:r>
            <w:r w:rsidR="00654320" w:rsidRPr="00A20F00">
              <w:t xml:space="preserve">e. </w:t>
            </w:r>
            <w:r w:rsidR="009F05BC" w:rsidRPr="00A20F00">
              <w:t xml:space="preserve">используя систему </w:t>
            </w:r>
            <w:r w:rsidR="00654320" w:rsidRPr="00A20F00">
              <w:t xml:space="preserve">ERP, </w:t>
            </w:r>
            <w:proofErr w:type="spellStart"/>
            <w:r w:rsidR="00654320" w:rsidRPr="00A20F00">
              <w:t>SharePoint</w:t>
            </w:r>
            <w:proofErr w:type="spellEnd"/>
            <w:r w:rsidR="00654320" w:rsidRPr="00A20F00">
              <w:t xml:space="preserve">, </w:t>
            </w:r>
            <w:r w:rsidRPr="00A20F00">
              <w:t>хранилища файлов</w:t>
            </w:r>
            <w:r w:rsidR="00654320" w:rsidRPr="00A20F00">
              <w:t xml:space="preserve">, </w:t>
            </w:r>
            <w:r w:rsidRPr="00A20F00">
              <w:t xml:space="preserve">инструменты </w:t>
            </w:r>
            <w:r w:rsidR="009F05BC" w:rsidRPr="00A20F00">
              <w:t>бизнес-аналитики</w:t>
            </w:r>
            <w:r w:rsidRPr="00A20F00">
              <w:t xml:space="preserve"> (</w:t>
            </w:r>
            <w:r w:rsidR="00654320" w:rsidRPr="00A20F00">
              <w:t>BI</w:t>
            </w:r>
            <w:r w:rsidRPr="00A20F00">
              <w:t>)</w:t>
            </w:r>
            <w:r w:rsidR="00654320" w:rsidRPr="00A20F00">
              <w:t xml:space="preserve">, </w:t>
            </w:r>
            <w:r w:rsidR="009F05BC" w:rsidRPr="00A20F00">
              <w:t>которое обеспечивает сотрудникам доступ</w:t>
            </w:r>
            <w:r w:rsidR="00654320" w:rsidRPr="00A20F00">
              <w:t xml:space="preserve"> </w:t>
            </w:r>
            <w:r w:rsidR="009F05BC" w:rsidRPr="00A20F00">
              <w:t>к информации</w:t>
            </w:r>
            <w:r w:rsidR="00654320" w:rsidRPr="00A20F00">
              <w:t xml:space="preserve"> </w:t>
            </w:r>
            <w:r w:rsidR="009F05BC" w:rsidRPr="00A20F00">
              <w:t>с учетом их роли и функций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FE76C7" w:rsidP="00501C41">
            <w:pPr>
              <w:pStyle w:val="Tabletext"/>
            </w:pPr>
            <w:r w:rsidRPr="00A20F00">
              <w:t>Каналы внутренней связи в полной мере используются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vMerge/>
            <w:shd w:val="clear" w:color="auto" w:fill="FFFF00"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FE76C7" w:rsidP="00501C41">
            <w:pPr>
              <w:pStyle w:val="Tabletext"/>
            </w:pPr>
            <w:r w:rsidRPr="00A20F00">
              <w:t>Политика раскрытия информации существует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vMerge/>
            <w:shd w:val="clear" w:color="auto" w:fill="FFFF00"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  <w:r w:rsidRPr="00A20F00">
              <w:lastRenderedPageBreak/>
              <w:t>14</w:t>
            </w:r>
            <w:r w:rsidR="00501C41" w:rsidRPr="00A20F00">
              <w:tab/>
            </w:r>
            <w:r w:rsidR="009F05BC" w:rsidRPr="00A20F00">
              <w:t>За результатами деятельности административных руководителей</w:t>
            </w:r>
            <w:r w:rsidRPr="00A20F00">
              <w:t xml:space="preserve">, </w:t>
            </w:r>
            <w:r w:rsidR="009F05BC" w:rsidRPr="00A20F00">
              <w:t>старших руководителей</w:t>
            </w:r>
            <w:r w:rsidRPr="00A20F00">
              <w:t xml:space="preserve"> </w:t>
            </w:r>
            <w:r w:rsidR="009F05BC" w:rsidRPr="00A20F00">
              <w:t>и сотрудников</w:t>
            </w:r>
            <w:r w:rsidRPr="00A20F00">
              <w:t xml:space="preserve"> </w:t>
            </w:r>
            <w:r w:rsidR="009F05BC" w:rsidRPr="00A20F00">
              <w:t>осуществляется контроль,</w:t>
            </w:r>
            <w:r w:rsidRPr="00A20F00">
              <w:t xml:space="preserve"> </w:t>
            </w:r>
            <w:r w:rsidR="009F05BC" w:rsidRPr="00A20F00">
              <w:t>и в случае необходимости</w:t>
            </w:r>
            <w:r w:rsidRPr="00A20F00">
              <w:t xml:space="preserve"> </w:t>
            </w:r>
            <w:r w:rsidR="009F05BC" w:rsidRPr="00A20F00">
              <w:t xml:space="preserve">принимаются </w:t>
            </w:r>
            <w:r w:rsidR="00B81ABA" w:rsidRPr="00A20F00">
              <w:t>корректирующие меры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B81ABA" w:rsidP="00501C41">
            <w:pPr>
              <w:pStyle w:val="Tabletext"/>
            </w:pPr>
            <w:r w:rsidRPr="00A20F00">
              <w:t>Оценка результатов деятельности</w:t>
            </w:r>
            <w:r w:rsidR="00654320" w:rsidRPr="00A20F00">
              <w:t xml:space="preserve"> </w:t>
            </w:r>
            <w:r w:rsidRPr="00A20F00">
              <w:t>сотрудников на всех уровнях, включая оценку по методу</w:t>
            </w:r>
            <w:r w:rsidR="00654320" w:rsidRPr="00A20F00">
              <w:t xml:space="preserve"> 360</w:t>
            </w:r>
            <w:r w:rsidRPr="00A20F00">
              <w:t xml:space="preserve"> градусов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F47506" w:rsidP="00A20F00">
            <w:pPr>
              <w:pStyle w:val="Tabletext"/>
            </w:pPr>
            <w:r w:rsidRPr="00A20F00">
              <w:t>Новая система оценки, которая</w:t>
            </w:r>
            <w:r w:rsidR="00654320" w:rsidRPr="00A20F00">
              <w:t xml:space="preserve"> </w:t>
            </w:r>
            <w:r w:rsidRPr="00A20F00">
              <w:t>должна быть внедрена</w:t>
            </w:r>
            <w:r w:rsidR="00654320" w:rsidRPr="00A20F00">
              <w:t xml:space="preserve"> </w:t>
            </w:r>
            <w:r w:rsidRPr="00A20F00">
              <w:t>в течение</w:t>
            </w:r>
            <w:r w:rsidR="00654320" w:rsidRPr="00A20F00">
              <w:t xml:space="preserve"> 2017</w:t>
            </w:r>
            <w:r w:rsidRPr="00A20F00">
              <w:t xml:space="preserve"> г</w:t>
            </w:r>
            <w:r w:rsidR="00A20F00" w:rsidRPr="00A20F00">
              <w:t>ода</w:t>
            </w:r>
            <w:r w:rsidRPr="00A20F00">
              <w:t>,</w:t>
            </w:r>
            <w:r w:rsidR="00654320" w:rsidRPr="00A20F00">
              <w:t xml:space="preserve"> </w:t>
            </w:r>
            <w:r w:rsidRPr="00A20F00">
              <w:t>не</w:t>
            </w:r>
            <w:r w:rsidR="00654320" w:rsidRPr="00A20F00">
              <w:t xml:space="preserve"> </w:t>
            </w:r>
            <w:r w:rsidRPr="00A20F00">
              <w:t>включает оценку по методу 360 градусов.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0D57F4" w:rsidP="00501C41">
            <w:pPr>
              <w:pStyle w:val="Tabletext"/>
            </w:pPr>
            <w:r w:rsidRPr="00A20F00">
              <w:t>Контракты с руководителями высшего звена или инструменты</w:t>
            </w:r>
            <w:r w:rsidR="00654320" w:rsidRPr="00A20F00">
              <w:t xml:space="preserve"> </w:t>
            </w:r>
            <w:r w:rsidRPr="00A20F00">
              <w:t>оценки показателей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Не применимо</w:t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0D57F4" w:rsidP="00501C41">
            <w:pPr>
              <w:pStyle w:val="Tabletext"/>
            </w:pPr>
            <w:r w:rsidRPr="00A20F00">
              <w:t>Корректирующие меры</w:t>
            </w:r>
            <w:r w:rsidR="00654320" w:rsidRPr="00A20F00">
              <w:t xml:space="preserve"> </w:t>
            </w:r>
            <w:r w:rsidR="00A55510" w:rsidRPr="00A20F00">
              <w:t>в отношении</w:t>
            </w:r>
            <w:r w:rsidR="00654320" w:rsidRPr="00A20F00">
              <w:t xml:space="preserve"> </w:t>
            </w:r>
            <w:r w:rsidRPr="00A20F00">
              <w:t>неработающих активов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460E25" w:rsidP="00501C41">
            <w:pPr>
              <w:pStyle w:val="Tabletext"/>
            </w:pPr>
            <w:r w:rsidRPr="00A20F00">
              <w:t>Сотрудникам предложено действовать через</w:t>
            </w:r>
            <w:r w:rsidR="00654320" w:rsidRPr="00A20F00">
              <w:t xml:space="preserve"> </w:t>
            </w:r>
            <w:r w:rsidRPr="00A20F00">
              <w:t>создание</w:t>
            </w:r>
            <w:r w:rsidR="00654320" w:rsidRPr="00A20F00">
              <w:t xml:space="preserve"> </w:t>
            </w:r>
            <w:r w:rsidRPr="00A20F00">
              <w:t>программ по профессиональной подготовке для исправления ситуации</w:t>
            </w:r>
            <w:r w:rsidR="00654320" w:rsidRPr="00A20F00">
              <w:t xml:space="preserve"> </w:t>
            </w:r>
            <w:r w:rsidRPr="00A20F00">
              <w:t>в сотрудничестве со своими</w:t>
            </w:r>
            <w:r w:rsidR="00654320" w:rsidRPr="00A20F00">
              <w:t xml:space="preserve"> </w:t>
            </w:r>
            <w:r w:rsidRPr="00A20F00">
              <w:t>руководителями</w:t>
            </w:r>
            <w:r w:rsidR="00654320" w:rsidRPr="00A20F00">
              <w:t xml:space="preserve">. 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  <w:r w:rsidRPr="00A20F00">
              <w:t>15</w:t>
            </w:r>
            <w:r w:rsidR="00501C41" w:rsidRPr="00A20F00">
              <w:tab/>
            </w:r>
            <w:r w:rsidR="00460E25" w:rsidRPr="00A20F00">
              <w:t>Рекомендации</w:t>
            </w:r>
            <w:r w:rsidRPr="00A20F00">
              <w:t xml:space="preserve"> </w:t>
            </w:r>
            <w:r w:rsidR="00460E25" w:rsidRPr="00A20F00">
              <w:t>органов по надзору</w:t>
            </w:r>
            <w:r w:rsidRPr="00A20F00">
              <w:t>/</w:t>
            </w:r>
            <w:r w:rsidR="00460E25" w:rsidRPr="00A20F00">
              <w:t>внутреннего аудита</w:t>
            </w:r>
            <w:r w:rsidRPr="00A20F00">
              <w:t xml:space="preserve"> </w:t>
            </w:r>
            <w:r w:rsidR="00460E25" w:rsidRPr="00A20F00">
              <w:t>и</w:t>
            </w:r>
            <w:r w:rsidRPr="00A20F00">
              <w:t xml:space="preserve"> </w:t>
            </w:r>
            <w:r w:rsidR="00460E25" w:rsidRPr="00A20F00">
              <w:t>оценки</w:t>
            </w:r>
            <w:r w:rsidRPr="00A20F00">
              <w:t xml:space="preserve"> </w:t>
            </w:r>
            <w:r w:rsidR="00A90022" w:rsidRPr="00A20F00">
              <w:t>учитываются и</w:t>
            </w:r>
            <w:r w:rsidRPr="00A20F00">
              <w:t xml:space="preserve"> </w:t>
            </w:r>
            <w:r w:rsidR="00A90022" w:rsidRPr="00A20F00">
              <w:t>реализуются;</w:t>
            </w:r>
            <w:r w:rsidRPr="00A20F00">
              <w:t xml:space="preserve"> </w:t>
            </w:r>
            <w:r w:rsidR="00A90022" w:rsidRPr="00A20F00">
              <w:t>в противном случае должны быть предоставлены</w:t>
            </w:r>
            <w:r w:rsidRPr="00A20F00">
              <w:t xml:space="preserve"> </w:t>
            </w:r>
            <w:r w:rsidR="00A90022" w:rsidRPr="00A20F00">
              <w:t>четкие обоснования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A90022" w:rsidP="00501C41">
            <w:pPr>
              <w:pStyle w:val="Tabletext"/>
            </w:pPr>
            <w:r w:rsidRPr="00A20F00">
              <w:t>Политика раскрытия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A90022" w:rsidP="00A20F00">
            <w:pPr>
              <w:pStyle w:val="Tabletext"/>
            </w:pPr>
            <w:r w:rsidRPr="00A20F00">
              <w:t>Совет МСЭ на своей сессии</w:t>
            </w:r>
            <w:r w:rsidR="00654320" w:rsidRPr="00A20F00">
              <w:t xml:space="preserve"> 2016 </w:t>
            </w:r>
            <w:r w:rsidRPr="00A20F00">
              <w:t>года</w:t>
            </w:r>
            <w:r w:rsidR="00654320" w:rsidRPr="00A20F00">
              <w:t xml:space="preserve"> </w:t>
            </w:r>
            <w:r w:rsidRPr="00A20F00">
              <w:t>п</w:t>
            </w:r>
            <w:r w:rsidRPr="00A20F00">
              <w:rPr>
                <w:color w:val="000000"/>
              </w:rPr>
              <w:t>олитику обеспечения доступа к информации/документам МСЭ,</w:t>
            </w:r>
            <w:r w:rsidRPr="00A20F00">
              <w:rPr>
                <w:rFonts w:eastAsia="Times New Roman"/>
              </w:rPr>
              <w:t xml:space="preserve"> которая</w:t>
            </w:r>
            <w:r w:rsidR="00A20F00" w:rsidRPr="00A20F00">
              <w:rPr>
                <w:rFonts w:eastAsia="Times New Roman"/>
              </w:rPr>
              <w:t xml:space="preserve"> "</w:t>
            </w:r>
            <w:r w:rsidRPr="00A20F00">
              <w:rPr>
                <w:rFonts w:eastAsia="Times New Roman"/>
              </w:rPr>
              <w:t>…</w:t>
            </w:r>
            <w:r w:rsidR="00A20F00" w:rsidRPr="00A20F00">
              <w:rPr>
                <w:rFonts w:eastAsia="Times New Roman"/>
              </w:rPr>
              <w:t> </w:t>
            </w:r>
            <w:r w:rsidRPr="00A20F00">
              <w:rPr>
                <w:color w:val="000000"/>
              </w:rPr>
              <w:t>обеспечивает доступ общественности к информации, которой располагает МСЭ, которой он управляет или которую он создает</w:t>
            </w:r>
            <w:r w:rsidR="00A20F00" w:rsidRPr="00A20F00">
              <w:rPr>
                <w:color w:val="000000"/>
              </w:rPr>
              <w:t>"</w:t>
            </w:r>
            <w:r w:rsidRPr="00A20F00">
              <w:rPr>
                <w:rFonts w:eastAsia="Times New Roman"/>
              </w:rPr>
              <w:t xml:space="preserve">; эта политика </w:t>
            </w:r>
            <w:r w:rsidRPr="00A20F00">
              <w:rPr>
                <w:color w:val="000000"/>
              </w:rPr>
              <w:t>вступит в силу на временной основе 1 января 2017</w:t>
            </w:r>
            <w:r w:rsidR="00A20F00" w:rsidRPr="00A20F00">
              <w:rPr>
                <w:color w:val="000000"/>
              </w:rPr>
              <w:t> </w:t>
            </w:r>
            <w:r w:rsidRPr="00A20F00">
              <w:rPr>
                <w:color w:val="000000"/>
              </w:rPr>
              <w:t>года</w:t>
            </w:r>
            <w:r w:rsidR="00654320" w:rsidRPr="00A20F00">
              <w:rPr>
                <w:rFonts w:eastAsia="Times New Roman"/>
              </w:rPr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A90022" w:rsidP="00501C41">
            <w:pPr>
              <w:pStyle w:val="Tabletext"/>
            </w:pPr>
            <w:r w:rsidRPr="00A20F00">
              <w:t>Отчеты о</w:t>
            </w:r>
            <w:r w:rsidR="00654320" w:rsidRPr="00A20F00">
              <w:t xml:space="preserve"> </w:t>
            </w:r>
            <w:r w:rsidRPr="00A20F00">
              <w:t>выполнении рекомендаций органов внутреннего и внешнего надзора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A3576D" w:rsidP="00501C41">
            <w:pPr>
              <w:pStyle w:val="Tabletext"/>
            </w:pPr>
            <w:r w:rsidRPr="00A20F00">
              <w:t>ГК</w:t>
            </w:r>
            <w:r w:rsidR="00654320" w:rsidRPr="00A20F00">
              <w:t xml:space="preserve"> </w:t>
            </w:r>
            <w:r w:rsidRPr="00A20F00">
              <w:t>и</w:t>
            </w:r>
            <w:r w:rsidR="00654320" w:rsidRPr="00A20F00">
              <w:t xml:space="preserve"> IMAC </w:t>
            </w:r>
            <w:r w:rsidRPr="00A20F00">
              <w:t>регулярно получают последнюю информацию</w:t>
            </w:r>
            <w:r w:rsidR="00654320" w:rsidRPr="00A20F00">
              <w:t xml:space="preserve"> </w:t>
            </w:r>
            <w:r w:rsidRPr="00A20F00">
              <w:t>о выполнении рекомендаций</w:t>
            </w:r>
            <w:r w:rsidR="00654320" w:rsidRPr="00A20F00">
              <w:t xml:space="preserve"> </w:t>
            </w:r>
            <w:r w:rsidRPr="00A20F00">
              <w:t>внутреннего и внешнего аудита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A3576D" w:rsidP="00501C41">
            <w:pPr>
              <w:pStyle w:val="Tabletext"/>
            </w:pPr>
            <w:r w:rsidRPr="00A20F00">
              <w:t>Контроль за выполнением рекомендаций</w:t>
            </w:r>
            <w:r w:rsidR="00654320" w:rsidRPr="00A20F00">
              <w:t xml:space="preserve"> </w:t>
            </w:r>
            <w:r w:rsidRPr="00A20F00">
              <w:t>органов внутреннего и внешнего аудита и надзора</w:t>
            </w:r>
            <w:r w:rsidR="00F5670D" w:rsidRPr="00A20F00">
              <w:t>,</w:t>
            </w:r>
            <w:r w:rsidR="00654320" w:rsidRPr="00A20F00">
              <w:t xml:space="preserve"> </w:t>
            </w:r>
            <w:r w:rsidR="00F5670D" w:rsidRPr="00A20F00">
              <w:t>а также</w:t>
            </w:r>
            <w:r w:rsidR="00654320" w:rsidRPr="00A20F00">
              <w:t xml:space="preserve"> </w:t>
            </w:r>
            <w:r w:rsidR="00F5670D" w:rsidRPr="00A20F00">
              <w:t xml:space="preserve">рекомендаций, сформулированных </w:t>
            </w:r>
            <w:r w:rsidR="0065220A" w:rsidRPr="00A20F00">
              <w:t>по</w:t>
            </w:r>
            <w:r w:rsidR="00F5670D" w:rsidRPr="00A20F00">
              <w:t xml:space="preserve"> результат</w:t>
            </w:r>
            <w:r w:rsidR="0065220A" w:rsidRPr="00A20F00">
              <w:t>ам</w:t>
            </w:r>
            <w:r w:rsidR="00F5670D" w:rsidRPr="00A20F00">
              <w:t xml:space="preserve"> внутренней</w:t>
            </w:r>
            <w:r w:rsidR="00654320" w:rsidRPr="00A20F00">
              <w:t xml:space="preserve">, </w:t>
            </w:r>
            <w:r w:rsidR="00F5670D" w:rsidRPr="00A20F00">
              <w:t>независимой</w:t>
            </w:r>
            <w:r w:rsidR="00654320" w:rsidRPr="00A20F00">
              <w:t xml:space="preserve"> </w:t>
            </w:r>
            <w:r w:rsidR="00F5670D" w:rsidRPr="00A20F00">
              <w:t>и</w:t>
            </w:r>
            <w:r w:rsidR="00654320" w:rsidRPr="00A20F00">
              <w:t xml:space="preserve"> </w:t>
            </w:r>
            <w:r w:rsidR="00F5670D" w:rsidRPr="00A20F00">
              <w:rPr>
                <w:color w:val="000000"/>
              </w:rPr>
              <w:t>самостоятельной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5" w:type="dxa"/>
            <w:shd w:val="clear" w:color="auto" w:fill="auto"/>
          </w:tcPr>
          <w:p w:rsidR="00654320" w:rsidRPr="00A20F00" w:rsidRDefault="00F5670D" w:rsidP="00501C41">
            <w:pPr>
              <w:pStyle w:val="Tabletext"/>
            </w:pPr>
            <w:r w:rsidRPr="00A20F00">
              <w:t>РГС</w:t>
            </w:r>
            <w:r w:rsidR="00654320" w:rsidRPr="00A20F00">
              <w:t>-</w:t>
            </w:r>
            <w:r w:rsidRPr="00A20F00">
              <w:t>ФЛР</w:t>
            </w:r>
            <w:r w:rsidR="00654320" w:rsidRPr="00A20F00">
              <w:t xml:space="preserve"> </w:t>
            </w:r>
            <w:r w:rsidRPr="00A20F00">
              <w:t>внимательно следит и осуществляет надзор за</w:t>
            </w:r>
            <w:r w:rsidR="00654320" w:rsidRPr="00A20F00">
              <w:t xml:space="preserve"> </w:t>
            </w:r>
            <w:r w:rsidRPr="00A20F00">
              <w:t>выполнением всех рекомендаций</w:t>
            </w:r>
            <w:r w:rsidR="00654320" w:rsidRPr="00A20F00">
              <w:t xml:space="preserve"> </w:t>
            </w:r>
            <w:r w:rsidRPr="00A20F00">
              <w:t>внешних аудиторов</w:t>
            </w:r>
            <w:r w:rsidR="00654320" w:rsidRPr="00A20F00">
              <w:t xml:space="preserve"> </w:t>
            </w:r>
            <w:r w:rsidRPr="00A20F00">
              <w:t>и</w:t>
            </w:r>
            <w:r w:rsidR="00654320" w:rsidRPr="00A20F00">
              <w:t xml:space="preserve"> IMAC</w:t>
            </w:r>
            <w:r w:rsidRPr="00A20F00">
              <w:t>.</w:t>
            </w:r>
            <w:r w:rsidR="00654320" w:rsidRPr="00A20F00">
              <w:t xml:space="preserve"> </w:t>
            </w:r>
          </w:p>
        </w:tc>
      </w:tr>
    </w:tbl>
    <w:p w:rsidR="00654320" w:rsidRPr="00A20F00" w:rsidRDefault="000D1CC8" w:rsidP="00501C41">
      <w:pPr>
        <w:pStyle w:val="Headingb"/>
        <w:spacing w:after="120"/>
      </w:pPr>
      <w:r w:rsidRPr="00A20F00">
        <w:t>Показатель</w:t>
      </w:r>
      <w:r w:rsidR="00654320" w:rsidRPr="00A20F00">
        <w:t xml:space="preserve"> 3</w:t>
      </w: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1559"/>
        <w:gridCol w:w="5954"/>
      </w:tblGrid>
      <w:tr w:rsidR="000D1CC8" w:rsidRPr="00A20F00" w:rsidTr="00501C41">
        <w:trPr>
          <w:cantSplit/>
          <w:tblHeader/>
        </w:trPr>
        <w:tc>
          <w:tcPr>
            <w:tcW w:w="3402" w:type="dxa"/>
            <w:shd w:val="clear" w:color="auto" w:fill="B8CCE4" w:themeFill="accent1" w:themeFillTint="66"/>
          </w:tcPr>
          <w:p w:rsidR="000D1CC8" w:rsidRPr="00A20F00" w:rsidRDefault="000D1CC8" w:rsidP="00501C41">
            <w:pPr>
              <w:pStyle w:val="Tablehead"/>
            </w:pPr>
            <w:r w:rsidRPr="00A20F00">
              <w:t>Показатель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0D1CC8" w:rsidRPr="00A20F00" w:rsidRDefault="000D1CC8" w:rsidP="00501C41">
            <w:pPr>
              <w:pStyle w:val="Tablehead"/>
            </w:pPr>
            <w:r w:rsidRPr="00A20F00">
              <w:t>Инструменты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0D1CC8" w:rsidRPr="00A20F00" w:rsidRDefault="000D1CC8" w:rsidP="00501C41">
            <w:pPr>
              <w:pStyle w:val="Tablehead"/>
            </w:pPr>
            <w:r w:rsidRPr="00A20F00">
              <w:t>Состояние</w:t>
            </w:r>
          </w:p>
        </w:tc>
        <w:tc>
          <w:tcPr>
            <w:tcW w:w="5954" w:type="dxa"/>
            <w:shd w:val="clear" w:color="auto" w:fill="B8CCE4" w:themeFill="accent1" w:themeFillTint="66"/>
          </w:tcPr>
          <w:p w:rsidR="000D1CC8" w:rsidRPr="00A20F00" w:rsidRDefault="000D1CC8" w:rsidP="00501C41">
            <w:pPr>
              <w:pStyle w:val="Tablehead"/>
            </w:pPr>
            <w:r w:rsidRPr="00A20F00">
              <w:t>Комментарий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  <w:shd w:val="clear" w:color="auto" w:fill="FFFFFF" w:themeFill="background1"/>
          </w:tcPr>
          <w:p w:rsidR="00654320" w:rsidRPr="00A20F00" w:rsidRDefault="00501C41" w:rsidP="00501C41">
            <w:pPr>
              <w:pStyle w:val="Tabletext"/>
            </w:pPr>
            <w:r w:rsidRPr="00A20F00">
              <w:t>16</w:t>
            </w:r>
            <w:r w:rsidRPr="00A20F00">
              <w:tab/>
            </w:r>
            <w:r w:rsidR="00F5670D" w:rsidRPr="00A20F00">
              <w:t xml:space="preserve">Сотрудники имеют доступ к </w:t>
            </w:r>
            <w:r w:rsidR="001E21F9" w:rsidRPr="00A20F00">
              <w:t>не</w:t>
            </w:r>
            <w:r w:rsidR="00886B54" w:rsidRPr="00A20F00">
              <w:t>официальным</w:t>
            </w:r>
            <w:r w:rsidR="001E21F9" w:rsidRPr="00A20F00">
              <w:t xml:space="preserve"> </w:t>
            </w:r>
            <w:r w:rsidR="00F5670D" w:rsidRPr="00A20F00">
              <w:t>механизмам</w:t>
            </w:r>
            <w:r w:rsidR="00654320" w:rsidRPr="00A20F00">
              <w:t xml:space="preserve"> </w:t>
            </w:r>
            <w:r w:rsidR="00F5670D" w:rsidRPr="00A20F00">
              <w:t>подачи жалоб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0F06E5" w:rsidP="00501C41">
            <w:pPr>
              <w:pStyle w:val="Tabletext"/>
            </w:pPr>
            <w:r w:rsidRPr="00A20F00">
              <w:t>Н</w:t>
            </w:r>
            <w:r w:rsidR="00886B54" w:rsidRPr="00A20F00">
              <w:t>еофициальные</w:t>
            </w:r>
            <w:r w:rsidR="001E21F9" w:rsidRPr="00A20F00">
              <w:t xml:space="preserve"> п</w:t>
            </w:r>
            <w:r w:rsidR="00F5670D" w:rsidRPr="00A20F00">
              <w:t>роцедуры</w:t>
            </w:r>
            <w:r w:rsidR="00654320" w:rsidRPr="00A20F00">
              <w:t xml:space="preserve"> </w:t>
            </w:r>
            <w:r w:rsidR="001E21F9" w:rsidRPr="00A20F00">
              <w:t>подачи жалоб</w:t>
            </w:r>
            <w:r w:rsidR="00654320" w:rsidRPr="00A20F00">
              <w:t>/</w:t>
            </w:r>
            <w:r w:rsidR="001E21F9" w:rsidRPr="00A20F00">
              <w:t>оспаривания</w:t>
            </w:r>
            <w:r w:rsidR="00654320" w:rsidRPr="00A20F00">
              <w:t xml:space="preserve"> </w:t>
            </w:r>
            <w:r w:rsidR="001E21F9" w:rsidRPr="00A20F00">
              <w:t>изложены в</w:t>
            </w:r>
            <w:r w:rsidR="00654320" w:rsidRPr="00A20F00">
              <w:t xml:space="preserve"> </w:t>
            </w:r>
            <w:r w:rsidR="001E21F9" w:rsidRPr="00A20F00">
              <w:t>документе о политике и</w:t>
            </w:r>
            <w:r w:rsidR="00654320" w:rsidRPr="00A20F00">
              <w:t xml:space="preserve"> </w:t>
            </w:r>
            <w:r w:rsidR="001E21F9" w:rsidRPr="00A20F00">
              <w:t>в</w:t>
            </w:r>
            <w:r w:rsidR="00654320" w:rsidRPr="00A20F00">
              <w:t xml:space="preserve"> </w:t>
            </w:r>
            <w:r w:rsidR="001E21F9" w:rsidRPr="00A20F00">
              <w:t>справочнике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Не применимо</w:t>
            </w:r>
          </w:p>
        </w:tc>
        <w:tc>
          <w:tcPr>
            <w:tcW w:w="5954" w:type="dxa"/>
            <w:shd w:val="clear" w:color="auto" w:fill="auto"/>
          </w:tcPr>
          <w:p w:rsidR="00654320" w:rsidRPr="00A20F00" w:rsidRDefault="001E21F9" w:rsidP="00501C41">
            <w:pPr>
              <w:pStyle w:val="Tabletext"/>
              <w:rPr>
                <w:b/>
                <w:bCs/>
              </w:rPr>
            </w:pPr>
            <w:r w:rsidRPr="00A20F00">
              <w:t>Каждая процедура включена в</w:t>
            </w:r>
            <w:r w:rsidR="00654320" w:rsidRPr="00A20F00">
              <w:t xml:space="preserve"> </w:t>
            </w:r>
            <w:r w:rsidRPr="00A20F00">
              <w:t xml:space="preserve">соответствующий </w:t>
            </w:r>
            <w:r w:rsidR="00790257" w:rsidRPr="00A20F00">
              <w:t xml:space="preserve">служебный </w:t>
            </w:r>
            <w:r w:rsidRPr="00A20F00">
              <w:t>приказ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1E21F9" w:rsidP="00501C41">
            <w:pPr>
              <w:pStyle w:val="Tabletext"/>
            </w:pPr>
            <w:r w:rsidRPr="00A20F00">
              <w:t>Существует функция посредника</w:t>
            </w:r>
            <w:r w:rsidR="00654320" w:rsidRPr="00A20F00">
              <w:t xml:space="preserve"> </w:t>
            </w:r>
            <w:r w:rsidRPr="00A20F00">
              <w:t>или</w:t>
            </w:r>
            <w:r w:rsidR="00654320" w:rsidRPr="00A20F00">
              <w:t xml:space="preserve"> </w:t>
            </w:r>
            <w:r w:rsidRPr="00A20F00">
              <w:t>медиатора</w:t>
            </w:r>
            <w:r w:rsidR="00654320" w:rsidRPr="00A20F00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shd w:val="clear" w:color="auto" w:fill="auto"/>
          </w:tcPr>
          <w:p w:rsidR="00654320" w:rsidRPr="00A20F00" w:rsidRDefault="00654320" w:rsidP="00501C41">
            <w:pPr>
              <w:pStyle w:val="Tabletext"/>
            </w:pP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 w:val="restart"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  <w:r w:rsidRPr="00A20F00">
              <w:lastRenderedPageBreak/>
              <w:t>17</w:t>
            </w:r>
            <w:r w:rsidR="00501C41" w:rsidRPr="00A20F00">
              <w:tab/>
            </w:r>
            <w:r w:rsidR="00886B54" w:rsidRPr="00A20F00">
              <w:t>Сотрудники</w:t>
            </w:r>
            <w:r w:rsidRPr="00A20F00">
              <w:t xml:space="preserve">, </w:t>
            </w:r>
            <w:r w:rsidR="00886B54" w:rsidRPr="00A20F00">
              <w:t>консультанты</w:t>
            </w:r>
            <w:r w:rsidRPr="00A20F00">
              <w:t xml:space="preserve">, </w:t>
            </w:r>
            <w:r w:rsidR="00886B54" w:rsidRPr="00A20F00">
              <w:t>внештатные работники</w:t>
            </w:r>
            <w:r w:rsidRPr="00A20F00">
              <w:t xml:space="preserve">, </w:t>
            </w:r>
            <w:r w:rsidR="00886B54" w:rsidRPr="00A20F00">
              <w:t>заинтересованные стороны</w:t>
            </w:r>
            <w:r w:rsidRPr="00A20F00">
              <w:t>/</w:t>
            </w:r>
            <w:r w:rsidR="00886B54" w:rsidRPr="00A20F00">
              <w:t>бенефициары</w:t>
            </w:r>
            <w:r w:rsidRPr="00A20F00">
              <w:t xml:space="preserve"> </w:t>
            </w:r>
            <w:r w:rsidR="00886B54" w:rsidRPr="00A20F00">
              <w:t>и</w:t>
            </w:r>
            <w:r w:rsidRPr="00A20F00">
              <w:t xml:space="preserve"> </w:t>
            </w:r>
            <w:r w:rsidR="00886B54" w:rsidRPr="00A20F00">
              <w:t>поставщики</w:t>
            </w:r>
            <w:r w:rsidRPr="00A20F00">
              <w:t xml:space="preserve"> </w:t>
            </w:r>
            <w:r w:rsidR="00886B54" w:rsidRPr="00A20F00">
              <w:t>имеют доступ к</w:t>
            </w:r>
            <w:r w:rsidRPr="00A20F00">
              <w:t xml:space="preserve"> </w:t>
            </w:r>
            <w:r w:rsidR="00886B54" w:rsidRPr="00A20F00">
              <w:t>официальным механизмам</w:t>
            </w:r>
            <w:r w:rsidRPr="00A20F00">
              <w:t xml:space="preserve"> </w:t>
            </w:r>
            <w:r w:rsidR="00886B54" w:rsidRPr="00A20F00">
              <w:t>п</w:t>
            </w:r>
            <w:r w:rsidR="0065220A" w:rsidRPr="00A20F00">
              <w:t>одачи жалоб, а</w:t>
            </w:r>
            <w:r w:rsidR="00886B54" w:rsidRPr="00A20F00">
              <w:t xml:space="preserve"> организации имеют</w:t>
            </w:r>
            <w:r w:rsidRPr="00A20F00">
              <w:t xml:space="preserve"> </w:t>
            </w:r>
            <w:r w:rsidR="00886B54" w:rsidRPr="00A20F00">
              <w:t>механизмы</w:t>
            </w:r>
            <w:r w:rsidRPr="00A20F00">
              <w:t xml:space="preserve"> </w:t>
            </w:r>
            <w:r w:rsidR="00886B54" w:rsidRPr="00A20F00">
              <w:t>реагирования на эти жалобы</w:t>
            </w: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886B54" w:rsidP="00501C41">
            <w:pPr>
              <w:pStyle w:val="Tabletext"/>
            </w:pPr>
            <w:r w:rsidRPr="00A20F00">
              <w:t>Функция расследования</w:t>
            </w:r>
            <w:r w:rsidR="00654320" w:rsidRPr="00A20F00">
              <w:t xml:space="preserve">, </w:t>
            </w:r>
            <w:r w:rsidRPr="00A20F00">
              <w:t>телефон экстренной связи</w:t>
            </w:r>
            <w:r w:rsidR="00654320" w:rsidRPr="00A20F00">
              <w:t xml:space="preserve">, </w:t>
            </w:r>
            <w:r w:rsidRPr="00A20F00">
              <w:t>формуляры жалоб</w:t>
            </w:r>
            <w:r w:rsidR="00654320" w:rsidRPr="00A20F00">
              <w:t xml:space="preserve"> </w:t>
            </w:r>
            <w:r w:rsidR="00501C41" w:rsidRPr="00A20F00">
              <w:t>и </w:t>
            </w:r>
            <w:r w:rsidRPr="00A20F00">
              <w:t>т</w:t>
            </w:r>
            <w:r w:rsidR="00654320" w:rsidRPr="00A20F00">
              <w:t>.</w:t>
            </w:r>
            <w:r w:rsidR="00501C41" w:rsidRPr="00A20F00">
              <w:t> </w:t>
            </w:r>
            <w:r w:rsidRPr="00A20F00">
              <w:t>д.</w:t>
            </w:r>
            <w:r w:rsidR="00654320" w:rsidRPr="00A20F00">
              <w:t xml:space="preserve"> </w:t>
            </w:r>
            <w:r w:rsidRPr="00A20F00">
              <w:t>для персонала и внешних сотрудников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shd w:val="clear" w:color="auto" w:fill="auto"/>
          </w:tcPr>
          <w:p w:rsidR="00654320" w:rsidRPr="00A20F00" w:rsidRDefault="00886B54" w:rsidP="00501C41">
            <w:pPr>
              <w:pStyle w:val="Tabletext"/>
            </w:pPr>
            <w:r w:rsidRPr="00A20F00">
              <w:t>Консультанты и внештатные работники имеют доступ к</w:t>
            </w:r>
            <w:r w:rsidR="00654320" w:rsidRPr="00A20F00">
              <w:t xml:space="preserve"> </w:t>
            </w:r>
            <w:r w:rsidRPr="00A20F00">
              <w:t>А</w:t>
            </w:r>
            <w:r w:rsidR="006C7FB4" w:rsidRPr="00A20F00">
              <w:t>дминистративному трибуналу</w:t>
            </w:r>
            <w:r w:rsidRPr="00A20F00">
              <w:t xml:space="preserve"> </w:t>
            </w:r>
            <w:r w:rsidR="0065220A" w:rsidRPr="00A20F00">
              <w:t>МОТ</w:t>
            </w:r>
            <w:r w:rsidR="00654320" w:rsidRPr="00A20F00">
              <w:t xml:space="preserve"> </w:t>
            </w:r>
            <w:r w:rsidRPr="00A20F00">
              <w:t>и</w:t>
            </w:r>
            <w:r w:rsidR="00654320" w:rsidRPr="00A20F00">
              <w:t xml:space="preserve"> </w:t>
            </w:r>
            <w:r w:rsidR="006C7FB4" w:rsidRPr="00A20F00">
              <w:rPr>
                <w:color w:val="000000"/>
              </w:rPr>
              <w:t>Апелляционному трибуналу ООН</w:t>
            </w:r>
            <w:r w:rsidR="00654320" w:rsidRPr="00A20F00">
              <w:t xml:space="preserve">. </w:t>
            </w:r>
            <w:r w:rsidR="006C7FB4" w:rsidRPr="00A20F00">
              <w:t xml:space="preserve">Контракты </w:t>
            </w:r>
            <w:r w:rsidR="00654320" w:rsidRPr="00A20F00">
              <w:t xml:space="preserve">SSA </w:t>
            </w:r>
            <w:r w:rsidR="006C7FB4" w:rsidRPr="00A20F00">
              <w:t>включают положение, касающееся неформального разрешения споров и</w:t>
            </w:r>
            <w:r w:rsidR="00654320" w:rsidRPr="00A20F00">
              <w:t xml:space="preserve"> </w:t>
            </w:r>
            <w:r w:rsidR="006C7FB4" w:rsidRPr="00A20F00">
              <w:t>обращения в арбитраж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6C7FB4" w:rsidP="00501C41">
            <w:pPr>
              <w:pStyle w:val="Tabletext"/>
            </w:pPr>
            <w:r w:rsidRPr="00A20F00">
              <w:t>Механизмы подачи жалоб</w:t>
            </w:r>
            <w:r w:rsidR="00654320" w:rsidRPr="00A20F00">
              <w:t xml:space="preserve">: </w:t>
            </w:r>
            <w:r w:rsidRPr="00A20F00">
              <w:t xml:space="preserve">рассмотрение споров в </w:t>
            </w:r>
            <w:r w:rsidR="000F06E5" w:rsidRPr="00A20F00">
              <w:t xml:space="preserve">Административных трибуналах </w:t>
            </w:r>
            <w:r w:rsidRPr="00A20F00">
              <w:t>Организации Объединенных Наций</w:t>
            </w:r>
            <w:r w:rsidR="00654320" w:rsidRPr="00A20F00">
              <w:t xml:space="preserve"> </w:t>
            </w:r>
            <w:r w:rsidR="000F06E5" w:rsidRPr="00A20F00">
              <w:t>и МОТ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4320" w:rsidRPr="00A20F00" w:rsidRDefault="00654320" w:rsidP="00501C41">
            <w:pPr>
              <w:pStyle w:val="Tabletext"/>
              <w:jc w:val="center"/>
            </w:pPr>
            <w:r w:rsidRPr="00A20F00">
              <w:sym w:font="Wingdings" w:char="F0FC"/>
            </w:r>
          </w:p>
        </w:tc>
        <w:tc>
          <w:tcPr>
            <w:tcW w:w="5954" w:type="dxa"/>
            <w:shd w:val="clear" w:color="auto" w:fill="auto"/>
          </w:tcPr>
          <w:p w:rsidR="00654320" w:rsidRPr="00A20F00" w:rsidRDefault="003232BD" w:rsidP="00A20F00">
            <w:pPr>
              <w:pStyle w:val="Tabletext"/>
            </w:pPr>
            <w:r w:rsidRPr="00A20F00">
              <w:t>Доступны для</w:t>
            </w:r>
            <w:r w:rsidR="00654320" w:rsidRPr="00A20F00">
              <w:t xml:space="preserve"> </w:t>
            </w:r>
            <w:r w:rsidRPr="00A20F00">
              <w:t>штатных сотрудников</w:t>
            </w:r>
            <w:r w:rsidR="00654320" w:rsidRPr="00A20F00">
              <w:t xml:space="preserve"> </w:t>
            </w:r>
            <w:r w:rsidRPr="00A20F00">
              <w:t>и</w:t>
            </w:r>
            <w:r w:rsidR="00654320" w:rsidRPr="00A20F00">
              <w:t xml:space="preserve"> </w:t>
            </w:r>
            <w:r w:rsidRPr="00A20F00">
              <w:t xml:space="preserve">сотрудников, </w:t>
            </w:r>
            <w:r w:rsidRPr="00A20F00">
              <w:rPr>
                <w:color w:val="000000"/>
              </w:rPr>
              <w:t>работающих по краткосрочным контрактам</w:t>
            </w:r>
            <w:r w:rsidR="00654320" w:rsidRPr="00A20F00">
              <w:t xml:space="preserve">, </w:t>
            </w:r>
            <w:r w:rsidRPr="00A20F00">
              <w:t xml:space="preserve">а арбитраж </w:t>
            </w:r>
            <w:r w:rsidR="00A20F00" w:rsidRPr="00A20F00">
              <w:t>−</w:t>
            </w:r>
            <w:r w:rsidR="00654320" w:rsidRPr="00A20F00">
              <w:t xml:space="preserve"> </w:t>
            </w:r>
            <w:r w:rsidRPr="00A20F00">
              <w:t>для консультантов и внештатных работников</w:t>
            </w:r>
            <w:r w:rsidR="00654320" w:rsidRPr="00A20F00">
              <w:t>.</w:t>
            </w:r>
          </w:p>
        </w:tc>
      </w:tr>
      <w:tr w:rsidR="00654320" w:rsidRPr="00A20F00" w:rsidTr="00501C41">
        <w:trPr>
          <w:cantSplit/>
        </w:trPr>
        <w:tc>
          <w:tcPr>
            <w:tcW w:w="3402" w:type="dxa"/>
            <w:vMerge/>
            <w:shd w:val="clear" w:color="auto" w:fill="FFFFFF" w:themeFill="background1"/>
          </w:tcPr>
          <w:p w:rsidR="00654320" w:rsidRPr="00A20F00" w:rsidRDefault="00654320" w:rsidP="00501C41">
            <w:pPr>
              <w:pStyle w:val="Tabletext"/>
            </w:pPr>
          </w:p>
        </w:tc>
        <w:tc>
          <w:tcPr>
            <w:tcW w:w="3686" w:type="dxa"/>
            <w:shd w:val="clear" w:color="auto" w:fill="FFFFFF" w:themeFill="background1"/>
          </w:tcPr>
          <w:p w:rsidR="00654320" w:rsidRPr="00A20F00" w:rsidRDefault="000F06E5" w:rsidP="00501C41">
            <w:pPr>
              <w:pStyle w:val="Tabletext"/>
            </w:pPr>
            <w:r w:rsidRPr="00A20F00">
              <w:t>Проблемы закупок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4320" w:rsidRPr="00A20F00" w:rsidRDefault="004F2D32" w:rsidP="00501C41">
            <w:pPr>
              <w:pStyle w:val="Tabletext"/>
              <w:jc w:val="center"/>
            </w:pPr>
            <w:r w:rsidRPr="00A20F00">
              <w:t>В стадии реализации</w:t>
            </w:r>
          </w:p>
        </w:tc>
        <w:tc>
          <w:tcPr>
            <w:tcW w:w="5954" w:type="dxa"/>
            <w:shd w:val="clear" w:color="auto" w:fill="FFFFFF" w:themeFill="background1"/>
          </w:tcPr>
          <w:p w:rsidR="00654320" w:rsidRPr="00A20F00" w:rsidRDefault="003232BD" w:rsidP="00790257">
            <w:pPr>
              <w:pStyle w:val="Tabletext"/>
            </w:pPr>
            <w:r w:rsidRPr="00A20F00">
              <w:t>МСЭ</w:t>
            </w:r>
            <w:r w:rsidR="00654320" w:rsidRPr="00A20F00">
              <w:t xml:space="preserve"> </w:t>
            </w:r>
            <w:r w:rsidRPr="00A20F00">
              <w:t>обязуется обеспечить, чтобы</w:t>
            </w:r>
            <w:r w:rsidR="00654320" w:rsidRPr="00A20F00">
              <w:t xml:space="preserve"> </w:t>
            </w:r>
            <w:r w:rsidRPr="00A20F00">
              <w:t>закупки товаров и услуг</w:t>
            </w:r>
            <w:r w:rsidR="00654320" w:rsidRPr="00A20F00">
              <w:t xml:space="preserve"> </w:t>
            </w:r>
            <w:r w:rsidRPr="00A20F00">
              <w:t xml:space="preserve">осуществлялись </w:t>
            </w:r>
            <w:r w:rsidRPr="00A20F00">
              <w:rPr>
                <w:color w:val="000000"/>
              </w:rPr>
              <w:t xml:space="preserve">на принципах справедливости, прозрачности </w:t>
            </w:r>
            <w:r w:rsidRPr="00A20F00">
              <w:t>и на основе конкурен</w:t>
            </w:r>
            <w:r w:rsidR="001E7021" w:rsidRPr="00A20F00">
              <w:t>ции</w:t>
            </w:r>
            <w:r w:rsidR="00654320" w:rsidRPr="00A20F00">
              <w:t xml:space="preserve">, </w:t>
            </w:r>
            <w:r w:rsidRPr="00A20F00">
              <w:t>где это уместно,</w:t>
            </w:r>
            <w:r w:rsidR="00654320" w:rsidRPr="00A20F00">
              <w:t xml:space="preserve"> </w:t>
            </w:r>
            <w:r w:rsidR="00790257">
              <w:t>−</w:t>
            </w:r>
            <w:r w:rsidR="001E7021" w:rsidRPr="00A20F00">
              <w:t xml:space="preserve"> </w:t>
            </w:r>
            <w:r w:rsidRPr="00A20F00">
              <w:t>международной</w:t>
            </w:r>
            <w:r w:rsidR="001E7021" w:rsidRPr="00A20F00">
              <w:t>.</w:t>
            </w:r>
            <w:r w:rsidR="00654320" w:rsidRPr="00A20F00">
              <w:t xml:space="preserve"> </w:t>
            </w:r>
            <w:r w:rsidR="001E7021" w:rsidRPr="00A20F00">
              <w:t>Чтобы решить проблемы в области закупок</w:t>
            </w:r>
            <w:r w:rsidR="00654320" w:rsidRPr="00A20F00">
              <w:t xml:space="preserve">, </w:t>
            </w:r>
            <w:r w:rsidR="001E7021" w:rsidRPr="00A20F00">
              <w:t>МСЭ рассматривает вопрос</w:t>
            </w:r>
            <w:r w:rsidR="00654320" w:rsidRPr="00A20F00">
              <w:t xml:space="preserve"> </w:t>
            </w:r>
            <w:r w:rsidR="001E7021" w:rsidRPr="00A20F00">
              <w:t>о внедрении механизма</w:t>
            </w:r>
            <w:r w:rsidR="00654320" w:rsidRPr="00A20F00">
              <w:t xml:space="preserve"> </w:t>
            </w:r>
            <w:r w:rsidR="001E7021" w:rsidRPr="00A20F00">
              <w:t xml:space="preserve">заслушивания </w:t>
            </w:r>
            <w:proofErr w:type="gramStart"/>
            <w:r w:rsidR="001E7021" w:rsidRPr="00A20F00">
              <w:t>отчетов</w:t>
            </w:r>
            <w:proofErr w:type="gramEnd"/>
            <w:r w:rsidR="00654320" w:rsidRPr="00A20F00">
              <w:t xml:space="preserve"> </w:t>
            </w:r>
            <w:r w:rsidR="001E7021" w:rsidRPr="00A20F00">
              <w:t>не добившихся успеха участников торгов</w:t>
            </w:r>
            <w:r w:rsidR="00654320" w:rsidRPr="00A20F00">
              <w:t xml:space="preserve"> </w:t>
            </w:r>
            <w:r w:rsidR="001E7021" w:rsidRPr="00A20F00">
              <w:t>в отношении</w:t>
            </w:r>
            <w:r w:rsidR="00654320" w:rsidRPr="00A20F00">
              <w:t xml:space="preserve"> </w:t>
            </w:r>
            <w:r w:rsidR="0057778D" w:rsidRPr="00A20F00">
              <w:t>предложений</w:t>
            </w:r>
            <w:r w:rsidR="001E7021" w:rsidRPr="00A20F00">
              <w:t xml:space="preserve"> о направлении заявок на </w:t>
            </w:r>
            <w:r w:rsidR="0057778D" w:rsidRPr="00A20F00">
              <w:t>крупные суммы</w:t>
            </w:r>
            <w:r w:rsidR="00654320" w:rsidRPr="00A20F00">
              <w:t>.</w:t>
            </w:r>
          </w:p>
        </w:tc>
      </w:tr>
    </w:tbl>
    <w:p w:rsidR="00A95B82" w:rsidRPr="00A20F00" w:rsidRDefault="00501C41" w:rsidP="00501C41">
      <w:pPr>
        <w:spacing w:before="480"/>
        <w:jc w:val="center"/>
      </w:pPr>
      <w:r w:rsidRPr="00A20F00">
        <w:t>______________</w:t>
      </w:r>
    </w:p>
    <w:sectPr w:rsidR="00A95B82" w:rsidRPr="00A20F00" w:rsidSect="00654320">
      <w:headerReference w:type="default" r:id="rId19"/>
      <w:footerReference w:type="default" r:id="rId20"/>
      <w:headerReference w:type="first" r:id="rId21"/>
      <w:footerReference w:type="first" r:id="rId22"/>
      <w:pgSz w:w="16834" w:h="11907" w:orient="landscape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F9" w:rsidRDefault="001E21F9">
      <w:r>
        <w:separator/>
      </w:r>
    </w:p>
  </w:endnote>
  <w:endnote w:type="continuationSeparator" w:id="0">
    <w:p w:rsidR="001E21F9" w:rsidRDefault="001E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F9" w:rsidRPr="00E63B8E" w:rsidRDefault="00E63B8E" w:rsidP="00501C41">
    <w:pPr>
      <w:pStyle w:val="Footer"/>
      <w:rPr>
        <w:color w:val="D9D9D9" w:themeColor="background1" w:themeShade="D9"/>
        <w:lang w:val="fr-CH"/>
      </w:rPr>
    </w:pPr>
    <w:r w:rsidRPr="00E63B8E">
      <w:rPr>
        <w:color w:val="D9D9D9" w:themeColor="background1" w:themeShade="D9"/>
      </w:rPr>
      <w:fldChar w:fldCharType="begin"/>
    </w:r>
    <w:r w:rsidRPr="00E63B8E">
      <w:rPr>
        <w:color w:val="D9D9D9" w:themeColor="background1" w:themeShade="D9"/>
      </w:rPr>
      <w:instrText xml:space="preserve"> FILENAME \p  \* MERGEFORMAT </w:instrText>
    </w:r>
    <w:r w:rsidRPr="00E63B8E">
      <w:rPr>
        <w:color w:val="D9D9D9" w:themeColor="background1" w:themeShade="D9"/>
      </w:rPr>
      <w:fldChar w:fldCharType="separate"/>
    </w:r>
    <w:r w:rsidR="00501C41" w:rsidRPr="00E63B8E">
      <w:rPr>
        <w:color w:val="D9D9D9" w:themeColor="background1" w:themeShade="D9"/>
        <w:lang w:val="fr-CH"/>
      </w:rPr>
      <w:t>P</w:t>
    </w:r>
    <w:r w:rsidR="00501C41" w:rsidRPr="00E63B8E">
      <w:rPr>
        <w:color w:val="D9D9D9" w:themeColor="background1" w:themeShade="D9"/>
      </w:rPr>
      <w:t>:\RUS\SG\CONSEIL\C17\000\062R.docx</w:t>
    </w:r>
    <w:r w:rsidRPr="00E63B8E">
      <w:rPr>
        <w:color w:val="D9D9D9" w:themeColor="background1" w:themeShade="D9"/>
      </w:rPr>
      <w:fldChar w:fldCharType="end"/>
    </w:r>
    <w:r w:rsidR="00501C41" w:rsidRPr="00E63B8E">
      <w:rPr>
        <w:color w:val="D9D9D9" w:themeColor="background1" w:themeShade="D9"/>
        <w:lang w:val="fr-CH"/>
      </w:rPr>
      <w:t xml:space="preserve"> (</w:t>
    </w:r>
    <w:r w:rsidR="00501C41" w:rsidRPr="00E63B8E">
      <w:rPr>
        <w:color w:val="D9D9D9" w:themeColor="background1" w:themeShade="D9"/>
      </w:rPr>
      <w:t>413124</w:t>
    </w:r>
    <w:r w:rsidR="00501C41" w:rsidRPr="00E63B8E">
      <w:rPr>
        <w:color w:val="D9D9D9" w:themeColor="background1" w:themeShade="D9"/>
        <w:lang w:val="fr-CH"/>
      </w:rPr>
      <w:t>)</w:t>
    </w:r>
    <w:r w:rsidR="00501C41" w:rsidRPr="00E63B8E">
      <w:rPr>
        <w:color w:val="D9D9D9" w:themeColor="background1" w:themeShade="D9"/>
        <w:lang w:val="fr-CH"/>
      </w:rPr>
      <w:tab/>
    </w:r>
    <w:r w:rsidR="00501C41" w:rsidRPr="00E63B8E">
      <w:rPr>
        <w:color w:val="D9D9D9" w:themeColor="background1" w:themeShade="D9"/>
      </w:rPr>
      <w:fldChar w:fldCharType="begin"/>
    </w:r>
    <w:r w:rsidR="00501C41" w:rsidRPr="00E63B8E">
      <w:rPr>
        <w:color w:val="D9D9D9" w:themeColor="background1" w:themeShade="D9"/>
      </w:rPr>
      <w:instrText xml:space="preserve"> SAVEDATE \@ DD.MM.YY </w:instrText>
    </w:r>
    <w:r w:rsidR="00501C41" w:rsidRPr="00E63B8E">
      <w:rPr>
        <w:color w:val="D9D9D9" w:themeColor="background1" w:themeShade="D9"/>
      </w:rPr>
      <w:fldChar w:fldCharType="separate"/>
    </w:r>
    <w:r w:rsidRPr="00E63B8E">
      <w:rPr>
        <w:color w:val="D9D9D9" w:themeColor="background1" w:themeShade="D9"/>
      </w:rPr>
      <w:t>20.04.17</w:t>
    </w:r>
    <w:r w:rsidR="00501C41" w:rsidRPr="00E63B8E">
      <w:rPr>
        <w:color w:val="D9D9D9" w:themeColor="background1" w:themeShade="D9"/>
      </w:rPr>
      <w:fldChar w:fldCharType="end"/>
    </w:r>
    <w:r w:rsidR="00501C41" w:rsidRPr="00E63B8E">
      <w:rPr>
        <w:color w:val="D9D9D9" w:themeColor="background1" w:themeShade="D9"/>
        <w:lang w:val="fr-CH"/>
      </w:rPr>
      <w:tab/>
    </w:r>
    <w:r w:rsidR="00501C41" w:rsidRPr="00E63B8E">
      <w:rPr>
        <w:color w:val="D9D9D9" w:themeColor="background1" w:themeShade="D9"/>
      </w:rPr>
      <w:fldChar w:fldCharType="begin"/>
    </w:r>
    <w:r w:rsidR="00501C41" w:rsidRPr="00E63B8E">
      <w:rPr>
        <w:color w:val="D9D9D9" w:themeColor="background1" w:themeShade="D9"/>
      </w:rPr>
      <w:instrText xml:space="preserve"> PRINTDATE \@ DD.MM.YY </w:instrText>
    </w:r>
    <w:r w:rsidR="00501C41" w:rsidRPr="00E63B8E">
      <w:rPr>
        <w:color w:val="D9D9D9" w:themeColor="background1" w:themeShade="D9"/>
      </w:rPr>
      <w:fldChar w:fldCharType="separate"/>
    </w:r>
    <w:r w:rsidR="00501C41" w:rsidRPr="00E63B8E">
      <w:rPr>
        <w:color w:val="D9D9D9" w:themeColor="background1" w:themeShade="D9"/>
      </w:rPr>
      <w:t>15.03.17</w:t>
    </w:r>
    <w:r w:rsidR="00501C41" w:rsidRPr="00E63B8E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41" w:rsidRDefault="00501C41" w:rsidP="00501C4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01C41" w:rsidRPr="00E63B8E" w:rsidRDefault="00E63B8E" w:rsidP="00501C41">
    <w:pPr>
      <w:pStyle w:val="Footer"/>
      <w:rPr>
        <w:color w:val="D9D9D9" w:themeColor="background1" w:themeShade="D9"/>
        <w:lang w:val="fr-CH"/>
      </w:rPr>
    </w:pPr>
    <w:r w:rsidRPr="00E63B8E">
      <w:rPr>
        <w:color w:val="D9D9D9" w:themeColor="background1" w:themeShade="D9"/>
      </w:rPr>
      <w:fldChar w:fldCharType="begin"/>
    </w:r>
    <w:r w:rsidRPr="00E63B8E">
      <w:rPr>
        <w:color w:val="D9D9D9" w:themeColor="background1" w:themeShade="D9"/>
      </w:rPr>
      <w:instrText xml:space="preserve"> FILENAME \p  \* MERGEFORMAT </w:instrText>
    </w:r>
    <w:r w:rsidRPr="00E63B8E">
      <w:rPr>
        <w:color w:val="D9D9D9" w:themeColor="background1" w:themeShade="D9"/>
      </w:rPr>
      <w:fldChar w:fldCharType="separate"/>
    </w:r>
    <w:r w:rsidR="00501C41" w:rsidRPr="00E63B8E">
      <w:rPr>
        <w:color w:val="D9D9D9" w:themeColor="background1" w:themeShade="D9"/>
        <w:lang w:val="fr-CH"/>
      </w:rPr>
      <w:t>P</w:t>
    </w:r>
    <w:r w:rsidR="00501C41" w:rsidRPr="00E63B8E">
      <w:rPr>
        <w:color w:val="D9D9D9" w:themeColor="background1" w:themeShade="D9"/>
      </w:rPr>
      <w:t>:\RUS\SG\CONSEIL\C17\000\062R.docx</w:t>
    </w:r>
    <w:r w:rsidRPr="00E63B8E">
      <w:rPr>
        <w:color w:val="D9D9D9" w:themeColor="background1" w:themeShade="D9"/>
      </w:rPr>
      <w:fldChar w:fldCharType="end"/>
    </w:r>
    <w:r w:rsidR="00501C41" w:rsidRPr="00E63B8E">
      <w:rPr>
        <w:color w:val="D9D9D9" w:themeColor="background1" w:themeShade="D9"/>
        <w:lang w:val="fr-CH"/>
      </w:rPr>
      <w:t xml:space="preserve"> (</w:t>
    </w:r>
    <w:r w:rsidR="00501C41" w:rsidRPr="00E63B8E">
      <w:rPr>
        <w:color w:val="D9D9D9" w:themeColor="background1" w:themeShade="D9"/>
      </w:rPr>
      <w:t>413124</w:t>
    </w:r>
    <w:r w:rsidR="00501C41" w:rsidRPr="00E63B8E">
      <w:rPr>
        <w:color w:val="D9D9D9" w:themeColor="background1" w:themeShade="D9"/>
        <w:lang w:val="fr-CH"/>
      </w:rPr>
      <w:t>)</w:t>
    </w:r>
    <w:r w:rsidR="00501C41" w:rsidRPr="00E63B8E">
      <w:rPr>
        <w:color w:val="D9D9D9" w:themeColor="background1" w:themeShade="D9"/>
        <w:lang w:val="fr-CH"/>
      </w:rPr>
      <w:tab/>
    </w:r>
    <w:r w:rsidR="00501C41" w:rsidRPr="00E63B8E">
      <w:rPr>
        <w:color w:val="D9D9D9" w:themeColor="background1" w:themeShade="D9"/>
      </w:rPr>
      <w:fldChar w:fldCharType="begin"/>
    </w:r>
    <w:r w:rsidR="00501C41" w:rsidRPr="00E63B8E">
      <w:rPr>
        <w:color w:val="D9D9D9" w:themeColor="background1" w:themeShade="D9"/>
      </w:rPr>
      <w:instrText xml:space="preserve"> SAVEDATE \@ DD.MM.YY </w:instrText>
    </w:r>
    <w:r w:rsidR="00501C41" w:rsidRPr="00E63B8E">
      <w:rPr>
        <w:color w:val="D9D9D9" w:themeColor="background1" w:themeShade="D9"/>
      </w:rPr>
      <w:fldChar w:fldCharType="separate"/>
    </w:r>
    <w:r w:rsidRPr="00E63B8E">
      <w:rPr>
        <w:color w:val="D9D9D9" w:themeColor="background1" w:themeShade="D9"/>
      </w:rPr>
      <w:t>20.04.17</w:t>
    </w:r>
    <w:r w:rsidR="00501C41" w:rsidRPr="00E63B8E">
      <w:rPr>
        <w:color w:val="D9D9D9" w:themeColor="background1" w:themeShade="D9"/>
      </w:rPr>
      <w:fldChar w:fldCharType="end"/>
    </w:r>
    <w:r w:rsidR="00501C41" w:rsidRPr="00E63B8E">
      <w:rPr>
        <w:color w:val="D9D9D9" w:themeColor="background1" w:themeShade="D9"/>
        <w:lang w:val="fr-CH"/>
      </w:rPr>
      <w:tab/>
    </w:r>
    <w:r w:rsidR="00501C41" w:rsidRPr="00E63B8E">
      <w:rPr>
        <w:color w:val="D9D9D9" w:themeColor="background1" w:themeShade="D9"/>
      </w:rPr>
      <w:fldChar w:fldCharType="begin"/>
    </w:r>
    <w:r w:rsidR="00501C41" w:rsidRPr="00E63B8E">
      <w:rPr>
        <w:color w:val="D9D9D9" w:themeColor="background1" w:themeShade="D9"/>
      </w:rPr>
      <w:instrText xml:space="preserve"> PRINTDATE \@ DD.MM.YY </w:instrText>
    </w:r>
    <w:r w:rsidR="00501C41" w:rsidRPr="00E63B8E">
      <w:rPr>
        <w:color w:val="D9D9D9" w:themeColor="background1" w:themeShade="D9"/>
      </w:rPr>
      <w:fldChar w:fldCharType="separate"/>
    </w:r>
    <w:r w:rsidR="00501C41" w:rsidRPr="00E63B8E">
      <w:rPr>
        <w:color w:val="D9D9D9" w:themeColor="background1" w:themeShade="D9"/>
      </w:rPr>
      <w:t>15.03.17</w:t>
    </w:r>
    <w:r w:rsidR="00501C41" w:rsidRPr="00E63B8E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F9" w:rsidRPr="00E63B8E" w:rsidRDefault="00E63B8E" w:rsidP="00501C41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D9D9D9" w:themeColor="background1" w:themeShade="D9"/>
      </w:rPr>
    </w:pPr>
    <w:r w:rsidRPr="00E63B8E">
      <w:rPr>
        <w:color w:val="D9D9D9" w:themeColor="background1" w:themeShade="D9"/>
      </w:rPr>
      <w:fldChar w:fldCharType="begin"/>
    </w:r>
    <w:r w:rsidRPr="00E63B8E">
      <w:rPr>
        <w:color w:val="D9D9D9" w:themeColor="background1" w:themeShade="D9"/>
      </w:rPr>
      <w:instrText xml:space="preserve"> FILENAME \p  \* MERGEFORMAT </w:instrText>
    </w:r>
    <w:r w:rsidRPr="00E63B8E">
      <w:rPr>
        <w:color w:val="D9D9D9" w:themeColor="background1" w:themeShade="D9"/>
      </w:rPr>
      <w:fldChar w:fldCharType="separate"/>
    </w:r>
    <w:r w:rsidR="00501C41" w:rsidRPr="00E63B8E">
      <w:rPr>
        <w:color w:val="D9D9D9" w:themeColor="background1" w:themeShade="D9"/>
      </w:rPr>
      <w:t>P:\RUS\SG\CONSEIL\C17\000\064R.docx</w:t>
    </w:r>
    <w:r w:rsidRPr="00E63B8E">
      <w:rPr>
        <w:color w:val="D9D9D9" w:themeColor="background1" w:themeShade="D9"/>
      </w:rPr>
      <w:fldChar w:fldCharType="end"/>
    </w:r>
    <w:r w:rsidR="00501C41" w:rsidRPr="00E63B8E">
      <w:rPr>
        <w:color w:val="D9D9D9" w:themeColor="background1" w:themeShade="D9"/>
      </w:rPr>
      <w:t xml:space="preserve"> (</w:t>
    </w:r>
    <w:r w:rsidR="00501C41" w:rsidRPr="00E63B8E">
      <w:rPr>
        <w:color w:val="D9D9D9" w:themeColor="background1" w:themeShade="D9"/>
        <w:lang w:val="fr-CH"/>
      </w:rPr>
      <w:t>413124</w:t>
    </w:r>
    <w:r w:rsidR="00501C41" w:rsidRPr="00E63B8E">
      <w:rPr>
        <w:color w:val="D9D9D9" w:themeColor="background1" w:themeShade="D9"/>
      </w:rPr>
      <w:t>)</w:t>
    </w:r>
    <w:r w:rsidR="00501C41" w:rsidRPr="00E63B8E">
      <w:rPr>
        <w:color w:val="D9D9D9" w:themeColor="background1" w:themeShade="D9"/>
      </w:rPr>
      <w:tab/>
    </w:r>
    <w:r w:rsidR="00501C41" w:rsidRPr="00E63B8E">
      <w:rPr>
        <w:color w:val="D9D9D9" w:themeColor="background1" w:themeShade="D9"/>
      </w:rPr>
      <w:fldChar w:fldCharType="begin"/>
    </w:r>
    <w:r w:rsidR="00501C41" w:rsidRPr="00E63B8E">
      <w:rPr>
        <w:color w:val="D9D9D9" w:themeColor="background1" w:themeShade="D9"/>
      </w:rPr>
      <w:instrText xml:space="preserve"> SAVEDATE \@ DD.MM.YY </w:instrText>
    </w:r>
    <w:r w:rsidR="00501C41" w:rsidRPr="00E63B8E">
      <w:rPr>
        <w:color w:val="D9D9D9" w:themeColor="background1" w:themeShade="D9"/>
      </w:rPr>
      <w:fldChar w:fldCharType="separate"/>
    </w:r>
    <w:r w:rsidRPr="00E63B8E">
      <w:rPr>
        <w:color w:val="D9D9D9" w:themeColor="background1" w:themeShade="D9"/>
      </w:rPr>
      <w:t>20.04.17</w:t>
    </w:r>
    <w:r w:rsidR="00501C41" w:rsidRPr="00E63B8E">
      <w:rPr>
        <w:color w:val="D9D9D9" w:themeColor="background1" w:themeShade="D9"/>
      </w:rPr>
      <w:fldChar w:fldCharType="end"/>
    </w:r>
    <w:r w:rsidR="00501C41" w:rsidRPr="00E63B8E">
      <w:rPr>
        <w:color w:val="D9D9D9" w:themeColor="background1" w:themeShade="D9"/>
      </w:rPr>
      <w:tab/>
    </w:r>
    <w:r w:rsidR="00501C41" w:rsidRPr="00E63B8E">
      <w:rPr>
        <w:color w:val="D9D9D9" w:themeColor="background1" w:themeShade="D9"/>
      </w:rPr>
      <w:fldChar w:fldCharType="begin"/>
    </w:r>
    <w:r w:rsidR="00501C41" w:rsidRPr="00E63B8E">
      <w:rPr>
        <w:color w:val="D9D9D9" w:themeColor="background1" w:themeShade="D9"/>
      </w:rPr>
      <w:instrText xml:space="preserve"> PRINTDATE \@ DD.MM.YY </w:instrText>
    </w:r>
    <w:r w:rsidR="00501C41" w:rsidRPr="00E63B8E">
      <w:rPr>
        <w:color w:val="D9D9D9" w:themeColor="background1" w:themeShade="D9"/>
      </w:rPr>
      <w:fldChar w:fldCharType="separate"/>
    </w:r>
    <w:r w:rsidR="00501C41" w:rsidRPr="00E63B8E">
      <w:rPr>
        <w:color w:val="D9D9D9" w:themeColor="background1" w:themeShade="D9"/>
      </w:rPr>
      <w:t>13.04.17</w:t>
    </w:r>
    <w:r w:rsidR="00501C41" w:rsidRPr="00E63B8E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F9" w:rsidRPr="00E63B8E" w:rsidRDefault="00E63B8E" w:rsidP="00501C41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D9D9D9" w:themeColor="background1" w:themeShade="D9"/>
      </w:rPr>
    </w:pPr>
    <w:r w:rsidRPr="00E63B8E">
      <w:rPr>
        <w:color w:val="D9D9D9" w:themeColor="background1" w:themeShade="D9"/>
      </w:rPr>
      <w:fldChar w:fldCharType="begin"/>
    </w:r>
    <w:r w:rsidRPr="00E63B8E">
      <w:rPr>
        <w:color w:val="D9D9D9" w:themeColor="background1" w:themeShade="D9"/>
      </w:rPr>
      <w:instrText xml:space="preserve"> FILENAME \p  \* MERGEFORMAT </w:instrText>
    </w:r>
    <w:r w:rsidRPr="00E63B8E">
      <w:rPr>
        <w:color w:val="D9D9D9" w:themeColor="background1" w:themeShade="D9"/>
      </w:rPr>
      <w:fldChar w:fldCharType="separate"/>
    </w:r>
    <w:r w:rsidR="00501C41" w:rsidRPr="00E63B8E">
      <w:rPr>
        <w:color w:val="D9D9D9" w:themeColor="background1" w:themeShade="D9"/>
      </w:rPr>
      <w:t>P:\RUS\SG\CONSEIL\C17\000\064R.docx</w:t>
    </w:r>
    <w:r w:rsidRPr="00E63B8E">
      <w:rPr>
        <w:color w:val="D9D9D9" w:themeColor="background1" w:themeShade="D9"/>
      </w:rPr>
      <w:fldChar w:fldCharType="end"/>
    </w:r>
    <w:r w:rsidR="001E21F9" w:rsidRPr="00E63B8E">
      <w:rPr>
        <w:color w:val="D9D9D9" w:themeColor="background1" w:themeShade="D9"/>
      </w:rPr>
      <w:t xml:space="preserve"> (</w:t>
    </w:r>
    <w:r w:rsidR="00501C41" w:rsidRPr="00E63B8E">
      <w:rPr>
        <w:color w:val="D9D9D9" w:themeColor="background1" w:themeShade="D9"/>
        <w:lang w:val="fr-CH"/>
      </w:rPr>
      <w:t>413124</w:t>
    </w:r>
    <w:r w:rsidR="001E21F9" w:rsidRPr="00E63B8E">
      <w:rPr>
        <w:color w:val="D9D9D9" w:themeColor="background1" w:themeShade="D9"/>
      </w:rPr>
      <w:t>)</w:t>
    </w:r>
    <w:r w:rsidR="001E21F9" w:rsidRPr="00E63B8E">
      <w:rPr>
        <w:color w:val="D9D9D9" w:themeColor="background1" w:themeShade="D9"/>
      </w:rPr>
      <w:tab/>
    </w:r>
    <w:r w:rsidR="001E21F9" w:rsidRPr="00E63B8E">
      <w:rPr>
        <w:color w:val="D9D9D9" w:themeColor="background1" w:themeShade="D9"/>
      </w:rPr>
      <w:fldChar w:fldCharType="begin"/>
    </w:r>
    <w:r w:rsidR="001E21F9" w:rsidRPr="00E63B8E">
      <w:rPr>
        <w:color w:val="D9D9D9" w:themeColor="background1" w:themeShade="D9"/>
      </w:rPr>
      <w:instrText xml:space="preserve"> SAVEDATE \@ DD.MM.YY </w:instrText>
    </w:r>
    <w:r w:rsidR="001E21F9" w:rsidRPr="00E63B8E">
      <w:rPr>
        <w:color w:val="D9D9D9" w:themeColor="background1" w:themeShade="D9"/>
      </w:rPr>
      <w:fldChar w:fldCharType="separate"/>
    </w:r>
    <w:r w:rsidRPr="00E63B8E">
      <w:rPr>
        <w:color w:val="D9D9D9" w:themeColor="background1" w:themeShade="D9"/>
      </w:rPr>
      <w:t>20.04.17</w:t>
    </w:r>
    <w:r w:rsidR="001E21F9" w:rsidRPr="00E63B8E">
      <w:rPr>
        <w:color w:val="D9D9D9" w:themeColor="background1" w:themeShade="D9"/>
      </w:rPr>
      <w:fldChar w:fldCharType="end"/>
    </w:r>
    <w:r w:rsidR="001E21F9" w:rsidRPr="00E63B8E">
      <w:rPr>
        <w:color w:val="D9D9D9" w:themeColor="background1" w:themeShade="D9"/>
      </w:rPr>
      <w:tab/>
    </w:r>
    <w:r w:rsidR="001E21F9" w:rsidRPr="00E63B8E">
      <w:rPr>
        <w:color w:val="D9D9D9" w:themeColor="background1" w:themeShade="D9"/>
      </w:rPr>
      <w:fldChar w:fldCharType="begin"/>
    </w:r>
    <w:r w:rsidR="001E21F9" w:rsidRPr="00E63B8E">
      <w:rPr>
        <w:color w:val="D9D9D9" w:themeColor="background1" w:themeShade="D9"/>
      </w:rPr>
      <w:instrText xml:space="preserve"> PRINTDATE \@ DD.MM.YY </w:instrText>
    </w:r>
    <w:r w:rsidR="001E21F9" w:rsidRPr="00E63B8E">
      <w:rPr>
        <w:color w:val="D9D9D9" w:themeColor="background1" w:themeShade="D9"/>
      </w:rPr>
      <w:fldChar w:fldCharType="separate"/>
    </w:r>
    <w:r w:rsidR="007F4830" w:rsidRPr="00E63B8E">
      <w:rPr>
        <w:color w:val="D9D9D9" w:themeColor="background1" w:themeShade="D9"/>
      </w:rPr>
      <w:t>13.04.17</w:t>
    </w:r>
    <w:r w:rsidR="001E21F9" w:rsidRPr="00E63B8E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F9" w:rsidRDefault="001E21F9">
      <w:r>
        <w:t>____________________</w:t>
      </w:r>
    </w:p>
  </w:footnote>
  <w:footnote w:type="continuationSeparator" w:id="0">
    <w:p w:rsidR="001E21F9" w:rsidRDefault="001E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F9" w:rsidRPr="00AF2F70" w:rsidRDefault="001E21F9" w:rsidP="00501C41">
    <w:pPr>
      <w:pStyle w:val="Header"/>
      <w:rPr>
        <w:szCs w:val="18"/>
      </w:rPr>
    </w:pPr>
    <w:r w:rsidRPr="00AF2F70">
      <w:rPr>
        <w:szCs w:val="18"/>
      </w:rPr>
      <w:fldChar w:fldCharType="begin"/>
    </w:r>
    <w:r w:rsidRPr="00AF2F70">
      <w:rPr>
        <w:szCs w:val="18"/>
      </w:rPr>
      <w:instrText>PAGE</w:instrText>
    </w:r>
    <w:r w:rsidRPr="00AF2F70">
      <w:rPr>
        <w:szCs w:val="18"/>
      </w:rPr>
      <w:fldChar w:fldCharType="separate"/>
    </w:r>
    <w:r w:rsidR="00E63B8E">
      <w:rPr>
        <w:noProof/>
        <w:szCs w:val="18"/>
      </w:rPr>
      <w:t>2</w:t>
    </w:r>
    <w:r w:rsidRPr="00AF2F70">
      <w:rPr>
        <w:noProof/>
        <w:szCs w:val="18"/>
      </w:rPr>
      <w:fldChar w:fldCharType="end"/>
    </w:r>
    <w:r w:rsidRPr="00AF2F70">
      <w:rPr>
        <w:szCs w:val="18"/>
      </w:rPr>
      <w:t>/</w:t>
    </w:r>
    <w:r w:rsidRPr="00AF2F70">
      <w:rPr>
        <w:szCs w:val="18"/>
      </w:rPr>
      <w:fldChar w:fldCharType="begin"/>
    </w:r>
    <w:r w:rsidRPr="00AF2F70">
      <w:rPr>
        <w:szCs w:val="18"/>
      </w:rPr>
      <w:instrText xml:space="preserve"> NUMPAGES   \* MERGEFORMAT </w:instrText>
    </w:r>
    <w:r w:rsidRPr="00AF2F70">
      <w:rPr>
        <w:szCs w:val="18"/>
      </w:rPr>
      <w:fldChar w:fldCharType="separate"/>
    </w:r>
    <w:r w:rsidR="00E63B8E">
      <w:rPr>
        <w:noProof/>
        <w:szCs w:val="18"/>
      </w:rPr>
      <w:t>10</w:t>
    </w:r>
    <w:r w:rsidRPr="00AF2F70">
      <w:rPr>
        <w:noProof/>
        <w:szCs w:val="18"/>
      </w:rPr>
      <w:fldChar w:fldCharType="end"/>
    </w:r>
    <w:r w:rsidR="00501C41">
      <w:rPr>
        <w:noProof/>
        <w:szCs w:val="18"/>
      </w:rPr>
      <w:br/>
    </w:r>
    <w:r w:rsidR="00501C41">
      <w:rPr>
        <w:szCs w:val="18"/>
      </w:rPr>
      <w:t>C17/64-</w:t>
    </w:r>
    <w:r w:rsidR="00501C41">
      <w:rPr>
        <w:szCs w:val="18"/>
        <w:lang w:val="fr-CH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F9" w:rsidRDefault="001E21F9" w:rsidP="00501C41">
    <w:pPr>
      <w:pStyle w:val="Header"/>
      <w:spacing w:after="240"/>
    </w:pPr>
    <w:r>
      <w:fldChar w:fldCharType="begin"/>
    </w:r>
    <w:r>
      <w:instrText>PAGE</w:instrText>
    </w:r>
    <w:r>
      <w:fldChar w:fldCharType="separate"/>
    </w:r>
    <w:r w:rsidR="00E63B8E">
      <w:rPr>
        <w:noProof/>
      </w:rPr>
      <w:t>10</w:t>
    </w:r>
    <w:r>
      <w:rPr>
        <w:noProof/>
      </w:rPr>
      <w:fldChar w:fldCharType="end"/>
    </w:r>
    <w:r w:rsidR="00501C41">
      <w:rPr>
        <w:noProof/>
      </w:rPr>
      <w:br/>
    </w:r>
    <w:r>
      <w:t>C1</w:t>
    </w:r>
    <w:r>
      <w:rPr>
        <w:lang w:val="ru-RU"/>
      </w:rPr>
      <w:t>7</w:t>
    </w:r>
    <w:r>
      <w:t>/</w:t>
    </w:r>
    <w:r w:rsidR="00501C41">
      <w:rPr>
        <w:lang w:val="en-US"/>
      </w:rPr>
      <w:t>6</w:t>
    </w:r>
    <w:r>
      <w:rPr>
        <w:lang w:val="ru-RU"/>
      </w:rPr>
      <w:t>4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41" w:rsidRPr="00501C41" w:rsidRDefault="00501C41" w:rsidP="00501C41">
    <w:pPr>
      <w:pStyle w:val="Header"/>
      <w:spacing w:after="240"/>
      <w:rPr>
        <w:szCs w:val="18"/>
      </w:rPr>
    </w:pPr>
    <w:r w:rsidRPr="00AF2F70">
      <w:rPr>
        <w:szCs w:val="18"/>
      </w:rPr>
      <w:fldChar w:fldCharType="begin"/>
    </w:r>
    <w:r w:rsidRPr="00AF2F70">
      <w:rPr>
        <w:szCs w:val="18"/>
      </w:rPr>
      <w:instrText>PAGE</w:instrText>
    </w:r>
    <w:r w:rsidRPr="00AF2F70">
      <w:rPr>
        <w:szCs w:val="18"/>
      </w:rPr>
      <w:fldChar w:fldCharType="separate"/>
    </w:r>
    <w:r w:rsidR="00E63B8E">
      <w:rPr>
        <w:noProof/>
        <w:szCs w:val="18"/>
      </w:rPr>
      <w:t>5</w:t>
    </w:r>
    <w:r w:rsidRPr="00AF2F70">
      <w:rPr>
        <w:noProof/>
        <w:szCs w:val="18"/>
      </w:rPr>
      <w:fldChar w:fldCharType="end"/>
    </w:r>
    <w:r w:rsidRPr="00AF2F70">
      <w:rPr>
        <w:szCs w:val="18"/>
      </w:rPr>
      <w:t>/</w:t>
    </w:r>
    <w:r w:rsidRPr="00AF2F70">
      <w:rPr>
        <w:szCs w:val="18"/>
      </w:rPr>
      <w:fldChar w:fldCharType="begin"/>
    </w:r>
    <w:r w:rsidRPr="00AF2F70">
      <w:rPr>
        <w:szCs w:val="18"/>
      </w:rPr>
      <w:instrText xml:space="preserve"> NUMPAGES   \* MERGEFORMAT </w:instrText>
    </w:r>
    <w:r w:rsidRPr="00AF2F70">
      <w:rPr>
        <w:szCs w:val="18"/>
      </w:rPr>
      <w:fldChar w:fldCharType="separate"/>
    </w:r>
    <w:r w:rsidR="00E63B8E">
      <w:rPr>
        <w:noProof/>
        <w:szCs w:val="18"/>
      </w:rPr>
      <w:t>10</w:t>
    </w:r>
    <w:r w:rsidRPr="00AF2F70">
      <w:rPr>
        <w:noProof/>
        <w:szCs w:val="18"/>
      </w:rPr>
      <w:fldChar w:fldCharType="end"/>
    </w:r>
    <w:r>
      <w:rPr>
        <w:noProof/>
        <w:szCs w:val="18"/>
      </w:rPr>
      <w:br/>
    </w:r>
    <w:r>
      <w:rPr>
        <w:szCs w:val="18"/>
      </w:rPr>
      <w:t>C17/64-</w:t>
    </w:r>
    <w:r>
      <w:rPr>
        <w:szCs w:val="18"/>
        <w:lang w:val="fr-CH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1007D"/>
    <w:multiLevelType w:val="hybridMultilevel"/>
    <w:tmpl w:val="413AE45A"/>
    <w:lvl w:ilvl="0" w:tplc="0DC209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16"/>
        <w:lang w:val="ru-RU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32A6"/>
    <w:multiLevelType w:val="hybridMultilevel"/>
    <w:tmpl w:val="B48296B4"/>
    <w:lvl w:ilvl="0" w:tplc="F410A31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252B"/>
    <w:multiLevelType w:val="hybridMultilevel"/>
    <w:tmpl w:val="9C62F7A6"/>
    <w:lvl w:ilvl="0" w:tplc="632AA42A">
      <w:start w:val="1"/>
      <w:numFmt w:val="lowerLetter"/>
      <w:lvlText w:val="%1."/>
      <w:lvlJc w:val="left"/>
      <w:pPr>
        <w:ind w:left="-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74B921EF"/>
    <w:multiLevelType w:val="hybridMultilevel"/>
    <w:tmpl w:val="0974F76C"/>
    <w:lvl w:ilvl="0" w:tplc="F326B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B7FE0"/>
    <w:multiLevelType w:val="hybridMultilevel"/>
    <w:tmpl w:val="A3E87BCA"/>
    <w:lvl w:ilvl="0" w:tplc="59FA21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65D20"/>
    <w:multiLevelType w:val="hybridMultilevel"/>
    <w:tmpl w:val="5F4C497A"/>
    <w:lvl w:ilvl="0" w:tplc="31FCFF3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32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13946"/>
    <w:rsid w:val="0002183E"/>
    <w:rsid w:val="00022420"/>
    <w:rsid w:val="000465EA"/>
    <w:rsid w:val="000569B4"/>
    <w:rsid w:val="00061A57"/>
    <w:rsid w:val="00061F78"/>
    <w:rsid w:val="00065107"/>
    <w:rsid w:val="0007743D"/>
    <w:rsid w:val="00077A0F"/>
    <w:rsid w:val="00080E82"/>
    <w:rsid w:val="00086335"/>
    <w:rsid w:val="0009601F"/>
    <w:rsid w:val="000D1CC8"/>
    <w:rsid w:val="000D57F4"/>
    <w:rsid w:val="000E4D74"/>
    <w:rsid w:val="000E568E"/>
    <w:rsid w:val="000F06E5"/>
    <w:rsid w:val="000F0E9C"/>
    <w:rsid w:val="000F4120"/>
    <w:rsid w:val="000F47E8"/>
    <w:rsid w:val="000F7535"/>
    <w:rsid w:val="0014734F"/>
    <w:rsid w:val="0015710D"/>
    <w:rsid w:val="00163A32"/>
    <w:rsid w:val="001646EB"/>
    <w:rsid w:val="00164C9A"/>
    <w:rsid w:val="001907C7"/>
    <w:rsid w:val="00192B41"/>
    <w:rsid w:val="00195041"/>
    <w:rsid w:val="001A1A8F"/>
    <w:rsid w:val="001B7B09"/>
    <w:rsid w:val="001D24D1"/>
    <w:rsid w:val="001D36B5"/>
    <w:rsid w:val="001D3CF4"/>
    <w:rsid w:val="001E033A"/>
    <w:rsid w:val="001E21F9"/>
    <w:rsid w:val="001E6719"/>
    <w:rsid w:val="001E7021"/>
    <w:rsid w:val="00224907"/>
    <w:rsid w:val="00224C6C"/>
    <w:rsid w:val="00225368"/>
    <w:rsid w:val="00227FF0"/>
    <w:rsid w:val="00244A45"/>
    <w:rsid w:val="002614E2"/>
    <w:rsid w:val="00263871"/>
    <w:rsid w:val="00271F78"/>
    <w:rsid w:val="002840FF"/>
    <w:rsid w:val="00285D30"/>
    <w:rsid w:val="00287978"/>
    <w:rsid w:val="00291EB6"/>
    <w:rsid w:val="00294A5A"/>
    <w:rsid w:val="002B2E4E"/>
    <w:rsid w:val="002D2F57"/>
    <w:rsid w:val="002D48C5"/>
    <w:rsid w:val="002F3EAB"/>
    <w:rsid w:val="002F5951"/>
    <w:rsid w:val="003015A1"/>
    <w:rsid w:val="00311F5A"/>
    <w:rsid w:val="00315394"/>
    <w:rsid w:val="003232BD"/>
    <w:rsid w:val="00324F07"/>
    <w:rsid w:val="00337164"/>
    <w:rsid w:val="003806E2"/>
    <w:rsid w:val="003B16E9"/>
    <w:rsid w:val="003B5527"/>
    <w:rsid w:val="003D3116"/>
    <w:rsid w:val="003F099E"/>
    <w:rsid w:val="003F235E"/>
    <w:rsid w:val="004023E0"/>
    <w:rsid w:val="00403DD8"/>
    <w:rsid w:val="00404945"/>
    <w:rsid w:val="004336B8"/>
    <w:rsid w:val="0043397D"/>
    <w:rsid w:val="00451646"/>
    <w:rsid w:val="0045686C"/>
    <w:rsid w:val="00460E25"/>
    <w:rsid w:val="00462A03"/>
    <w:rsid w:val="004720D4"/>
    <w:rsid w:val="004918C4"/>
    <w:rsid w:val="004A45B5"/>
    <w:rsid w:val="004B072B"/>
    <w:rsid w:val="004D0129"/>
    <w:rsid w:val="004F250D"/>
    <w:rsid w:val="004F2D32"/>
    <w:rsid w:val="004F376F"/>
    <w:rsid w:val="00501C41"/>
    <w:rsid w:val="00511AA4"/>
    <w:rsid w:val="0051577C"/>
    <w:rsid w:val="00520415"/>
    <w:rsid w:val="0052226D"/>
    <w:rsid w:val="00524F3A"/>
    <w:rsid w:val="00540D68"/>
    <w:rsid w:val="00564E81"/>
    <w:rsid w:val="005762FF"/>
    <w:rsid w:val="0057778D"/>
    <w:rsid w:val="0059228E"/>
    <w:rsid w:val="005A2F98"/>
    <w:rsid w:val="005A64D5"/>
    <w:rsid w:val="005C064A"/>
    <w:rsid w:val="005C0676"/>
    <w:rsid w:val="005C2F71"/>
    <w:rsid w:val="005C428B"/>
    <w:rsid w:val="005C7778"/>
    <w:rsid w:val="005D496D"/>
    <w:rsid w:val="005D4A21"/>
    <w:rsid w:val="005E1796"/>
    <w:rsid w:val="005F2185"/>
    <w:rsid w:val="00601994"/>
    <w:rsid w:val="00603453"/>
    <w:rsid w:val="00607E2D"/>
    <w:rsid w:val="00613129"/>
    <w:rsid w:val="0062217D"/>
    <w:rsid w:val="006222C2"/>
    <w:rsid w:val="006335F5"/>
    <w:rsid w:val="0063501C"/>
    <w:rsid w:val="00650217"/>
    <w:rsid w:val="0065220A"/>
    <w:rsid w:val="00654320"/>
    <w:rsid w:val="00667C3D"/>
    <w:rsid w:val="00673FDB"/>
    <w:rsid w:val="00682E1D"/>
    <w:rsid w:val="00684300"/>
    <w:rsid w:val="00686E91"/>
    <w:rsid w:val="00690F6F"/>
    <w:rsid w:val="006A7721"/>
    <w:rsid w:val="006C223A"/>
    <w:rsid w:val="006C7FB4"/>
    <w:rsid w:val="006D4930"/>
    <w:rsid w:val="006E2D42"/>
    <w:rsid w:val="006F0EEE"/>
    <w:rsid w:val="00703676"/>
    <w:rsid w:val="00707304"/>
    <w:rsid w:val="00732269"/>
    <w:rsid w:val="0073791C"/>
    <w:rsid w:val="007467C9"/>
    <w:rsid w:val="00750043"/>
    <w:rsid w:val="00760F34"/>
    <w:rsid w:val="0077267A"/>
    <w:rsid w:val="007740F8"/>
    <w:rsid w:val="007760B9"/>
    <w:rsid w:val="00785ABD"/>
    <w:rsid w:val="00790257"/>
    <w:rsid w:val="00796871"/>
    <w:rsid w:val="00797BAD"/>
    <w:rsid w:val="007A0B3C"/>
    <w:rsid w:val="007A1405"/>
    <w:rsid w:val="007A2DD4"/>
    <w:rsid w:val="007D0CFC"/>
    <w:rsid w:val="007D37E3"/>
    <w:rsid w:val="007D38B5"/>
    <w:rsid w:val="007D38BA"/>
    <w:rsid w:val="007E45DA"/>
    <w:rsid w:val="007E7EA0"/>
    <w:rsid w:val="007F4830"/>
    <w:rsid w:val="007F54F5"/>
    <w:rsid w:val="00807255"/>
    <w:rsid w:val="0081023E"/>
    <w:rsid w:val="00812D3B"/>
    <w:rsid w:val="008173AA"/>
    <w:rsid w:val="0082206A"/>
    <w:rsid w:val="00822436"/>
    <w:rsid w:val="00840A14"/>
    <w:rsid w:val="00847031"/>
    <w:rsid w:val="00850933"/>
    <w:rsid w:val="00854876"/>
    <w:rsid w:val="008634B6"/>
    <w:rsid w:val="008753C1"/>
    <w:rsid w:val="00886B54"/>
    <w:rsid w:val="00887B63"/>
    <w:rsid w:val="008914D9"/>
    <w:rsid w:val="00894A2F"/>
    <w:rsid w:val="008965C9"/>
    <w:rsid w:val="008A28A8"/>
    <w:rsid w:val="008A58CC"/>
    <w:rsid w:val="008B0EBD"/>
    <w:rsid w:val="008B3EA4"/>
    <w:rsid w:val="008B49D9"/>
    <w:rsid w:val="008C6796"/>
    <w:rsid w:val="008D2D7B"/>
    <w:rsid w:val="008D57DE"/>
    <w:rsid w:val="008E0737"/>
    <w:rsid w:val="008E4FD8"/>
    <w:rsid w:val="008E6799"/>
    <w:rsid w:val="008F4422"/>
    <w:rsid w:val="008F7C2C"/>
    <w:rsid w:val="009164BF"/>
    <w:rsid w:val="00922EAD"/>
    <w:rsid w:val="009324B7"/>
    <w:rsid w:val="00937105"/>
    <w:rsid w:val="00940E96"/>
    <w:rsid w:val="0097249A"/>
    <w:rsid w:val="00976521"/>
    <w:rsid w:val="00985C13"/>
    <w:rsid w:val="0099763D"/>
    <w:rsid w:val="009A1FE5"/>
    <w:rsid w:val="009B0BAE"/>
    <w:rsid w:val="009B21D4"/>
    <w:rsid w:val="009C1C89"/>
    <w:rsid w:val="009F01AA"/>
    <w:rsid w:val="009F05BC"/>
    <w:rsid w:val="009F06B3"/>
    <w:rsid w:val="00A142FA"/>
    <w:rsid w:val="00A20519"/>
    <w:rsid w:val="00A20F00"/>
    <w:rsid w:val="00A21186"/>
    <w:rsid w:val="00A22EA2"/>
    <w:rsid w:val="00A341F7"/>
    <w:rsid w:val="00A3576D"/>
    <w:rsid w:val="00A444C0"/>
    <w:rsid w:val="00A50BAB"/>
    <w:rsid w:val="00A55510"/>
    <w:rsid w:val="00A57989"/>
    <w:rsid w:val="00A6244D"/>
    <w:rsid w:val="00A71773"/>
    <w:rsid w:val="00A80134"/>
    <w:rsid w:val="00A90022"/>
    <w:rsid w:val="00A95B82"/>
    <w:rsid w:val="00AA0570"/>
    <w:rsid w:val="00AA554E"/>
    <w:rsid w:val="00AC55C2"/>
    <w:rsid w:val="00AD2BCB"/>
    <w:rsid w:val="00AD702C"/>
    <w:rsid w:val="00AE2C85"/>
    <w:rsid w:val="00AE5DA1"/>
    <w:rsid w:val="00B12A37"/>
    <w:rsid w:val="00B27578"/>
    <w:rsid w:val="00B5088A"/>
    <w:rsid w:val="00B63EF2"/>
    <w:rsid w:val="00B65230"/>
    <w:rsid w:val="00B71467"/>
    <w:rsid w:val="00B80E7A"/>
    <w:rsid w:val="00B81ABA"/>
    <w:rsid w:val="00B82822"/>
    <w:rsid w:val="00B96424"/>
    <w:rsid w:val="00BA08B7"/>
    <w:rsid w:val="00BA4319"/>
    <w:rsid w:val="00BA5750"/>
    <w:rsid w:val="00BB175A"/>
    <w:rsid w:val="00BB23D9"/>
    <w:rsid w:val="00BB5DA1"/>
    <w:rsid w:val="00BC0D39"/>
    <w:rsid w:val="00BC0D6B"/>
    <w:rsid w:val="00BC29FD"/>
    <w:rsid w:val="00BC7BC0"/>
    <w:rsid w:val="00BD57B7"/>
    <w:rsid w:val="00BD5C12"/>
    <w:rsid w:val="00BD6E5C"/>
    <w:rsid w:val="00BE23C5"/>
    <w:rsid w:val="00BE63E2"/>
    <w:rsid w:val="00BF7017"/>
    <w:rsid w:val="00C12870"/>
    <w:rsid w:val="00C1764D"/>
    <w:rsid w:val="00C2248F"/>
    <w:rsid w:val="00C23F84"/>
    <w:rsid w:val="00C56BA8"/>
    <w:rsid w:val="00C65955"/>
    <w:rsid w:val="00C677B2"/>
    <w:rsid w:val="00C67ED4"/>
    <w:rsid w:val="00C71B9D"/>
    <w:rsid w:val="00C7251D"/>
    <w:rsid w:val="00C74FF0"/>
    <w:rsid w:val="00C83A31"/>
    <w:rsid w:val="00C87E9D"/>
    <w:rsid w:val="00C91410"/>
    <w:rsid w:val="00CA0EDF"/>
    <w:rsid w:val="00CA4363"/>
    <w:rsid w:val="00CA5450"/>
    <w:rsid w:val="00CB3726"/>
    <w:rsid w:val="00CB4B5B"/>
    <w:rsid w:val="00CC0D2A"/>
    <w:rsid w:val="00CD2009"/>
    <w:rsid w:val="00CD3BE0"/>
    <w:rsid w:val="00CD3E6A"/>
    <w:rsid w:val="00CE798C"/>
    <w:rsid w:val="00CF5F2D"/>
    <w:rsid w:val="00CF629C"/>
    <w:rsid w:val="00D10F3C"/>
    <w:rsid w:val="00D1428A"/>
    <w:rsid w:val="00D1433D"/>
    <w:rsid w:val="00D17A34"/>
    <w:rsid w:val="00D41D7A"/>
    <w:rsid w:val="00D44F3C"/>
    <w:rsid w:val="00D7368A"/>
    <w:rsid w:val="00D73E60"/>
    <w:rsid w:val="00D74F9E"/>
    <w:rsid w:val="00D80222"/>
    <w:rsid w:val="00D821D0"/>
    <w:rsid w:val="00D838EC"/>
    <w:rsid w:val="00D85DA7"/>
    <w:rsid w:val="00D909E3"/>
    <w:rsid w:val="00D92EEA"/>
    <w:rsid w:val="00D93C17"/>
    <w:rsid w:val="00D94249"/>
    <w:rsid w:val="00DA5D4E"/>
    <w:rsid w:val="00DB6A67"/>
    <w:rsid w:val="00DB6EE6"/>
    <w:rsid w:val="00DC2A28"/>
    <w:rsid w:val="00DE1EE9"/>
    <w:rsid w:val="00DF0342"/>
    <w:rsid w:val="00DF0373"/>
    <w:rsid w:val="00DF0AC7"/>
    <w:rsid w:val="00DF193D"/>
    <w:rsid w:val="00E01B50"/>
    <w:rsid w:val="00E03BA7"/>
    <w:rsid w:val="00E049D6"/>
    <w:rsid w:val="00E07EAF"/>
    <w:rsid w:val="00E176BA"/>
    <w:rsid w:val="00E20A4D"/>
    <w:rsid w:val="00E2577F"/>
    <w:rsid w:val="00E35A52"/>
    <w:rsid w:val="00E41948"/>
    <w:rsid w:val="00E423EC"/>
    <w:rsid w:val="00E63B8E"/>
    <w:rsid w:val="00E73548"/>
    <w:rsid w:val="00E824AE"/>
    <w:rsid w:val="00E855D8"/>
    <w:rsid w:val="00E8711F"/>
    <w:rsid w:val="00EA166C"/>
    <w:rsid w:val="00EB4A73"/>
    <w:rsid w:val="00EC0544"/>
    <w:rsid w:val="00EC6BC5"/>
    <w:rsid w:val="00EE3DA5"/>
    <w:rsid w:val="00EF21CB"/>
    <w:rsid w:val="00EF4396"/>
    <w:rsid w:val="00F01F72"/>
    <w:rsid w:val="00F0297D"/>
    <w:rsid w:val="00F108C6"/>
    <w:rsid w:val="00F1250A"/>
    <w:rsid w:val="00F12CBB"/>
    <w:rsid w:val="00F20F8A"/>
    <w:rsid w:val="00F346BD"/>
    <w:rsid w:val="00F35898"/>
    <w:rsid w:val="00F47506"/>
    <w:rsid w:val="00F5225B"/>
    <w:rsid w:val="00F5670D"/>
    <w:rsid w:val="00F56F04"/>
    <w:rsid w:val="00F67E80"/>
    <w:rsid w:val="00F867B8"/>
    <w:rsid w:val="00F941DD"/>
    <w:rsid w:val="00FA16F4"/>
    <w:rsid w:val="00FA1A7C"/>
    <w:rsid w:val="00FB3C6A"/>
    <w:rsid w:val="00FB4E73"/>
    <w:rsid w:val="00FC7A6D"/>
    <w:rsid w:val="00FD719F"/>
    <w:rsid w:val="00FE5701"/>
    <w:rsid w:val="00FE76C7"/>
    <w:rsid w:val="00FE7868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501C4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CF5F2D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CF5F2D"/>
    <w:rPr>
      <w:rFonts w:ascii="Calibri" w:hAnsi="Calibri"/>
      <w:lang w:val="ru-RU" w:eastAsia="en-US"/>
    </w:rPr>
  </w:style>
  <w:style w:type="character" w:styleId="Emphasis">
    <w:name w:val="Emphasis"/>
    <w:basedOn w:val="DefaultParagraphFont"/>
    <w:qFormat/>
    <w:rsid w:val="00CF5F2D"/>
    <w:rPr>
      <w:i/>
      <w:iCs/>
    </w:rPr>
  </w:style>
  <w:style w:type="table" w:styleId="TableGrid">
    <w:name w:val="Table Grid"/>
    <w:basedOn w:val="TableNormal"/>
    <w:uiPriority w:val="39"/>
    <w:rsid w:val="0065432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54320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654320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njiu.org/en/reports-notes/JIU%20Products/JIU_REP_2011_5_English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un.org/en/ga/search/view_doc.asp?symbol=A/RES/64/25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jiu.org/en/reports-notes/JIU%20Products/JIU_REP_2016_1_English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.org/en/ga/search/view_doc.asp?symbol=A/RES/64/2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jiu.org/en/reports-notes/JIU%20Products/JIU_REP_2011_5_English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unjiu.org/en/reports-notes/JIU%20Products/JIU_REP_2016_1_English.pdf" TargetMode="External"/><Relationship Id="rId14" Type="http://schemas.openxmlformats.org/officeDocument/2006/relationships/hyperlink" Target="https://www.unjiu.org/en/reports-notes/JIU%20Products/JIU_REP_2016_1_English.pdf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8CF4-B097-48C0-82F6-5F63D92B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10</Pages>
  <Words>2789</Words>
  <Characters>20558</Characters>
  <Application>Microsoft Office Word</Application>
  <DocSecurity>4</DocSecurity>
  <Lines>171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23301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transparency framework</dc:title>
  <dc:subject>Council 2017</dc:subject>
  <dc:creator>Olga Komissarova</dc:creator>
  <cp:keywords>C2017, C17</cp:keywords>
  <dc:description/>
  <cp:lastModifiedBy>Brouard, Ricarda</cp:lastModifiedBy>
  <cp:revision>2</cp:revision>
  <cp:lastPrinted>2017-04-13T14:44:00Z</cp:lastPrinted>
  <dcterms:created xsi:type="dcterms:W3CDTF">2017-04-21T08:08:00Z</dcterms:created>
  <dcterms:modified xsi:type="dcterms:W3CDTF">2017-04-21T08:08:00Z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