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66C8E117" w14:textId="77777777">
        <w:trPr>
          <w:cantSplit/>
        </w:trPr>
        <w:tc>
          <w:tcPr>
            <w:tcW w:w="6912" w:type="dxa"/>
          </w:tcPr>
          <w:p w14:paraId="5B33A02B" w14:textId="77777777" w:rsidR="00520F36" w:rsidRPr="0092392D" w:rsidRDefault="00520F36" w:rsidP="007D03E1">
            <w:pPr>
              <w:spacing w:before="360"/>
            </w:pPr>
            <w:bookmarkStart w:id="0" w:name="dc06"/>
            <w:bookmarkEnd w:id="0"/>
            <w:r>
              <w:rPr>
                <w:b/>
                <w:bCs/>
                <w:sz w:val="30"/>
                <w:szCs w:val="30"/>
              </w:rPr>
              <w:t>Conseil 2017</w:t>
            </w:r>
            <w:r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14:paraId="66946A8F" w14:textId="77777777" w:rsidR="00520F36" w:rsidRPr="0092392D" w:rsidRDefault="00520F36" w:rsidP="007D03E1">
            <w:pPr>
              <w:spacing w:before="0"/>
              <w:jc w:val="right"/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2672B9E2" wp14:editId="1A51E573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00F26B9C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37013D6" w14:textId="77777777" w:rsidR="00520F36" w:rsidRPr="00361350" w:rsidRDefault="00520F36" w:rsidP="007D03E1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DB5C279" w14:textId="77777777" w:rsidR="00520F36" w:rsidRPr="0092392D" w:rsidRDefault="00520F36" w:rsidP="007D03E1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2D8A58A0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F16F65E" w14:textId="77777777" w:rsidR="00520F36" w:rsidRPr="0092392D" w:rsidRDefault="00520F36" w:rsidP="007D03E1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EF664EA" w14:textId="77777777" w:rsidR="00520F36" w:rsidRPr="0092392D" w:rsidRDefault="00520F36" w:rsidP="007D03E1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2260C398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F76B004" w14:textId="3F41B0FB" w:rsidR="00520F36" w:rsidRPr="00520F36" w:rsidRDefault="00BD76B5" w:rsidP="007D03E1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/>
            <w:bookmarkStart w:id="3" w:name="dmeeting"/>
            <w:r>
              <w:rPr>
                <w:rFonts w:cs="Times"/>
                <w:b/>
                <w:bCs/>
                <w:szCs w:val="24"/>
              </w:rPr>
              <w:t>Point de l'ordre du jour: ADM 19</w:t>
            </w:r>
          </w:p>
        </w:tc>
        <w:tc>
          <w:tcPr>
            <w:tcW w:w="3261" w:type="dxa"/>
          </w:tcPr>
          <w:p w14:paraId="774B64A3" w14:textId="77777777" w:rsidR="00520F36" w:rsidRPr="00520F36" w:rsidRDefault="00520F36" w:rsidP="007D03E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C17/43-F</w:t>
            </w:r>
          </w:p>
        </w:tc>
      </w:tr>
      <w:tr w:rsidR="00520F36" w:rsidRPr="0092392D" w14:paraId="6802B0B8" w14:textId="77777777">
        <w:trPr>
          <w:cantSplit/>
          <w:trHeight w:val="20"/>
        </w:trPr>
        <w:tc>
          <w:tcPr>
            <w:tcW w:w="6912" w:type="dxa"/>
            <w:vMerge/>
          </w:tcPr>
          <w:p w14:paraId="753C53CA" w14:textId="77777777" w:rsidR="00520F36" w:rsidRPr="0092392D" w:rsidRDefault="00520F36" w:rsidP="007D03E1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/>
            <w:bookmarkEnd w:id="2"/>
            <w:bookmarkEnd w:id="3"/>
          </w:p>
        </w:tc>
        <w:tc>
          <w:tcPr>
            <w:tcW w:w="3261" w:type="dxa"/>
          </w:tcPr>
          <w:p w14:paraId="266767B7" w14:textId="77777777" w:rsidR="00520F36" w:rsidRPr="00520F36" w:rsidRDefault="002431E6" w:rsidP="007D03E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31 mars 2017</w:t>
            </w:r>
          </w:p>
        </w:tc>
      </w:tr>
      <w:tr w:rsidR="00520F36" w:rsidRPr="0092392D" w14:paraId="5CF64094" w14:textId="77777777">
        <w:trPr>
          <w:cantSplit/>
          <w:trHeight w:val="20"/>
        </w:trPr>
        <w:tc>
          <w:tcPr>
            <w:tcW w:w="6912" w:type="dxa"/>
            <w:vMerge/>
          </w:tcPr>
          <w:p w14:paraId="4A42697F" w14:textId="77777777" w:rsidR="00520F36" w:rsidRPr="0092392D" w:rsidRDefault="00520F36" w:rsidP="007D03E1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/>
            <w:bookmarkEnd w:id="4"/>
          </w:p>
        </w:tc>
        <w:tc>
          <w:tcPr>
            <w:tcW w:w="3261" w:type="dxa"/>
          </w:tcPr>
          <w:p w14:paraId="70D60121" w14:textId="77777777" w:rsidR="00520F36" w:rsidRPr="00520F36" w:rsidRDefault="00520F36" w:rsidP="007D03E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 w14:paraId="369C3EAB" w14:textId="77777777">
        <w:trPr>
          <w:cantSplit/>
        </w:trPr>
        <w:tc>
          <w:tcPr>
            <w:tcW w:w="10173" w:type="dxa"/>
            <w:gridSpan w:val="2"/>
          </w:tcPr>
          <w:p w14:paraId="6E1855B0" w14:textId="77777777" w:rsidR="00520F36" w:rsidRPr="0092392D" w:rsidRDefault="002431E6" w:rsidP="007D03E1">
            <w:pPr>
              <w:pStyle w:val="Source"/>
            </w:pPr>
            <w:bookmarkStart w:id="6" w:name="dsource"/>
            <w:bookmarkEnd w:id="5"/>
            <w:r>
              <w:t>Rapport du Secrétaire général</w:t>
            </w:r>
          </w:p>
        </w:tc>
      </w:tr>
      <w:tr w:rsidR="00520F36" w:rsidRPr="002431E6" w14:paraId="29695F7E" w14:textId="77777777">
        <w:trPr>
          <w:cantSplit/>
        </w:trPr>
        <w:tc>
          <w:tcPr>
            <w:tcW w:w="10173" w:type="dxa"/>
            <w:gridSpan w:val="2"/>
          </w:tcPr>
          <w:p w14:paraId="231CF82B" w14:textId="5E464E06" w:rsidR="00520F36" w:rsidRPr="002431E6" w:rsidRDefault="00252920" w:rsidP="00BD76B5">
            <w:pPr>
              <w:pStyle w:val="Title1"/>
            </w:pPr>
            <w:bookmarkStart w:id="7" w:name="lt_pId012"/>
            <w:bookmarkStart w:id="8" w:name="dtitle1"/>
            <w:bookmarkEnd w:id="6"/>
            <w:r>
              <w:t>PROPOSITIONS VISANT à</w:t>
            </w:r>
            <w:r w:rsidR="002431E6">
              <w:t xml:space="preserve"> AUGMENTER LES RECETTES PROVENANT</w:t>
            </w:r>
            <w:r>
              <w:br/>
            </w:r>
            <w:r w:rsidR="002431E6">
              <w:t xml:space="preserve">DES RESSOURCES </w:t>
            </w:r>
            <w:r>
              <w:t>i</w:t>
            </w:r>
            <w:r w:rsidR="002431E6">
              <w:t>NTERNATIONALES DE NUM</w:t>
            </w:r>
            <w:r w:rsidR="00BD76B5">
              <w:t>é</w:t>
            </w:r>
            <w:r w:rsidR="002431E6">
              <w:t>ROTAGE (INR)</w:t>
            </w:r>
            <w:bookmarkEnd w:id="7"/>
          </w:p>
        </w:tc>
      </w:tr>
      <w:bookmarkEnd w:id="8"/>
    </w:tbl>
    <w:p w14:paraId="4A811E65" w14:textId="77777777" w:rsidR="00520F36" w:rsidRPr="007344CE" w:rsidRDefault="00520F36" w:rsidP="007D03E1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2431E6" w14:paraId="31B2A019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7D651" w14:textId="77777777" w:rsidR="00520F36" w:rsidRPr="002431E6" w:rsidRDefault="00520F36" w:rsidP="007D03E1">
            <w:pPr>
              <w:pStyle w:val="Headingb"/>
            </w:pPr>
            <w:r>
              <w:t>Résumé</w:t>
            </w:r>
          </w:p>
          <w:p w14:paraId="4E65C228" w14:textId="1FEBB7D4" w:rsidR="00520F36" w:rsidRPr="002431E6" w:rsidRDefault="002431E6" w:rsidP="007D03E1">
            <w:bookmarkStart w:id="9" w:name="lt_pId014"/>
            <w:r>
              <w:t>Suite aux discussions du Conseil 2016, ce rapport résume les incidences financières des deux propositions visant à augmenter les recettes provenant des ressources internationales de numérotage (INR):</w:t>
            </w:r>
            <w:bookmarkEnd w:id="9"/>
            <w:r>
              <w:t xml:space="preserve"> </w:t>
            </w:r>
            <w:bookmarkStart w:id="10" w:name="lt_pId015"/>
            <w:r>
              <w:t>1) prélever un droit annuel pour les numéros UIFN et IIN;</w:t>
            </w:r>
            <w:bookmarkEnd w:id="10"/>
            <w:r>
              <w:t xml:space="preserve"> </w:t>
            </w:r>
            <w:bookmarkStart w:id="11" w:name="lt_pId016"/>
            <w:r>
              <w:t>2) augmenter le droit unique d</w:t>
            </w:r>
            <w:r w:rsidR="001E6E9B">
              <w:t>'</w:t>
            </w:r>
            <w:r>
              <w:t>enregistrement pour les numéros UIFN et IIN.</w:t>
            </w:r>
            <w:bookmarkEnd w:id="11"/>
          </w:p>
          <w:p w14:paraId="30D6657A" w14:textId="77777777" w:rsidR="00520F36" w:rsidRPr="002431E6" w:rsidRDefault="00520F36" w:rsidP="007D03E1">
            <w:pPr>
              <w:pStyle w:val="Headingb"/>
            </w:pPr>
            <w:r>
              <w:t>Suite à donner</w:t>
            </w:r>
          </w:p>
          <w:p w14:paraId="2BFFD735" w14:textId="77777777" w:rsidR="00520F36" w:rsidRPr="00AA2394" w:rsidRDefault="00AA2394" w:rsidP="007D03E1">
            <w:r>
              <w:t xml:space="preserve">Le Conseil est invité à </w:t>
            </w:r>
            <w:r>
              <w:rPr>
                <w:b/>
                <w:bCs/>
              </w:rPr>
              <w:t>examiner</w:t>
            </w:r>
            <w:r>
              <w:t xml:space="preserve"> les propositions précitées.</w:t>
            </w:r>
          </w:p>
          <w:p w14:paraId="10EFD696" w14:textId="77777777" w:rsidR="00520F36" w:rsidRPr="002431E6" w:rsidRDefault="00520F36" w:rsidP="007D03E1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>
              <w:rPr>
                <w:rFonts w:ascii="Calibri" w:hAnsi="Calibri"/>
                <w:caps w:val="0"/>
                <w:sz w:val="22"/>
              </w:rPr>
              <w:t>____________</w:t>
            </w:r>
          </w:p>
          <w:p w14:paraId="5C07F329" w14:textId="77777777" w:rsidR="00520F36" w:rsidRPr="002431E6" w:rsidRDefault="00520F36" w:rsidP="007D03E1">
            <w:pPr>
              <w:pStyle w:val="Headingb"/>
            </w:pPr>
            <w:r>
              <w:t>Références</w:t>
            </w:r>
          </w:p>
          <w:bookmarkStart w:id="12" w:name="lt_pId021"/>
          <w:p w14:paraId="38084E5A" w14:textId="77777777" w:rsidR="00520F36" w:rsidRPr="00252920" w:rsidRDefault="00256E7C" w:rsidP="007D03E1">
            <w:pPr>
              <w:spacing w:after="120"/>
            </w:pPr>
            <w:r w:rsidRPr="00252920">
              <w:fldChar w:fldCharType="begin"/>
            </w:r>
            <w:r w:rsidR="00AA2394" w:rsidRPr="00252920">
              <w:instrText xml:space="preserve"> HYPERLINK "https://www.itu.int/md/S16-CL-C-0069/fr" </w:instrText>
            </w:r>
            <w:r w:rsidRPr="00252920">
              <w:fldChar w:fldCharType="separate"/>
            </w:r>
            <w:r w:rsidR="00AA2394" w:rsidRPr="00252920">
              <w:rPr>
                <w:rStyle w:val="Hyperlink"/>
              </w:rPr>
              <w:t>C16/69</w:t>
            </w:r>
            <w:r w:rsidRPr="00252920">
              <w:fldChar w:fldCharType="end"/>
            </w:r>
            <w:r w:rsidR="00AA2394" w:rsidRPr="00252920">
              <w:t xml:space="preserve">, </w:t>
            </w:r>
            <w:hyperlink r:id="rId8" w:history="1">
              <w:r w:rsidR="00AA2394" w:rsidRPr="00252920">
                <w:rPr>
                  <w:rStyle w:val="Hyperlink"/>
                </w:rPr>
                <w:t>C16/96</w:t>
              </w:r>
            </w:hyperlink>
            <w:r w:rsidR="00AA2394" w:rsidRPr="00BD76B5">
              <w:rPr>
                <w:rStyle w:val="Hyperlink"/>
                <w:color w:val="auto"/>
                <w:u w:val="none"/>
              </w:rPr>
              <w:t xml:space="preserve">, </w:t>
            </w:r>
            <w:hyperlink r:id="rId9" w:history="1">
              <w:r w:rsidR="00AA2394" w:rsidRPr="00252920">
                <w:rPr>
                  <w:rStyle w:val="Hyperlink"/>
                </w:rPr>
                <w:t>CWG-FHR 5/25</w:t>
              </w:r>
            </w:hyperlink>
            <w:r w:rsidR="00AA2394" w:rsidRPr="00BD76B5">
              <w:rPr>
                <w:rStyle w:val="Hyperlink"/>
                <w:color w:val="auto"/>
                <w:u w:val="none"/>
              </w:rPr>
              <w:t xml:space="preserve">, </w:t>
            </w:r>
            <w:hyperlink r:id="rId10" w:history="1">
              <w:r w:rsidR="00AA2394" w:rsidRPr="00252920">
                <w:rPr>
                  <w:rStyle w:val="Hyperlink"/>
                </w:rPr>
                <w:t>DT/63</w:t>
              </w:r>
            </w:hyperlink>
            <w:r w:rsidR="00AA2394" w:rsidRPr="00BD76B5">
              <w:rPr>
                <w:rStyle w:val="Hyperlink"/>
                <w:color w:val="auto"/>
                <w:u w:val="none"/>
              </w:rPr>
              <w:t xml:space="preserve">, </w:t>
            </w:r>
            <w:hyperlink r:id="rId11" w:history="1">
              <w:r w:rsidR="00AA2394" w:rsidRPr="00252920">
                <w:rPr>
                  <w:rStyle w:val="Hyperlink"/>
                </w:rPr>
                <w:t>C16/DL/7</w:t>
              </w:r>
            </w:hyperlink>
            <w:r w:rsidR="00AA2394" w:rsidRPr="00BD76B5">
              <w:rPr>
                <w:rStyle w:val="Hyperlink"/>
                <w:color w:val="auto"/>
                <w:u w:val="none"/>
              </w:rPr>
              <w:t xml:space="preserve">, </w:t>
            </w:r>
            <w:hyperlink r:id="rId12" w:history="1">
              <w:r w:rsidR="00AA2394" w:rsidRPr="00252920">
                <w:rPr>
                  <w:rStyle w:val="Hyperlink"/>
                </w:rPr>
                <w:t>C14/111</w:t>
              </w:r>
            </w:hyperlink>
            <w:r w:rsidR="00AA2394" w:rsidRPr="00BD76B5">
              <w:rPr>
                <w:rStyle w:val="Hyperlink"/>
                <w:color w:val="auto"/>
                <w:u w:val="none"/>
              </w:rPr>
              <w:t xml:space="preserve">, </w:t>
            </w:r>
            <w:hyperlink r:id="rId13" w:history="1">
              <w:r w:rsidR="00AA2394" w:rsidRPr="00252920">
                <w:rPr>
                  <w:rStyle w:val="Hyperlink"/>
                </w:rPr>
                <w:t>PP14/91</w:t>
              </w:r>
            </w:hyperlink>
            <w:bookmarkEnd w:id="12"/>
          </w:p>
        </w:tc>
      </w:tr>
    </w:tbl>
    <w:p w14:paraId="2CB4AAE9" w14:textId="77777777" w:rsidR="00520F36" w:rsidRDefault="00AA2394" w:rsidP="007D03E1">
      <w:pPr>
        <w:pStyle w:val="Heading1"/>
      </w:pPr>
      <w:r>
        <w:t>A</w:t>
      </w:r>
      <w:r>
        <w:tab/>
        <w:t>Rappel</w:t>
      </w:r>
    </w:p>
    <w:p w14:paraId="2A0D7F98" w14:textId="61DDE5B3" w:rsidR="00AA2394" w:rsidRPr="00771C97" w:rsidRDefault="00AA2394" w:rsidP="007D03E1">
      <w:r>
        <w:t>1</w:t>
      </w:r>
      <w:r>
        <w:tab/>
        <w:t>Compte tenu de la Résolution 158 (Guadalajara, 2010), chargeant le Conseil d</w:t>
      </w:r>
      <w:r w:rsidR="001E6E9B">
        <w:t>'</w:t>
      </w:r>
      <w:r>
        <w:t>étudier la possibilité de générer des recettes additionnelles pour l</w:t>
      </w:r>
      <w:r w:rsidR="001E6E9B">
        <w:t>'</w:t>
      </w:r>
      <w:r>
        <w:t>UIT et, éventuellement, d</w:t>
      </w:r>
      <w:r w:rsidR="001E6E9B">
        <w:t>'</w:t>
      </w:r>
      <w:r>
        <w:t>identifier de nouvelles ressources financières qui ne soient pas liées aux unités contributives, les réunions du Conseil, la PP-14 et les réunions du GTC-FHR débattent depuis 2014 de la question des recettes générées en provenance des ressources internationales de numérotage (INR). Un groupe d</w:t>
      </w:r>
      <w:r w:rsidR="001E6E9B">
        <w:t>'</w:t>
      </w:r>
      <w:r>
        <w:t>experts placé sous la responsabilité de la CE 2 de l</w:t>
      </w:r>
      <w:r w:rsidR="001E6E9B">
        <w:t>'</w:t>
      </w:r>
      <w:r>
        <w:t xml:space="preserve">UIT-T a été établi, suivant les directives formulées par le Conseil, et a fourni un rapport au Directeur du TSB. Une consultation formelle a été menée et le résultat a été communiqué à la session de 2015 du Conseil. Pour de plus amples détails, consulter: </w:t>
      </w:r>
      <w:r>
        <w:br/>
      </w:r>
      <w:hyperlink r:id="rId14" w:history="1">
        <w:r>
          <w:rPr>
            <w:rStyle w:val="Hyperlink"/>
            <w:rFonts w:asciiTheme="minorHAnsi" w:hAnsiTheme="minorHAnsi"/>
            <w:szCs w:val="24"/>
          </w:rPr>
          <w:t>https://www.itu.int/net/ITU-T/forms/qs-inr-ms/rev-gen-inr.aspx</w:t>
        </w:r>
      </w:hyperlink>
      <w:r>
        <w:t xml:space="preserve">. </w:t>
      </w:r>
    </w:p>
    <w:p w14:paraId="62E4A09D" w14:textId="0E9084F3" w:rsidR="00AA2394" w:rsidRPr="00B36F34" w:rsidRDefault="00AA2394" w:rsidP="007D03E1">
      <w:r>
        <w:t>2</w:t>
      </w:r>
      <w:r>
        <w:tab/>
        <w:t xml:space="preserve">Les discussions portant sur les recettes générées en provenance des ressources INR se sont poursuivies à la session de 2016 du Conseil. </w:t>
      </w:r>
      <w:r w:rsidR="00751FC7">
        <w:t>Le TSB a présenté le D</w:t>
      </w:r>
      <w:r>
        <w:t xml:space="preserve">ocument </w:t>
      </w:r>
      <w:hyperlink r:id="rId15" w:history="1">
        <w:r>
          <w:rPr>
            <w:rStyle w:val="Hyperlink"/>
            <w:rFonts w:asciiTheme="minorHAnsi" w:hAnsiTheme="minorHAnsi"/>
            <w:szCs w:val="24"/>
          </w:rPr>
          <w:t>C16/69</w:t>
        </w:r>
      </w:hyperlink>
      <w:r>
        <w:t xml:space="preserve"> qui résume les activités de l</w:t>
      </w:r>
      <w:r w:rsidR="001E6E9B">
        <w:t>'</w:t>
      </w:r>
      <w:r>
        <w:t>UIT en matière d</w:t>
      </w:r>
      <w:r w:rsidRPr="007D03E1">
        <w:t>e</w:t>
      </w:r>
      <w:r>
        <w:t xml:space="preserve"> production de recettes provenant des ressources internationales de numérotage (INR) depuis la session de 2014 du Conseil, suite à la dem</w:t>
      </w:r>
      <w:r w:rsidR="007D03E1">
        <w:t>ande du GTC-FHR selon laquelle "</w:t>
      </w:r>
      <w:r>
        <w:t>tous les documents pertinents doivent être mis à la disposition</w:t>
      </w:r>
      <w:r w:rsidR="007D03E1">
        <w:t>"</w:t>
      </w:r>
      <w:r>
        <w:t xml:space="preserve"> du Conseil à sa session </w:t>
      </w:r>
      <w:r>
        <w:lastRenderedPageBreak/>
        <w:t xml:space="preserve">de 2016. Les Etats-Unis et les Emirats arabes unis </w:t>
      </w:r>
      <w:r w:rsidR="00751FC7">
        <w:t>ont présenté les D</w:t>
      </w:r>
      <w:r>
        <w:t xml:space="preserve">ocuments </w:t>
      </w:r>
      <w:hyperlink r:id="rId16" w:history="1">
        <w:r>
          <w:rPr>
            <w:rStyle w:val="Hyperlink"/>
            <w:rFonts w:asciiTheme="minorHAnsi" w:hAnsiTheme="minorHAnsi"/>
            <w:szCs w:val="24"/>
          </w:rPr>
          <w:t>C16/79</w:t>
        </w:r>
      </w:hyperlink>
      <w:r>
        <w:t xml:space="preserve"> et </w:t>
      </w:r>
      <w:hyperlink r:id="rId17" w:history="1">
        <w:r>
          <w:rPr>
            <w:rStyle w:val="Hyperlink"/>
            <w:rFonts w:asciiTheme="minorHAnsi" w:hAnsiTheme="minorHAnsi"/>
            <w:szCs w:val="24"/>
          </w:rPr>
          <w:t>C16/96</w:t>
        </w:r>
      </w:hyperlink>
      <w:r>
        <w:t>, respectivement, relatifs à la production de recettes provenant des INR. Plusieurs Conseillers ont pris la parole pour soutenir les rec</w:t>
      </w:r>
      <w:r w:rsidR="00751FC7">
        <w:t>ommandations formulées dans le D</w:t>
      </w:r>
      <w:r>
        <w:t xml:space="preserve">ocument </w:t>
      </w:r>
      <w:hyperlink r:id="rId18" w:history="1">
        <w:r>
          <w:rPr>
            <w:rStyle w:val="Hyperlink"/>
            <w:rFonts w:asciiTheme="minorHAnsi" w:hAnsiTheme="minorHAnsi"/>
            <w:szCs w:val="24"/>
          </w:rPr>
          <w:t>C16/69</w:t>
        </w:r>
      </w:hyperlink>
      <w:r>
        <w:t xml:space="preserve"> et la</w:t>
      </w:r>
      <w:r w:rsidR="00751FC7">
        <w:t xml:space="preserve"> proposition présentée dans le D</w:t>
      </w:r>
      <w:r>
        <w:t xml:space="preserve">ocument </w:t>
      </w:r>
      <w:hyperlink r:id="rId19" w:history="1">
        <w:r>
          <w:rPr>
            <w:rStyle w:val="Hyperlink"/>
            <w:rFonts w:asciiTheme="minorHAnsi" w:hAnsiTheme="minorHAnsi"/>
            <w:szCs w:val="24"/>
          </w:rPr>
          <w:t>C16/96</w:t>
        </w:r>
      </w:hyperlink>
      <w:r>
        <w:t xml:space="preserve"> sur les recettes générées en provenance des INR, dans le cadre des efforts généraux de l</w:t>
      </w:r>
      <w:r w:rsidR="001E6E9B">
        <w:t>'</w:t>
      </w:r>
      <w:r>
        <w:t>UIT en vue de la mise en œuvre de la Décision</w:t>
      </w:r>
      <w:r w:rsidR="007D03E1">
        <w:t xml:space="preserve"> 5 de la PP et de la Résolution </w:t>
      </w:r>
      <w:r>
        <w:t>158. D</w:t>
      </w:r>
      <w:r w:rsidR="001E6E9B">
        <w:t>'</w:t>
      </w:r>
      <w:r>
        <w:t>autres n</w:t>
      </w:r>
      <w:r w:rsidR="001E6E9B">
        <w:t>'</w:t>
      </w:r>
      <w:r>
        <w:t>ont pas appuyé l</w:t>
      </w:r>
      <w:r w:rsidR="001E6E9B">
        <w:t>'</w:t>
      </w:r>
      <w:r>
        <w:t>idée et ne voient pas la nécessité de poursuivre les études en la matière. Il n</w:t>
      </w:r>
      <w:r w:rsidR="001E6E9B">
        <w:t>'</w:t>
      </w:r>
      <w:r>
        <w:t>a pas été possible d</w:t>
      </w:r>
      <w:r w:rsidR="001E6E9B">
        <w:t>'</w:t>
      </w:r>
      <w:r>
        <w:t xml:space="preserve">obtenir un consensus. </w:t>
      </w:r>
      <w:r>
        <w:rPr>
          <w:color w:val="000000"/>
        </w:rPr>
        <w:t>Le Conseil a chargé le secrétariat de soumettre au Conseil, à sa session de 2017, les incidences financières des propositions relatives aux ressources internationales de numérotage examinées par le Conseil à sa session de 2016, compte tenu des différents points de vue exprimés par les Conseillers.</w:t>
      </w:r>
    </w:p>
    <w:p w14:paraId="77F2A24A" w14:textId="18C49F32" w:rsidR="00AA2394" w:rsidRPr="00B36F34" w:rsidRDefault="00AA2394" w:rsidP="007D03E1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</w:t>
      </w:r>
      <w:r>
        <w:rPr>
          <w:rFonts w:asciiTheme="minorHAnsi" w:hAnsiTheme="minorHAnsi"/>
          <w:szCs w:val="24"/>
        </w:rPr>
        <w:tab/>
        <w:t>L</w:t>
      </w:r>
      <w:r w:rsidR="001E6E9B">
        <w:rPr>
          <w:rFonts w:asciiTheme="minorHAnsi" w:hAnsiTheme="minorHAnsi"/>
          <w:szCs w:val="24"/>
        </w:rPr>
        <w:t>'</w:t>
      </w:r>
      <w:r>
        <w:rPr>
          <w:rFonts w:asciiTheme="minorHAnsi" w:hAnsiTheme="minorHAnsi"/>
          <w:szCs w:val="24"/>
        </w:rPr>
        <w:t xml:space="preserve">AMNT-16 a approuvé la </w:t>
      </w:r>
      <w:hyperlink r:id="rId20" w:history="1">
        <w:r>
          <w:rPr>
            <w:rStyle w:val="Hyperlink"/>
            <w:rFonts w:asciiTheme="minorHAnsi" w:hAnsiTheme="minorHAnsi"/>
            <w:szCs w:val="24"/>
          </w:rPr>
          <w:t>Rés</w:t>
        </w:r>
        <w:r w:rsidR="007D03E1">
          <w:rPr>
            <w:rStyle w:val="Hyperlink"/>
            <w:rFonts w:asciiTheme="minorHAnsi" w:hAnsiTheme="minorHAnsi"/>
            <w:szCs w:val="24"/>
          </w:rPr>
          <w:t>olution 85 "</w:t>
        </w:r>
        <w:r>
          <w:rPr>
            <w:rStyle w:val="Hyperlink"/>
          </w:rPr>
          <w:t>Renforcement et diversification des ressources du Secteur de la normalisation des télécommunications de l</w:t>
        </w:r>
        <w:r w:rsidR="001E6E9B">
          <w:rPr>
            <w:rStyle w:val="Hyperlink"/>
          </w:rPr>
          <w:t>'</w:t>
        </w:r>
        <w:r>
          <w:rPr>
            <w:rStyle w:val="Hyperlink"/>
          </w:rPr>
          <w:t>UIT</w:t>
        </w:r>
      </w:hyperlink>
      <w:r w:rsidR="007D03E1">
        <w:rPr>
          <w:rStyle w:val="Hyperlink"/>
        </w:rPr>
        <w:t>"</w:t>
      </w:r>
      <w:r>
        <w:rPr>
          <w:rFonts w:asciiTheme="minorHAnsi" w:hAnsiTheme="minorHAnsi"/>
          <w:szCs w:val="24"/>
        </w:rPr>
        <w:t xml:space="preserve">, </w:t>
      </w:r>
      <w:r>
        <w:t>qui décide de charger le Directeur du Bureau de la normalisation des télécommunications de participer à l</w:t>
      </w:r>
      <w:r w:rsidR="001E6E9B">
        <w:t>'</w:t>
      </w:r>
      <w:r>
        <w:t>étude visée au point b), concernant de nouvelles mesures susceptibles de générer des recettes supplémentaires pour l</w:t>
      </w:r>
      <w:r w:rsidR="001E6E9B">
        <w:t>'</w:t>
      </w:r>
      <w:r>
        <w:t>UIT-T, y compris des recettes pouvant provenir des ressources INR et des tests de conformité et d</w:t>
      </w:r>
      <w:r w:rsidR="001E6E9B">
        <w:t>'</w:t>
      </w:r>
      <w:r>
        <w:t>interopérabilité.</w:t>
      </w:r>
    </w:p>
    <w:p w14:paraId="3248E95E" w14:textId="77777777" w:rsidR="00AA2394" w:rsidRPr="00C42A83" w:rsidRDefault="00C42A83" w:rsidP="007D03E1">
      <w:pPr>
        <w:pStyle w:val="Heading1"/>
      </w:pPr>
      <w:r>
        <w:t>B</w:t>
      </w:r>
      <w:r>
        <w:tab/>
        <w:t>Proposition</w:t>
      </w:r>
    </w:p>
    <w:p w14:paraId="322D97FC" w14:textId="3B01B662" w:rsidR="00C42A83" w:rsidRPr="00C42A83" w:rsidRDefault="00C42A83" w:rsidP="007D03E1">
      <w:r>
        <w:t>4</w:t>
      </w:r>
      <w:r>
        <w:tab/>
        <w:t>Depuis 2014, diverses options de collecte des recettes provenant des INR ont été proposées et discutées, y compris l</w:t>
      </w:r>
      <w:r w:rsidR="001E6E9B">
        <w:t>'</w:t>
      </w:r>
      <w:r>
        <w:t>augmentation de la redevance forfaitaire pour les numéros UIFN et IIN, la collecte d</w:t>
      </w:r>
      <w:r w:rsidR="001E6E9B">
        <w:t>'</w:t>
      </w:r>
      <w:r>
        <w:t>un droit annuel p</w:t>
      </w:r>
      <w:r w:rsidR="00323809">
        <w:t>our les numéros UIFN, IIN, SANC/ISPC, MCC/</w:t>
      </w:r>
      <w:r>
        <w:t>MNC et ICC, la collecte d</w:t>
      </w:r>
      <w:r w:rsidR="001E6E9B">
        <w:t>'</w:t>
      </w:r>
      <w:r>
        <w:t>un droit annuel pour chaque numéro E.164, demandant à ce que tous les attributaires d</w:t>
      </w:r>
      <w:r w:rsidR="001E6E9B">
        <w:t>'</w:t>
      </w:r>
      <w:r>
        <w:t>INR (incluant les numéros E.164, MNC et ISPC) soient membres de l</w:t>
      </w:r>
      <w:r w:rsidR="001E6E9B">
        <w:t>'</w:t>
      </w:r>
      <w:r>
        <w:t>UIT-T. En ce qui concerne les droits annuels, une option consiste à ne pas différencier les membres des non-membres et l</w:t>
      </w:r>
      <w:r w:rsidR="001E6E9B">
        <w:t>'</w:t>
      </w:r>
      <w:r>
        <w:t>autre à ne collecter que les droits annuels auprès des non-membres. Les propositions qui ont fait l</w:t>
      </w:r>
      <w:r w:rsidR="001E6E9B">
        <w:t>'</w:t>
      </w:r>
      <w:r>
        <w:t>objet de discussions durant le Conseil à sa session de 2016 sont les suivantes:</w:t>
      </w:r>
    </w:p>
    <w:p w14:paraId="1A2C7A69" w14:textId="36B46654" w:rsidR="00C42A83" w:rsidRPr="00C42A83" w:rsidRDefault="00C42A83" w:rsidP="007D03E1">
      <w:pPr>
        <w:rPr>
          <w:rFonts w:eastAsiaTheme="minorEastAsia" w:cstheme="minorHAnsi"/>
        </w:rPr>
      </w:pPr>
      <w:r>
        <w:t>5</w:t>
      </w:r>
      <w:r>
        <w:tab/>
        <w:t>L</w:t>
      </w:r>
      <w:r w:rsidR="001E6E9B">
        <w:t>'</w:t>
      </w:r>
      <w:r>
        <w:t>Arabie saoudite a soumis la proposition suivante (C16/96):</w:t>
      </w:r>
    </w:p>
    <w:p w14:paraId="3760DC25" w14:textId="750D1032" w:rsidR="00C42A83" w:rsidRPr="00063B7C" w:rsidRDefault="007D03E1" w:rsidP="007D03E1">
      <w:bookmarkStart w:id="13" w:name="lt_pId067"/>
      <w:r>
        <w:t>"</w:t>
      </w:r>
      <w:r w:rsidR="00C42A83">
        <w:t>Compte tenu de ce qui précède, et afin de mettre en applica</w:t>
      </w:r>
      <w:r>
        <w:t>tion les dispositions du texte "</w:t>
      </w:r>
      <w:r w:rsidR="00C42A83">
        <w:rPr>
          <w:i/>
          <w:iCs/>
        </w:rPr>
        <w:t>charge</w:t>
      </w:r>
      <w:r>
        <w:rPr>
          <w:i/>
          <w:iCs/>
        </w:rPr>
        <w:t>"</w:t>
      </w:r>
      <w:r w:rsidR="00C42A83">
        <w:t xml:space="preserve"> de la Décision 5 et de la Résolution 158, l</w:t>
      </w:r>
      <w:r w:rsidR="001E6E9B">
        <w:t>'</w:t>
      </w:r>
      <w:r w:rsidR="00C42A83">
        <w:t>Arabie saoudite appuie les propositions suivantes:</w:t>
      </w:r>
      <w:bookmarkEnd w:id="13"/>
    </w:p>
    <w:p w14:paraId="19EA54A8" w14:textId="2AD7E158" w:rsidR="00C42A83" w:rsidRPr="00737BD6" w:rsidRDefault="00C42A83" w:rsidP="007D03E1">
      <w:pPr>
        <w:pStyle w:val="enumlev1"/>
      </w:pPr>
      <w:bookmarkStart w:id="14" w:name="lt_pId068"/>
      <w:r>
        <w:t>1</w:t>
      </w:r>
      <w:r w:rsidR="007D03E1">
        <w:t>)</w:t>
      </w:r>
      <w:r>
        <w:tab/>
        <w:t>Prélever un droit annuel pour tout numéro UIFN et numéro IIN assigné.</w:t>
      </w:r>
      <w:bookmarkEnd w:id="14"/>
      <w:r>
        <w:t xml:space="preserve"> </w:t>
      </w:r>
      <w:bookmarkStart w:id="15" w:name="lt_pId069"/>
      <w:r>
        <w:t>Nous invitons le Conseil à charger le GTC-FHR de fixer le montant de ce droit, en tenant compte des estimations comparables faites par le Groupe d</w:t>
      </w:r>
      <w:r w:rsidR="001E6E9B">
        <w:t>'</w:t>
      </w:r>
      <w:r>
        <w:t>experts, à</w:t>
      </w:r>
      <w:r w:rsidR="00323809">
        <w:t xml:space="preserve"> savoir 20 CHF pour tout numéro </w:t>
      </w:r>
      <w:r>
        <w:t>UIFN assigné et 100 CHF pour tout numéro IIN</w:t>
      </w:r>
      <w:bookmarkEnd w:id="15"/>
      <w:r>
        <w:t xml:space="preserve"> assigné.</w:t>
      </w:r>
    </w:p>
    <w:p w14:paraId="4DBE6302" w14:textId="77BA29EF" w:rsidR="00C42A83" w:rsidRDefault="007D03E1" w:rsidP="007D03E1">
      <w:pPr>
        <w:pStyle w:val="enumlev1"/>
      </w:pPr>
      <w:bookmarkStart w:id="16" w:name="lt_pId070"/>
      <w:r>
        <w:t>2)</w:t>
      </w:r>
      <w:r>
        <w:tab/>
      </w:r>
      <w:r w:rsidR="00C42A83">
        <w:t>Envisager d</w:t>
      </w:r>
      <w:r w:rsidR="001E6E9B">
        <w:t>'</w:t>
      </w:r>
      <w:r w:rsidR="00C42A83">
        <w:t>exiger que les entités auxquelles des ressources INR sont attribuées soient membres de l</w:t>
      </w:r>
      <w:r w:rsidR="001E6E9B">
        <w:t>'</w:t>
      </w:r>
      <w:r w:rsidR="00C42A83">
        <w:t>UIT-T</w:t>
      </w:r>
      <w:r>
        <w:t>"</w:t>
      </w:r>
      <w:r w:rsidR="00C42A83">
        <w:t>.</w:t>
      </w:r>
      <w:bookmarkEnd w:id="16"/>
    </w:p>
    <w:p w14:paraId="1BE9237D" w14:textId="6A935550" w:rsidR="00C42A83" w:rsidRPr="00C42A83" w:rsidRDefault="00C42A83" w:rsidP="007D03E1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bookmarkStart w:id="17" w:name="lt_pId053"/>
      <w:r>
        <w:rPr>
          <w:rFonts w:asciiTheme="minorHAnsi" w:hAnsiTheme="minorHAnsi"/>
          <w:szCs w:val="24"/>
        </w:rPr>
        <w:t>La première proposition de l</w:t>
      </w:r>
      <w:r w:rsidR="001E6E9B">
        <w:rPr>
          <w:rFonts w:asciiTheme="minorHAnsi" w:hAnsiTheme="minorHAnsi"/>
          <w:szCs w:val="24"/>
        </w:rPr>
        <w:t>'</w:t>
      </w:r>
      <w:r>
        <w:rPr>
          <w:rFonts w:asciiTheme="minorHAnsi" w:hAnsiTheme="minorHAnsi"/>
          <w:szCs w:val="24"/>
        </w:rPr>
        <w:t>Arabie saoudite et la proposition d</w:t>
      </w:r>
      <w:r w:rsidR="001E6E9B">
        <w:rPr>
          <w:rFonts w:asciiTheme="minorHAnsi" w:hAnsiTheme="minorHAnsi"/>
          <w:szCs w:val="24"/>
        </w:rPr>
        <w:t>'</w:t>
      </w:r>
      <w:r>
        <w:rPr>
          <w:rFonts w:asciiTheme="minorHAnsi" w:hAnsiTheme="minorHAnsi"/>
          <w:szCs w:val="24"/>
        </w:rPr>
        <w:t>augmenter le droit unique d</w:t>
      </w:r>
      <w:r w:rsidR="001E6E9B">
        <w:rPr>
          <w:rFonts w:asciiTheme="minorHAnsi" w:hAnsiTheme="minorHAnsi"/>
          <w:szCs w:val="24"/>
        </w:rPr>
        <w:t>'</w:t>
      </w:r>
      <w:r>
        <w:rPr>
          <w:rFonts w:asciiTheme="minorHAnsi" w:hAnsiTheme="minorHAnsi"/>
          <w:szCs w:val="24"/>
        </w:rPr>
        <w:t>enregistrement pour les numéros UIFN et IIN qui a fait l</w:t>
      </w:r>
      <w:r w:rsidR="001E6E9B">
        <w:rPr>
          <w:rFonts w:asciiTheme="minorHAnsi" w:hAnsiTheme="minorHAnsi"/>
          <w:szCs w:val="24"/>
        </w:rPr>
        <w:t>'</w:t>
      </w:r>
      <w:r>
        <w:rPr>
          <w:rFonts w:asciiTheme="minorHAnsi" w:hAnsiTheme="minorHAnsi"/>
          <w:szCs w:val="24"/>
        </w:rPr>
        <w:t>objet de discussions lors de diverses réunions sont détaillées ci-dessous, sachant que l</w:t>
      </w:r>
      <w:r w:rsidR="001E6E9B">
        <w:rPr>
          <w:rFonts w:asciiTheme="minorHAnsi" w:hAnsiTheme="minorHAnsi"/>
          <w:szCs w:val="24"/>
        </w:rPr>
        <w:t>'</w:t>
      </w:r>
      <w:r>
        <w:rPr>
          <w:rFonts w:asciiTheme="minorHAnsi" w:hAnsiTheme="minorHAnsi"/>
          <w:szCs w:val="24"/>
        </w:rPr>
        <w:t>UIT recueille déjà les droits auprès des attributaires de numéros UIFN et IIN.</w:t>
      </w:r>
      <w:bookmarkEnd w:id="17"/>
    </w:p>
    <w:p w14:paraId="5A032B21" w14:textId="77777777" w:rsidR="00AA2394" w:rsidRPr="007D03E1" w:rsidRDefault="00C42A83" w:rsidP="007D03E1">
      <w:pPr>
        <w:pStyle w:val="Heading1"/>
      </w:pPr>
      <w:r w:rsidRPr="007D03E1">
        <w:lastRenderedPageBreak/>
        <w:t>C</w:t>
      </w:r>
      <w:r w:rsidRPr="007D03E1">
        <w:tab/>
      </w:r>
      <w:bookmarkStart w:id="18" w:name="lt_pId055"/>
      <w:r w:rsidRPr="007D03E1">
        <w:t>Analyse des incidences financières</w:t>
      </w:r>
      <w:bookmarkEnd w:id="18"/>
    </w:p>
    <w:p w14:paraId="469A7E15" w14:textId="77777777" w:rsidR="00AA2394" w:rsidRPr="00C42A83" w:rsidRDefault="00C42A83" w:rsidP="007D03E1">
      <w:pPr>
        <w:rPr>
          <w:szCs w:val="18"/>
        </w:rPr>
      </w:pPr>
      <w:r w:rsidRPr="007D03E1">
        <w:t>6</w:t>
      </w:r>
      <w:r w:rsidRPr="007D03E1">
        <w:tab/>
      </w:r>
      <w:bookmarkStart w:id="19" w:name="lt_pId057"/>
      <w:r w:rsidRPr="007D03E1">
        <w:t>Proposition 1:</w:t>
      </w:r>
      <w:bookmarkEnd w:id="19"/>
      <w:r w:rsidRPr="007D03E1">
        <w:t xml:space="preserve"> </w:t>
      </w:r>
      <w:bookmarkStart w:id="20" w:name="lt_pId058"/>
      <w:r w:rsidRPr="007D03E1">
        <w:t>collecter un droit annuel de 20 CHF pour les numéros UIFN et de 100 CHF</w:t>
      </w:r>
      <w:r>
        <w:rPr>
          <w:szCs w:val="18"/>
          <w:u w:color="000000"/>
        </w:rPr>
        <w:t xml:space="preserve"> pour les numéros IIN</w:t>
      </w:r>
      <w:bookmarkEnd w:id="20"/>
    </w:p>
    <w:p w14:paraId="2FE3D774" w14:textId="77777777" w:rsidR="00AA2394" w:rsidRPr="00C42A83" w:rsidRDefault="00C42A83" w:rsidP="007D03E1">
      <w:r>
        <w:t>Le modèle proposé repose sur les principes suivants:</w:t>
      </w:r>
    </w:p>
    <w:p w14:paraId="52CD3F3A" w14:textId="308053D1" w:rsidR="00C42A83" w:rsidRPr="00DD651A" w:rsidRDefault="00323809" w:rsidP="007D03E1">
      <w:pPr>
        <w:pStyle w:val="enumlev1"/>
      </w:pPr>
      <w:r>
        <w:t>•</w:t>
      </w:r>
      <w:r w:rsidR="00C42A83">
        <w:tab/>
        <w:t>Aucune modification ne serait apportée aux règles et aux procédures d</w:t>
      </w:r>
      <w:r w:rsidR="001E6E9B">
        <w:t>'</w:t>
      </w:r>
      <w:r w:rsidR="00C42A83">
        <w:t>attribution actuelles. En d</w:t>
      </w:r>
      <w:r w:rsidR="001E6E9B">
        <w:t>'</w:t>
      </w:r>
      <w:r w:rsidR="00C42A83">
        <w:t>autres termes, les numéros continueraient d</w:t>
      </w:r>
      <w:r w:rsidR="001E6E9B">
        <w:t>'</w:t>
      </w:r>
      <w:r w:rsidR="00C42A83">
        <w:t>être attribués comme ils le sont actuellement. Par conséquent, il ne serait pas possible de contourner les autorités nationales ou de se passer des numéros nationaux.</w:t>
      </w:r>
    </w:p>
    <w:p w14:paraId="26FF75DB" w14:textId="47861C0A" w:rsidR="00C42A83" w:rsidRPr="00DD651A" w:rsidRDefault="00323809" w:rsidP="007D03E1">
      <w:pPr>
        <w:pStyle w:val="enumlev1"/>
      </w:pPr>
      <w:r>
        <w:t>•</w:t>
      </w:r>
      <w:r w:rsidR="00C42A83">
        <w:tab/>
        <w:t>Aucune modification ne serait apportée aux mécanismes appliqués actuellement pour surveiller les attributions et l</w:t>
      </w:r>
      <w:r w:rsidR="001E6E9B">
        <w:t>'</w:t>
      </w:r>
      <w:r w:rsidR="00C42A83">
        <w:t>utilisation des ressources attribuées.</w:t>
      </w:r>
    </w:p>
    <w:p w14:paraId="3159079C" w14:textId="1F41279B" w:rsidR="00C42A83" w:rsidRPr="00DD651A" w:rsidRDefault="00323809" w:rsidP="007D03E1">
      <w:pPr>
        <w:pStyle w:val="enumlev1"/>
      </w:pPr>
      <w:r>
        <w:t>•</w:t>
      </w:r>
      <w:r w:rsidR="00C42A83">
        <w:tab/>
        <w:t>Seules les entités qui ne sont pas membres de l</w:t>
      </w:r>
      <w:r w:rsidR="001E6E9B">
        <w:t>'</w:t>
      </w:r>
      <w:r w:rsidR="00C42A83">
        <w:t>UIT-T dans un pays donné verseraient un droit annuel pour l</w:t>
      </w:r>
      <w:r w:rsidR="001E6E9B">
        <w:t>'</w:t>
      </w:r>
      <w:r w:rsidR="00C42A83">
        <w:t>utilisation des ressources INR.</w:t>
      </w:r>
    </w:p>
    <w:p w14:paraId="3F85B63A" w14:textId="0BFF0A2D" w:rsidR="00C42A83" w:rsidRPr="00DD651A" w:rsidRDefault="00323809" w:rsidP="007D03E1">
      <w:pPr>
        <w:pStyle w:val="enumlev1"/>
      </w:pPr>
      <w:r>
        <w:t>•</w:t>
      </w:r>
      <w:r w:rsidR="00C42A83">
        <w:tab/>
        <w:t>Il n</w:t>
      </w:r>
      <w:r w:rsidR="001E6E9B">
        <w:t>'</w:t>
      </w:r>
      <w:r w:rsidR="00C42A83">
        <w:t>y a aucun coût supplémentaire pour les Etats Membres, les Membres du Secteur ou les Associés de l</w:t>
      </w:r>
      <w:r w:rsidR="001E6E9B">
        <w:t>'</w:t>
      </w:r>
      <w:r w:rsidR="00C42A83">
        <w:t>UIT-T dans un pays donné.</w:t>
      </w:r>
    </w:p>
    <w:p w14:paraId="07AC9EA6" w14:textId="7D8CAF60" w:rsidR="00C42A83" w:rsidRPr="00DD651A" w:rsidRDefault="00323809" w:rsidP="007D03E1">
      <w:pPr>
        <w:pStyle w:val="enumlev1"/>
      </w:pPr>
      <w:r>
        <w:t>•</w:t>
      </w:r>
      <w:r w:rsidR="00C42A83">
        <w:tab/>
        <w:t>Ces nouveaux droits ne seraient pas rétroactifs: une entité à laquelle des numéros ont été attribués ne verserait pas les droits annuels pour les années précédentes.</w:t>
      </w:r>
    </w:p>
    <w:p w14:paraId="044EF60A" w14:textId="062F3116" w:rsidR="00C42A83" w:rsidRPr="00DD651A" w:rsidRDefault="00323809" w:rsidP="007D03E1">
      <w:pPr>
        <w:pStyle w:val="enumlev1"/>
      </w:pPr>
      <w:r>
        <w:t>•</w:t>
      </w:r>
      <w:r w:rsidR="00C42A83">
        <w:tab/>
        <w:t>Si le montant total des droits annuels à verser par une entité non membre devait dépasser 10 600 CHF, on considérerait que l</w:t>
      </w:r>
      <w:r w:rsidR="001E6E9B">
        <w:t>'</w:t>
      </w:r>
      <w:r w:rsidR="00C42A83">
        <w:t>entité concernée deviendrait alors un Associé d</w:t>
      </w:r>
      <w:r w:rsidR="001E6E9B">
        <w:t>'</w:t>
      </w:r>
      <w:r w:rsidR="00C42A83">
        <w:t>une commission d</w:t>
      </w:r>
      <w:r w:rsidR="001E6E9B">
        <w:t>'</w:t>
      </w:r>
      <w:r w:rsidR="00C42A83">
        <w:t>études de l</w:t>
      </w:r>
      <w:r w:rsidR="001E6E9B">
        <w:t>'</w:t>
      </w:r>
      <w:r w:rsidR="00C42A83">
        <w:t>UIT</w:t>
      </w:r>
      <w:r w:rsidR="00C42A83">
        <w:noBreakHyphen/>
        <w:t>T, dont le montant de la contribution s</w:t>
      </w:r>
      <w:r w:rsidR="001E6E9B">
        <w:t>'</w:t>
      </w:r>
      <w:r w:rsidR="00C42A83">
        <w:t>élève à 10 600 CHF par an; en outre, si le montant total des droits annuels à verser par une entité non membre de la catégorie des pays en développement mentionnée dans la Résolution 170 (Rév. Busan, 2014) de la Conférence de plénipotentiaires devait dépasser 3 975 CHF, on considérerait que l</w:t>
      </w:r>
      <w:r w:rsidR="001E6E9B">
        <w:t>'</w:t>
      </w:r>
      <w:r w:rsidR="00C42A83">
        <w:t>entité concernée deviendrait alors un Membre du Secteur de l</w:t>
      </w:r>
      <w:r w:rsidR="001E6E9B">
        <w:t>'</w:t>
      </w:r>
      <w:r w:rsidR="00C42A83">
        <w:t>UIT</w:t>
      </w:r>
      <w:r w:rsidR="00C42A83">
        <w:noBreakHyphen/>
        <w:t>T, dont le montant de la contribution s</w:t>
      </w:r>
      <w:r w:rsidR="001E6E9B">
        <w:t>'</w:t>
      </w:r>
      <w:r w:rsidR="00C42A83">
        <w:t>élève à 3 975 CHF par an.</w:t>
      </w:r>
    </w:p>
    <w:p w14:paraId="644185CB" w14:textId="79458232" w:rsidR="00AA2394" w:rsidRPr="00C42A83" w:rsidRDefault="00C42A83" w:rsidP="007D03E1">
      <w:r>
        <w:t>En contrepartie, les entités non membres de l</w:t>
      </w:r>
      <w:r w:rsidR="001E6E9B">
        <w:t>'</w:t>
      </w:r>
      <w:r>
        <w:t>UIT-T qui versent ce droit annuel pourront accéder aux bases de données sur les ressources INR, dont l</w:t>
      </w:r>
      <w:r w:rsidR="001E6E9B">
        <w:t>'</w:t>
      </w:r>
      <w:r>
        <w:t>accès est actuellement réservé aux Etats Membres de l</w:t>
      </w:r>
      <w:r w:rsidR="001E6E9B">
        <w:t>'</w:t>
      </w:r>
      <w:r>
        <w:t>UIT et aux Membres du Secteur de l</w:t>
      </w:r>
      <w:r w:rsidR="001E6E9B">
        <w:t>'</w:t>
      </w:r>
      <w:r>
        <w:t>UIT</w:t>
      </w:r>
      <w:r>
        <w:noBreakHyphen/>
        <w:t>T.</w:t>
      </w:r>
    </w:p>
    <w:p w14:paraId="40B6A45F" w14:textId="7FAEA3D8" w:rsidR="00C42A83" w:rsidRPr="00C42A83" w:rsidRDefault="00C42A83" w:rsidP="007D03E1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240"/>
        <w:jc w:val="both"/>
        <w:rPr>
          <w:rFonts w:asciiTheme="minorHAnsi" w:hAnsiTheme="minorHAnsi" w:cstheme="minorHAnsi"/>
          <w:szCs w:val="24"/>
          <w:u w:color="000000"/>
        </w:rPr>
      </w:pPr>
      <w:r>
        <w:rPr>
          <w:rFonts w:asciiTheme="minorHAnsi" w:hAnsiTheme="minorHAnsi"/>
          <w:szCs w:val="24"/>
          <w:u w:color="000000"/>
        </w:rPr>
        <w:t>La répartition des numéros UIFN et IIN au sein des entités membres et non-membres de l</w:t>
      </w:r>
      <w:r w:rsidR="001E6E9B">
        <w:rPr>
          <w:rFonts w:asciiTheme="minorHAnsi" w:hAnsiTheme="minorHAnsi"/>
          <w:szCs w:val="24"/>
          <w:u w:color="000000"/>
        </w:rPr>
        <w:t>'</w:t>
      </w:r>
      <w:r>
        <w:rPr>
          <w:rFonts w:asciiTheme="minorHAnsi" w:hAnsiTheme="minorHAnsi"/>
          <w:szCs w:val="24"/>
          <w:u w:color="000000"/>
        </w:rPr>
        <w:t>UIT-T est la suivante: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56"/>
        <w:gridCol w:w="1749"/>
        <w:gridCol w:w="1550"/>
        <w:gridCol w:w="1570"/>
        <w:gridCol w:w="992"/>
        <w:gridCol w:w="1415"/>
        <w:gridCol w:w="1697"/>
      </w:tblGrid>
      <w:tr w:rsidR="00103AF6" w:rsidRPr="0019514B" w14:paraId="459BE365" w14:textId="77777777" w:rsidTr="0019514B">
        <w:trPr>
          <w:jc w:val="center"/>
        </w:trPr>
        <w:tc>
          <w:tcPr>
            <w:tcW w:w="341" w:type="pct"/>
            <w:vAlign w:val="center"/>
          </w:tcPr>
          <w:p w14:paraId="39CCB25E" w14:textId="77777777" w:rsidR="00C42A83" w:rsidRPr="0019514B" w:rsidRDefault="00C42A83" w:rsidP="007D03E1">
            <w:pPr>
              <w:pStyle w:val="Tablehead"/>
            </w:pPr>
            <w:bookmarkStart w:id="21" w:name="lt_pId071"/>
            <w:r w:rsidRPr="0019514B">
              <w:t>INR</w:t>
            </w:r>
            <w:bookmarkEnd w:id="21"/>
          </w:p>
        </w:tc>
        <w:tc>
          <w:tcPr>
            <w:tcW w:w="908" w:type="pct"/>
            <w:vAlign w:val="center"/>
          </w:tcPr>
          <w:p w14:paraId="7CE3A287" w14:textId="77777777" w:rsidR="00C42A83" w:rsidRPr="0019514B" w:rsidRDefault="00C42A83" w:rsidP="007D03E1">
            <w:pPr>
              <w:pStyle w:val="Tablehead"/>
            </w:pPr>
            <w:bookmarkStart w:id="22" w:name="lt_pId072"/>
            <w:r w:rsidRPr="0019514B">
              <w:t>Etat au</w:t>
            </w:r>
            <w:bookmarkEnd w:id="22"/>
          </w:p>
        </w:tc>
        <w:tc>
          <w:tcPr>
            <w:tcW w:w="805" w:type="pct"/>
            <w:vAlign w:val="center"/>
          </w:tcPr>
          <w:p w14:paraId="43DF01D7" w14:textId="77777777" w:rsidR="00C42A83" w:rsidRPr="0019514B" w:rsidRDefault="00C42A83" w:rsidP="007D03E1">
            <w:pPr>
              <w:pStyle w:val="Tablehead"/>
            </w:pPr>
            <w:bookmarkStart w:id="23" w:name="lt_pId073"/>
            <w:r w:rsidRPr="0019514B">
              <w:t>Nombre de numéros assignés aux membres</w:t>
            </w:r>
            <w:bookmarkEnd w:id="23"/>
          </w:p>
        </w:tc>
        <w:tc>
          <w:tcPr>
            <w:tcW w:w="815" w:type="pct"/>
            <w:vAlign w:val="center"/>
          </w:tcPr>
          <w:p w14:paraId="5D56650D" w14:textId="77777777" w:rsidR="00C42A83" w:rsidRPr="0019514B" w:rsidRDefault="00C42A83" w:rsidP="007D03E1">
            <w:pPr>
              <w:pStyle w:val="Tablehead"/>
            </w:pPr>
            <w:bookmarkStart w:id="24" w:name="lt_pId074"/>
            <w:r w:rsidRPr="0019514B">
              <w:t>Nombre de numéros assignés aux non-membres</w:t>
            </w:r>
            <w:bookmarkEnd w:id="24"/>
          </w:p>
        </w:tc>
        <w:tc>
          <w:tcPr>
            <w:tcW w:w="515" w:type="pct"/>
            <w:vAlign w:val="center"/>
          </w:tcPr>
          <w:p w14:paraId="566F9CA8" w14:textId="77777777" w:rsidR="00C42A83" w:rsidRPr="0019514B" w:rsidRDefault="00C42A83" w:rsidP="007D03E1">
            <w:pPr>
              <w:pStyle w:val="Tablehead"/>
            </w:pPr>
            <w:bookmarkStart w:id="25" w:name="lt_pId075"/>
            <w:r w:rsidRPr="0019514B">
              <w:t>Nombre total</w:t>
            </w:r>
            <w:bookmarkEnd w:id="25"/>
          </w:p>
        </w:tc>
        <w:tc>
          <w:tcPr>
            <w:tcW w:w="735" w:type="pct"/>
          </w:tcPr>
          <w:p w14:paraId="45A71B90" w14:textId="2A0E1B54" w:rsidR="00C42A83" w:rsidRPr="0019514B" w:rsidRDefault="00C42A83" w:rsidP="009337F8">
            <w:pPr>
              <w:pStyle w:val="Tablehead"/>
            </w:pPr>
            <w:bookmarkStart w:id="26" w:name="lt_pId076"/>
            <w:r w:rsidRPr="0019514B">
              <w:t>N</w:t>
            </w:r>
            <w:r w:rsidR="009337F8" w:rsidRPr="0019514B">
              <w:t>ombre</w:t>
            </w:r>
            <w:r w:rsidRPr="0019514B">
              <w:t xml:space="preserve"> des attributaires</w:t>
            </w:r>
            <w:bookmarkStart w:id="27" w:name="lt_pId077"/>
            <w:bookmarkEnd w:id="26"/>
            <w:r w:rsidR="007D03E1" w:rsidRPr="0019514B">
              <w:t xml:space="preserve"> </w:t>
            </w:r>
            <w:r w:rsidR="00323809">
              <w:t>(M</w:t>
            </w:r>
            <w:r w:rsidRPr="0019514B">
              <w:t>embres)</w:t>
            </w:r>
            <w:bookmarkEnd w:id="27"/>
          </w:p>
        </w:tc>
        <w:tc>
          <w:tcPr>
            <w:tcW w:w="881" w:type="pct"/>
          </w:tcPr>
          <w:p w14:paraId="36D93390" w14:textId="0EFE7A96" w:rsidR="00C42A83" w:rsidRPr="0019514B" w:rsidRDefault="009337F8" w:rsidP="007D03E1">
            <w:pPr>
              <w:pStyle w:val="Tablehead"/>
            </w:pPr>
            <w:bookmarkStart w:id="28" w:name="lt_pId078"/>
            <w:r w:rsidRPr="0019514B">
              <w:t>Nombre</w:t>
            </w:r>
            <w:r w:rsidR="00323809">
              <w:t xml:space="preserve"> des attributaires (non-M</w:t>
            </w:r>
            <w:r w:rsidR="00C42A83" w:rsidRPr="0019514B">
              <w:t>embres)</w:t>
            </w:r>
            <w:bookmarkEnd w:id="28"/>
          </w:p>
        </w:tc>
      </w:tr>
      <w:tr w:rsidR="00103AF6" w:rsidRPr="0019514B" w14:paraId="1FCD85C2" w14:textId="77777777" w:rsidTr="0019514B">
        <w:trPr>
          <w:jc w:val="center"/>
        </w:trPr>
        <w:tc>
          <w:tcPr>
            <w:tcW w:w="341" w:type="pct"/>
            <w:vAlign w:val="bottom"/>
          </w:tcPr>
          <w:p w14:paraId="086F697E" w14:textId="4B82A036" w:rsidR="00C42A83" w:rsidRPr="0019514B" w:rsidRDefault="00C42A83" w:rsidP="007D03E1">
            <w:pPr>
              <w:pStyle w:val="Tabletext"/>
            </w:pPr>
            <w:bookmarkStart w:id="29" w:name="lt_pId079"/>
            <w:r w:rsidRPr="0019514B">
              <w:t>UIFN</w:t>
            </w:r>
            <w:bookmarkEnd w:id="29"/>
          </w:p>
        </w:tc>
        <w:tc>
          <w:tcPr>
            <w:tcW w:w="908" w:type="pct"/>
            <w:vAlign w:val="bottom"/>
          </w:tcPr>
          <w:p w14:paraId="352ECB69" w14:textId="3CE50F5A" w:rsidR="00C42A83" w:rsidRPr="0019514B" w:rsidRDefault="00C42A83" w:rsidP="00F67B25">
            <w:pPr>
              <w:pStyle w:val="Tabletext"/>
              <w:rPr>
                <w:spacing w:val="-4"/>
              </w:rPr>
            </w:pPr>
            <w:bookmarkStart w:id="30" w:name="lt_pId080"/>
            <w:r w:rsidRPr="0019514B">
              <w:rPr>
                <w:spacing w:val="-4"/>
              </w:rPr>
              <w:t>23 oct</w:t>
            </w:r>
            <w:r w:rsidR="00F67B25" w:rsidRPr="0019514B">
              <w:rPr>
                <w:spacing w:val="-4"/>
              </w:rPr>
              <w:t>obre</w:t>
            </w:r>
            <w:r w:rsidRPr="0019514B">
              <w:rPr>
                <w:spacing w:val="-4"/>
              </w:rPr>
              <w:t xml:space="preserve"> 2014</w:t>
            </w:r>
            <w:bookmarkEnd w:id="30"/>
          </w:p>
        </w:tc>
        <w:tc>
          <w:tcPr>
            <w:tcW w:w="805" w:type="pct"/>
            <w:vAlign w:val="bottom"/>
          </w:tcPr>
          <w:p w14:paraId="5F3E3D4E" w14:textId="77777777" w:rsidR="00C42A83" w:rsidRPr="0019514B" w:rsidRDefault="00C42A83" w:rsidP="007D03E1">
            <w:pPr>
              <w:pStyle w:val="Tabletext"/>
              <w:jc w:val="right"/>
            </w:pPr>
            <w:r w:rsidRPr="0019514B">
              <w:t>28 382</w:t>
            </w:r>
          </w:p>
        </w:tc>
        <w:tc>
          <w:tcPr>
            <w:tcW w:w="815" w:type="pct"/>
            <w:vAlign w:val="bottom"/>
          </w:tcPr>
          <w:p w14:paraId="71C2C215" w14:textId="77777777" w:rsidR="00C42A83" w:rsidRPr="0019514B" w:rsidRDefault="00C42A83" w:rsidP="007D03E1">
            <w:pPr>
              <w:pStyle w:val="Tabletext"/>
              <w:jc w:val="right"/>
            </w:pPr>
            <w:r w:rsidRPr="0019514B">
              <w:t>8 618</w:t>
            </w:r>
          </w:p>
        </w:tc>
        <w:tc>
          <w:tcPr>
            <w:tcW w:w="515" w:type="pct"/>
            <w:vAlign w:val="bottom"/>
          </w:tcPr>
          <w:p w14:paraId="579C9D48" w14:textId="77777777" w:rsidR="00C42A83" w:rsidRPr="0019514B" w:rsidRDefault="00C42A83" w:rsidP="007D03E1">
            <w:pPr>
              <w:pStyle w:val="Tabletext"/>
              <w:jc w:val="right"/>
            </w:pPr>
            <w:r w:rsidRPr="0019514B">
              <w:t>37 000</w:t>
            </w:r>
          </w:p>
        </w:tc>
        <w:tc>
          <w:tcPr>
            <w:tcW w:w="735" w:type="pct"/>
          </w:tcPr>
          <w:p w14:paraId="2E4AC486" w14:textId="77777777" w:rsidR="00C42A83" w:rsidRPr="0019514B" w:rsidRDefault="00C42A83" w:rsidP="007D03E1">
            <w:pPr>
              <w:pStyle w:val="Tabletext"/>
              <w:jc w:val="right"/>
            </w:pPr>
            <w:r w:rsidRPr="0019514B">
              <w:t>43</w:t>
            </w:r>
          </w:p>
        </w:tc>
        <w:tc>
          <w:tcPr>
            <w:tcW w:w="881" w:type="pct"/>
          </w:tcPr>
          <w:p w14:paraId="05621BB4" w14:textId="77777777" w:rsidR="00C42A83" w:rsidRPr="0019514B" w:rsidRDefault="00C42A83" w:rsidP="007D03E1">
            <w:pPr>
              <w:pStyle w:val="Tabletext"/>
              <w:jc w:val="right"/>
            </w:pPr>
            <w:r w:rsidRPr="0019514B">
              <w:t>69</w:t>
            </w:r>
          </w:p>
        </w:tc>
      </w:tr>
      <w:tr w:rsidR="00103AF6" w:rsidRPr="0019514B" w14:paraId="50DD785B" w14:textId="77777777" w:rsidTr="0019514B">
        <w:trPr>
          <w:jc w:val="center"/>
        </w:trPr>
        <w:tc>
          <w:tcPr>
            <w:tcW w:w="341" w:type="pct"/>
            <w:vAlign w:val="bottom"/>
          </w:tcPr>
          <w:p w14:paraId="2A913440" w14:textId="6A3851E3" w:rsidR="00C42A83" w:rsidRPr="0019514B" w:rsidRDefault="00C42A83" w:rsidP="007D03E1">
            <w:pPr>
              <w:pStyle w:val="Tabletext"/>
            </w:pPr>
            <w:bookmarkStart w:id="31" w:name="lt_pId086"/>
            <w:r w:rsidRPr="0019514B">
              <w:t>IIN</w:t>
            </w:r>
            <w:bookmarkEnd w:id="31"/>
          </w:p>
        </w:tc>
        <w:tc>
          <w:tcPr>
            <w:tcW w:w="908" w:type="pct"/>
            <w:vAlign w:val="bottom"/>
          </w:tcPr>
          <w:p w14:paraId="1F8E4DC0" w14:textId="77777777" w:rsidR="00C42A83" w:rsidRPr="0019514B" w:rsidRDefault="00C42A83" w:rsidP="007D03E1">
            <w:pPr>
              <w:pStyle w:val="Tabletext"/>
            </w:pPr>
            <w:bookmarkStart w:id="32" w:name="lt_pId087"/>
            <w:r w:rsidRPr="0019514B">
              <w:t>1er août 2014</w:t>
            </w:r>
            <w:bookmarkEnd w:id="32"/>
          </w:p>
        </w:tc>
        <w:tc>
          <w:tcPr>
            <w:tcW w:w="805" w:type="pct"/>
            <w:vAlign w:val="bottom"/>
          </w:tcPr>
          <w:p w14:paraId="314971B4" w14:textId="77777777" w:rsidR="00C42A83" w:rsidRPr="0019514B" w:rsidRDefault="00C42A83" w:rsidP="007D03E1">
            <w:pPr>
              <w:pStyle w:val="Tabletext"/>
              <w:jc w:val="right"/>
            </w:pPr>
            <w:r w:rsidRPr="0019514B">
              <w:t>100</w:t>
            </w:r>
          </w:p>
        </w:tc>
        <w:tc>
          <w:tcPr>
            <w:tcW w:w="815" w:type="pct"/>
            <w:vAlign w:val="bottom"/>
          </w:tcPr>
          <w:p w14:paraId="699BCDA5" w14:textId="77777777" w:rsidR="00C42A83" w:rsidRPr="0019514B" w:rsidRDefault="00C42A83" w:rsidP="007D03E1">
            <w:pPr>
              <w:pStyle w:val="Tabletext"/>
              <w:jc w:val="right"/>
            </w:pPr>
            <w:r w:rsidRPr="0019514B">
              <w:t>623</w:t>
            </w:r>
          </w:p>
        </w:tc>
        <w:tc>
          <w:tcPr>
            <w:tcW w:w="515" w:type="pct"/>
            <w:vAlign w:val="bottom"/>
          </w:tcPr>
          <w:p w14:paraId="192D292E" w14:textId="77777777" w:rsidR="00C42A83" w:rsidRPr="0019514B" w:rsidRDefault="00C42A83" w:rsidP="007D03E1">
            <w:pPr>
              <w:pStyle w:val="Tabletext"/>
              <w:jc w:val="right"/>
            </w:pPr>
            <w:r w:rsidRPr="0019514B">
              <w:t>723</w:t>
            </w:r>
          </w:p>
        </w:tc>
        <w:tc>
          <w:tcPr>
            <w:tcW w:w="735" w:type="pct"/>
          </w:tcPr>
          <w:p w14:paraId="74919550" w14:textId="77777777" w:rsidR="00C42A83" w:rsidRPr="0019514B" w:rsidRDefault="00C42A83" w:rsidP="007D03E1">
            <w:pPr>
              <w:pStyle w:val="Tabletext"/>
              <w:jc w:val="right"/>
            </w:pPr>
            <w:r w:rsidRPr="0019514B">
              <w:t>70</w:t>
            </w:r>
          </w:p>
        </w:tc>
        <w:tc>
          <w:tcPr>
            <w:tcW w:w="881" w:type="pct"/>
          </w:tcPr>
          <w:p w14:paraId="101A0278" w14:textId="77777777" w:rsidR="00C42A83" w:rsidRPr="0019514B" w:rsidRDefault="00C42A83" w:rsidP="007D03E1">
            <w:pPr>
              <w:pStyle w:val="Tabletext"/>
              <w:jc w:val="right"/>
            </w:pPr>
            <w:r w:rsidRPr="0019514B">
              <w:t>562</w:t>
            </w:r>
          </w:p>
        </w:tc>
      </w:tr>
    </w:tbl>
    <w:p w14:paraId="5B5F0ED4" w14:textId="098CD94D" w:rsidR="00C42A83" w:rsidRPr="00C42A83" w:rsidRDefault="00C42A83" w:rsidP="00BD76B5">
      <w:pPr>
        <w:spacing w:before="240"/>
      </w:pPr>
      <w:bookmarkStart w:id="33" w:name="lt_pId093"/>
      <w:r>
        <w:t>Considérant que le droit annuel est de 20 CHF pour les numéros UIFN et de 100 CHF pour les numéros IIN et sachant qu</w:t>
      </w:r>
      <w:r w:rsidR="001E6E9B">
        <w:t>'</w:t>
      </w:r>
      <w:r>
        <w:t>aucun numéro UIFN ne sera retourné, les recettes annuelles totales provenant des entités non-membres se monteraient à 164 560 CHF, incluant les frais d</w:t>
      </w:r>
      <w:r w:rsidR="001E6E9B">
        <w:t>'</w:t>
      </w:r>
      <w:r>
        <w:t>adhésion pour ces entités auxquelles il serait moins cher de se joindre en tant qu</w:t>
      </w:r>
      <w:r w:rsidR="001E6E9B">
        <w:t>'</w:t>
      </w:r>
      <w:r>
        <w:t>Associés (quatre entités qui possèdent ensemble plus de 5 600 numéros UIFN et IIN attribués).</w:t>
      </w:r>
      <w:bookmarkEnd w:id="33"/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983"/>
        <w:gridCol w:w="1985"/>
        <w:gridCol w:w="1842"/>
      </w:tblGrid>
      <w:tr w:rsidR="002B586A" w:rsidRPr="00C42A83" w14:paraId="79B6EA61" w14:textId="77777777" w:rsidTr="002B586A">
        <w:trPr>
          <w:trHeight w:val="720"/>
          <w:jc w:val="center"/>
        </w:trPr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B7B3" w14:textId="77777777" w:rsidR="00C42A83" w:rsidRPr="007344CE" w:rsidRDefault="00C42A83" w:rsidP="002B586A">
            <w:pPr>
              <w:pStyle w:val="Tablehead"/>
              <w:keepNext/>
              <w:keepLines/>
              <w:rPr>
                <w:lang w:eastAsia="fr-FR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4250" w14:textId="4A6C11D2" w:rsidR="00C42A83" w:rsidRPr="00C42A83" w:rsidRDefault="00C42A83" w:rsidP="002B586A">
            <w:pPr>
              <w:pStyle w:val="Tablehead"/>
              <w:keepNext/>
              <w:keepLines/>
              <w:rPr>
                <w:rFonts w:cs="Calibri"/>
                <w:color w:val="000000"/>
              </w:rPr>
            </w:pPr>
            <w:bookmarkStart w:id="34" w:name="lt_pId094"/>
            <w:r>
              <w:rPr>
                <w:color w:val="000000"/>
              </w:rPr>
              <w:t>Nomb</w:t>
            </w:r>
            <w:r w:rsidR="00323809">
              <w:rPr>
                <w:color w:val="000000"/>
              </w:rPr>
              <w:t>re de numéros assignés aux non-M</w:t>
            </w:r>
            <w:r>
              <w:rPr>
                <w:color w:val="000000"/>
              </w:rPr>
              <w:t>embres</w:t>
            </w:r>
            <w:bookmarkEnd w:id="34"/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F3AB" w14:textId="77777777" w:rsidR="00C42A83" w:rsidRPr="00B95AF2" w:rsidRDefault="00C42A83" w:rsidP="002B586A">
            <w:pPr>
              <w:pStyle w:val="Tablehead"/>
              <w:keepNext/>
              <w:keepLines/>
              <w:rPr>
                <w:rFonts w:cs="Calibri"/>
                <w:color w:val="000000"/>
              </w:rPr>
            </w:pPr>
            <w:bookmarkStart w:id="35" w:name="lt_pId095"/>
            <w:r>
              <w:rPr>
                <w:color w:val="000000"/>
              </w:rPr>
              <w:t>Droit annuel proposé</w:t>
            </w:r>
            <w:bookmarkEnd w:id="35"/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C3A9" w14:textId="6CE3EDEB" w:rsidR="00C42A83" w:rsidRPr="00C42A83" w:rsidRDefault="00C42A83" w:rsidP="002B586A">
            <w:pPr>
              <w:pStyle w:val="Tablehead"/>
              <w:keepNext/>
              <w:keepLines/>
              <w:rPr>
                <w:rFonts w:cs="Calibri"/>
                <w:color w:val="000000"/>
              </w:rPr>
            </w:pPr>
            <w:bookmarkStart w:id="36" w:name="lt_pId096"/>
            <w:r>
              <w:rPr>
                <w:color w:val="000000"/>
              </w:rPr>
              <w:t>R</w:t>
            </w:r>
            <w:r w:rsidR="00323809">
              <w:rPr>
                <w:color w:val="000000"/>
              </w:rPr>
              <w:t>ecettes annuelles pour les non-M</w:t>
            </w:r>
            <w:r>
              <w:rPr>
                <w:color w:val="000000"/>
              </w:rPr>
              <w:t>embres</w:t>
            </w:r>
            <w:bookmarkEnd w:id="36"/>
          </w:p>
        </w:tc>
      </w:tr>
      <w:tr w:rsidR="002B586A" w14:paraId="6B59BF26" w14:textId="77777777" w:rsidTr="002B586A">
        <w:trPr>
          <w:trHeight w:val="300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9016" w14:textId="2C031D28" w:rsidR="00C42A83" w:rsidRPr="00B95AF2" w:rsidRDefault="00C42A83" w:rsidP="002B586A">
            <w:pPr>
              <w:pStyle w:val="Tabletext"/>
              <w:keepNext/>
              <w:keepLines/>
              <w:rPr>
                <w:rFonts w:cs="Calibri"/>
                <w:color w:val="000000"/>
              </w:rPr>
            </w:pPr>
            <w:bookmarkStart w:id="37" w:name="lt_pId097"/>
            <w:r>
              <w:rPr>
                <w:color w:val="000000"/>
              </w:rPr>
              <w:t>UIFN</w:t>
            </w:r>
            <w:bookmarkEnd w:id="37"/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8352" w14:textId="77777777" w:rsidR="00C42A83" w:rsidRPr="00B95AF2" w:rsidRDefault="00C42A83" w:rsidP="002B586A">
            <w:pPr>
              <w:pStyle w:val="Tabletext"/>
              <w:keepNext/>
              <w:keepLines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8 618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A6DA" w14:textId="77777777" w:rsidR="00C42A83" w:rsidRPr="00B95AF2" w:rsidRDefault="00C42A83" w:rsidP="002B586A">
            <w:pPr>
              <w:pStyle w:val="Tabletext"/>
              <w:keepNext/>
              <w:keepLines/>
              <w:jc w:val="right"/>
              <w:rPr>
                <w:rFonts w:cs="Calibri"/>
                <w:color w:val="000000"/>
              </w:rPr>
            </w:pPr>
            <w:bookmarkStart w:id="38" w:name="lt_pId099"/>
            <w:r>
              <w:rPr>
                <w:color w:val="000000"/>
              </w:rPr>
              <w:t>CHF 20</w:t>
            </w:r>
            <w:bookmarkEnd w:id="38"/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A64D" w14:textId="77777777" w:rsidR="00C42A83" w:rsidRPr="00B95AF2" w:rsidRDefault="00C42A83" w:rsidP="002B586A">
            <w:pPr>
              <w:pStyle w:val="Tabletext"/>
              <w:keepNext/>
              <w:keepLines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172 360</w:t>
            </w:r>
          </w:p>
        </w:tc>
      </w:tr>
      <w:tr w:rsidR="002B586A" w14:paraId="0EBB41CF" w14:textId="77777777" w:rsidTr="002B586A">
        <w:trPr>
          <w:trHeight w:val="300"/>
          <w:jc w:val="center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F336" w14:textId="78A73EEA" w:rsidR="00C42A83" w:rsidRPr="00B95AF2" w:rsidRDefault="00C42A83" w:rsidP="002B586A">
            <w:pPr>
              <w:pStyle w:val="Tabletext"/>
              <w:keepNext/>
              <w:keepLines/>
              <w:rPr>
                <w:rFonts w:cs="Calibri"/>
                <w:color w:val="000000"/>
              </w:rPr>
            </w:pPr>
            <w:bookmarkStart w:id="39" w:name="lt_pId101"/>
            <w:r>
              <w:rPr>
                <w:color w:val="000000"/>
              </w:rPr>
              <w:t>IIN</w:t>
            </w:r>
            <w:bookmarkEnd w:id="39"/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59BA" w14:textId="77777777" w:rsidR="00C42A83" w:rsidRPr="00B95AF2" w:rsidRDefault="00C42A83" w:rsidP="002B586A">
            <w:pPr>
              <w:pStyle w:val="Tabletext"/>
              <w:keepNext/>
              <w:keepLines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623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F8D5" w14:textId="77777777" w:rsidR="00C42A83" w:rsidRPr="00B95AF2" w:rsidRDefault="00C42A83" w:rsidP="002B586A">
            <w:pPr>
              <w:pStyle w:val="Tabletext"/>
              <w:keepNext/>
              <w:keepLines/>
              <w:jc w:val="right"/>
              <w:rPr>
                <w:rFonts w:cs="Calibri"/>
                <w:color w:val="000000"/>
              </w:rPr>
            </w:pPr>
            <w:bookmarkStart w:id="40" w:name="lt_pId103"/>
            <w:r>
              <w:rPr>
                <w:color w:val="000000"/>
              </w:rPr>
              <w:t>CHF 100</w:t>
            </w:r>
            <w:bookmarkEnd w:id="40"/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C911" w14:textId="77777777" w:rsidR="00C42A83" w:rsidRPr="00B95AF2" w:rsidRDefault="00C42A83" w:rsidP="002B586A">
            <w:pPr>
              <w:pStyle w:val="Tabletext"/>
              <w:keepNext/>
              <w:keepLines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62 300 </w:t>
            </w:r>
          </w:p>
        </w:tc>
      </w:tr>
      <w:tr w:rsidR="002B586A" w14:paraId="5879392A" w14:textId="77777777" w:rsidTr="002B586A">
        <w:trPr>
          <w:trHeight w:val="300"/>
          <w:jc w:val="center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5141" w14:textId="156661CE" w:rsidR="00C42A83" w:rsidRPr="00B95AF2" w:rsidRDefault="00C42A83" w:rsidP="002B586A">
            <w:pPr>
              <w:pStyle w:val="Tabletext"/>
              <w:keepNext/>
              <w:keepLines/>
              <w:rPr>
                <w:rFonts w:cs="Calibri"/>
                <w:color w:val="000000"/>
              </w:rPr>
            </w:pPr>
            <w:bookmarkStart w:id="41" w:name="lt_pId105"/>
            <w:r>
              <w:rPr>
                <w:color w:val="000000"/>
              </w:rPr>
              <w:t>Total</w:t>
            </w:r>
            <w:bookmarkEnd w:id="41"/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0726" w14:textId="77777777" w:rsidR="00C42A83" w:rsidRPr="00B95AF2" w:rsidRDefault="00C42A83" w:rsidP="002B586A">
            <w:pPr>
              <w:pStyle w:val="Tabletext"/>
              <w:keepNext/>
              <w:keepLines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9 241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2328" w14:textId="363ADD16" w:rsidR="00C42A83" w:rsidRPr="00B95AF2" w:rsidRDefault="00D85B52" w:rsidP="002B586A">
            <w:pPr>
              <w:pStyle w:val="Tabletext"/>
              <w:keepNext/>
              <w:keepLines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9405" w14:textId="77777777" w:rsidR="00C42A83" w:rsidRPr="00B95AF2" w:rsidRDefault="00C42A83" w:rsidP="002B586A">
            <w:pPr>
              <w:pStyle w:val="Tabletext"/>
              <w:keepNext/>
              <w:keepLines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234 660 </w:t>
            </w:r>
          </w:p>
        </w:tc>
      </w:tr>
      <w:tr w:rsidR="002B586A" w14:paraId="7C25C219" w14:textId="77777777" w:rsidTr="002B586A">
        <w:trPr>
          <w:trHeight w:val="300"/>
          <w:jc w:val="center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E6AF" w14:textId="39C39A10" w:rsidR="00C42A83" w:rsidRPr="00B95AF2" w:rsidRDefault="00C42A83" w:rsidP="002B586A">
            <w:pPr>
              <w:pStyle w:val="Tabletext"/>
              <w:keepNext/>
              <w:keepLines/>
              <w:rPr>
                <w:rFonts w:cs="Calibri"/>
                <w:color w:val="000000"/>
              </w:rPr>
            </w:pPr>
            <w:bookmarkStart w:id="42" w:name="lt_pId109"/>
            <w:r>
              <w:rPr>
                <w:color w:val="000000"/>
              </w:rPr>
              <w:t>Coupe à 10 600</w:t>
            </w:r>
            <w:bookmarkEnd w:id="42"/>
            <w:r>
              <w:rPr>
                <w:color w:val="000000"/>
              </w:rPr>
              <w:t xml:space="preserve"> 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AD07" w14:textId="77777777" w:rsidR="00C42A83" w:rsidRPr="00B95AF2" w:rsidRDefault="00C42A83" w:rsidP="002B586A">
            <w:pPr>
              <w:pStyle w:val="Tabletext"/>
              <w:keepNext/>
              <w:keepLines/>
              <w:jc w:val="right"/>
              <w:rPr>
                <w:rFonts w:cs="Calibri"/>
                <w:color w:val="000000"/>
                <w:lang w:eastAsia="fr-FR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BD23" w14:textId="77777777" w:rsidR="00C42A83" w:rsidRPr="00B95AF2" w:rsidRDefault="00C42A83" w:rsidP="002B586A">
            <w:pPr>
              <w:pStyle w:val="Tabletext"/>
              <w:keepNext/>
              <w:keepLines/>
              <w:jc w:val="right"/>
              <w:rPr>
                <w:rFonts w:cs="Calibri"/>
                <w:color w:val="000000"/>
                <w:lang w:eastAsia="fr-FR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A827" w14:textId="77777777" w:rsidR="00C42A83" w:rsidRPr="00B95AF2" w:rsidRDefault="00C42A83" w:rsidP="002B586A">
            <w:pPr>
              <w:pStyle w:val="Tabletext"/>
              <w:keepNext/>
              <w:keepLines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164 560</w:t>
            </w:r>
          </w:p>
        </w:tc>
      </w:tr>
    </w:tbl>
    <w:p w14:paraId="4F94226E" w14:textId="5D0511E2" w:rsidR="00C42A83" w:rsidRPr="00C42A83" w:rsidRDefault="00C42A83" w:rsidP="00D85B52">
      <w:pPr>
        <w:spacing w:before="240"/>
        <w:rPr>
          <w:szCs w:val="18"/>
          <w:u w:color="000000"/>
        </w:rPr>
      </w:pPr>
      <w:r w:rsidRPr="00D85B52">
        <w:t>7</w:t>
      </w:r>
      <w:r w:rsidRPr="00D85B52">
        <w:tab/>
      </w:r>
      <w:bookmarkStart w:id="43" w:name="lt_pId112"/>
      <w:r w:rsidRPr="00D85B52">
        <w:t>Proposition 2:</w:t>
      </w:r>
      <w:bookmarkEnd w:id="43"/>
      <w:r w:rsidRPr="00D85B52">
        <w:t xml:space="preserve"> </w:t>
      </w:r>
      <w:bookmarkStart w:id="44" w:name="lt_pId113"/>
      <w:r w:rsidRPr="00D85B52">
        <w:t>augmenter le droit unique d</w:t>
      </w:r>
      <w:r w:rsidR="001E6E9B">
        <w:t>'</w:t>
      </w:r>
      <w:r w:rsidRPr="00D85B52">
        <w:t>enregistrement à</w:t>
      </w:r>
      <w:bookmarkEnd w:id="44"/>
      <w:r w:rsidRPr="00D85B52">
        <w:t xml:space="preserve"> </w:t>
      </w:r>
      <w:bookmarkStart w:id="45" w:name="lt_pId114"/>
      <w:r w:rsidRPr="00D85B52">
        <w:t>300 CHF pour les numéros</w:t>
      </w:r>
      <w:r>
        <w:rPr>
          <w:szCs w:val="18"/>
          <w:u w:color="000000"/>
        </w:rPr>
        <w:t xml:space="preserve"> UIFN et 150 CHF pour les numéros IIN</w:t>
      </w:r>
      <w:bookmarkEnd w:id="45"/>
    </w:p>
    <w:p w14:paraId="00F9BECA" w14:textId="443E2BB1" w:rsidR="00C42A83" w:rsidRPr="00C42A83" w:rsidRDefault="00C42A83" w:rsidP="007D03E1">
      <w:pPr>
        <w:rPr>
          <w:u w:color="000000"/>
        </w:rPr>
      </w:pPr>
      <w:bookmarkStart w:id="46" w:name="lt_pId115"/>
      <w:r>
        <w:t>Actuellement, le droit unique d</w:t>
      </w:r>
      <w:r w:rsidR="001E6E9B">
        <w:t>'</w:t>
      </w:r>
      <w:r>
        <w:t>enregistrement est de 200 CHF</w:t>
      </w:r>
      <w:r w:rsidR="00323809">
        <w:t xml:space="preserve"> par numéro UIFN attribué et de </w:t>
      </w:r>
      <w:r>
        <w:t>80 CHF par numéro IIN attribué.</w:t>
      </w:r>
      <w:bookmarkEnd w:id="46"/>
    </w:p>
    <w:p w14:paraId="08190348" w14:textId="2E887041" w:rsidR="00C42A83" w:rsidRPr="00C42A83" w:rsidRDefault="00C42A83" w:rsidP="007D03E1">
      <w:pPr>
        <w:rPr>
          <w:u w:color="000000"/>
        </w:rPr>
      </w:pPr>
      <w:bookmarkStart w:id="47" w:name="lt_pId116"/>
      <w:r>
        <w:t>Il est proposé d</w:t>
      </w:r>
      <w:r w:rsidR="001E6E9B">
        <w:t>'</w:t>
      </w:r>
      <w:r>
        <w:t>augmenter ces montants à 200 CHF et 300 CHF, respectivement, pour les numéros UIFN et les numéros IIN.</w:t>
      </w:r>
      <w:bookmarkEnd w:id="47"/>
    </w:p>
    <w:p w14:paraId="429FA7F7" w14:textId="41AF4136" w:rsidR="00C42A83" w:rsidRPr="00C42A83" w:rsidRDefault="00C42A83" w:rsidP="00D85B52">
      <w:pPr>
        <w:spacing w:after="120"/>
        <w:rPr>
          <w:highlight w:val="yellow"/>
        </w:rPr>
      </w:pPr>
      <w:bookmarkStart w:id="48" w:name="lt_pId117"/>
      <w:r>
        <w:t>A supposer que l</w:t>
      </w:r>
      <w:r w:rsidR="001E6E9B">
        <w:t>'</w:t>
      </w:r>
      <w:r>
        <w:t>on augmente les droits uniques d</w:t>
      </w:r>
      <w:r w:rsidR="001E6E9B">
        <w:t>'</w:t>
      </w:r>
      <w:r>
        <w:t>enregistrement et si l</w:t>
      </w:r>
      <w:r w:rsidR="001E6E9B">
        <w:t>'</w:t>
      </w:r>
      <w:r>
        <w:t>on se base sur l</w:t>
      </w:r>
      <w:r w:rsidR="001E6E9B">
        <w:t>'</w:t>
      </w:r>
      <w:r>
        <w:t>attribution actuelle de 750 numéros UIFN et de 20 numéros IIN environ par an, les recettes suivantes seraient générées.</w:t>
      </w:r>
      <w:bookmarkEnd w:id="48"/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3"/>
        <w:gridCol w:w="1866"/>
        <w:gridCol w:w="1950"/>
        <w:gridCol w:w="1860"/>
        <w:gridCol w:w="2280"/>
      </w:tblGrid>
      <w:tr w:rsidR="00C42A83" w:rsidRPr="00C42A83" w14:paraId="55B182F4" w14:textId="77777777" w:rsidTr="00D85B52">
        <w:trPr>
          <w:trHeight w:val="900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86AA" w14:textId="77777777" w:rsidR="00C42A83" w:rsidRPr="00B95AF2" w:rsidRDefault="00C42A83" w:rsidP="00D85B52">
            <w:pPr>
              <w:pStyle w:val="Tablehead"/>
              <w:rPr>
                <w:rFonts w:cs="Calibri"/>
              </w:rPr>
            </w:pPr>
            <w:bookmarkStart w:id="49" w:name="lt_pId118"/>
            <w:r>
              <w:t>INR</w:t>
            </w:r>
            <w:bookmarkEnd w:id="49"/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DF9" w14:textId="77777777" w:rsidR="00C42A83" w:rsidRPr="00C42A83" w:rsidRDefault="00C42A83" w:rsidP="00D85B52">
            <w:pPr>
              <w:pStyle w:val="Tablehead"/>
              <w:rPr>
                <w:rFonts w:cs="Calibri"/>
              </w:rPr>
            </w:pPr>
            <w:bookmarkStart w:id="50" w:name="lt_pId119"/>
            <w:r>
              <w:t>Nombre de numéros assignés par an</w:t>
            </w:r>
            <w:bookmarkEnd w:id="5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955C" w14:textId="71D9201B" w:rsidR="00C42A83" w:rsidRPr="00C42A83" w:rsidRDefault="00C42A83" w:rsidP="00D85B52">
            <w:pPr>
              <w:pStyle w:val="Tablehead"/>
              <w:rPr>
                <w:rFonts w:cs="Calibri"/>
              </w:rPr>
            </w:pPr>
            <w:bookmarkStart w:id="51" w:name="lt_pId120"/>
            <w:r>
              <w:t>Droits uniques d</w:t>
            </w:r>
            <w:r w:rsidR="001E6E9B">
              <w:t>'</w:t>
            </w:r>
            <w:r>
              <w:t>enregistrement proposés (CHF)</w:t>
            </w:r>
            <w:bookmarkEnd w:id="51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B56" w14:textId="77777777" w:rsidR="00C42A83" w:rsidRPr="00B95AF2" w:rsidRDefault="00C42A83" w:rsidP="00D85B52">
            <w:pPr>
              <w:pStyle w:val="Tablehead"/>
              <w:rPr>
                <w:rFonts w:cs="Calibri"/>
              </w:rPr>
            </w:pPr>
            <w:bookmarkStart w:id="52" w:name="lt_pId121"/>
            <w:r>
              <w:t>Recettes annuelles totales (CHF)</w:t>
            </w:r>
            <w:bookmarkEnd w:id="52"/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682F" w14:textId="77777777" w:rsidR="00C42A83" w:rsidRPr="00C42A83" w:rsidRDefault="00C42A83" w:rsidP="00D85B52">
            <w:pPr>
              <w:pStyle w:val="Tablehead"/>
              <w:rPr>
                <w:rFonts w:cs="Calibri"/>
              </w:rPr>
            </w:pPr>
            <w:bookmarkStart w:id="53" w:name="lt_pId122"/>
            <w:r>
              <w:t>Recettes additionnelles (CHF) par rapport aux droits actuels</w:t>
            </w:r>
            <w:bookmarkEnd w:id="53"/>
          </w:p>
        </w:tc>
      </w:tr>
      <w:tr w:rsidR="00C42A83" w:rsidRPr="00B95AF2" w14:paraId="76D8B499" w14:textId="77777777" w:rsidTr="00D85B52">
        <w:trPr>
          <w:trHeight w:val="30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A71B" w14:textId="77777777" w:rsidR="00C42A83" w:rsidRPr="00B95AF2" w:rsidRDefault="00C42A83" w:rsidP="00D85B52">
            <w:pPr>
              <w:pStyle w:val="Tabletext"/>
              <w:rPr>
                <w:rFonts w:cs="Calibri"/>
              </w:rPr>
            </w:pPr>
            <w:bookmarkStart w:id="54" w:name="lt_pId123"/>
            <w:r>
              <w:t>UIFN</w:t>
            </w:r>
            <w:bookmarkEnd w:id="54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6FD5" w14:textId="77777777" w:rsidR="00C42A83" w:rsidRPr="00B95AF2" w:rsidRDefault="00C42A83" w:rsidP="00D85B52">
            <w:pPr>
              <w:pStyle w:val="Tabletext"/>
              <w:jc w:val="right"/>
              <w:rPr>
                <w:rFonts w:cs="Calibri"/>
              </w:rPr>
            </w:pPr>
            <w: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FAA0" w14:textId="77777777" w:rsidR="00C42A83" w:rsidRPr="00B95AF2" w:rsidRDefault="00C42A83" w:rsidP="00D85B52">
            <w:pPr>
              <w:pStyle w:val="Tabletext"/>
              <w:jc w:val="right"/>
              <w:rPr>
                <w:rFonts w:cs="Calibri"/>
              </w:rPr>
            </w:pPr>
            <w: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11A" w14:textId="77777777" w:rsidR="00C42A83" w:rsidRPr="00B95AF2" w:rsidRDefault="00C42A83" w:rsidP="00D85B52">
            <w:pPr>
              <w:pStyle w:val="Tabletext"/>
              <w:jc w:val="right"/>
              <w:rPr>
                <w:rFonts w:cs="Calibri"/>
              </w:rPr>
            </w:pPr>
            <w:r>
              <w:t xml:space="preserve">225 000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8608" w14:textId="77777777" w:rsidR="00C42A83" w:rsidRPr="00B95AF2" w:rsidRDefault="00C42A83" w:rsidP="00D85B52">
            <w:pPr>
              <w:pStyle w:val="Tabletext"/>
              <w:jc w:val="right"/>
              <w:rPr>
                <w:rFonts w:cs="Calibri"/>
              </w:rPr>
            </w:pPr>
            <w:r>
              <w:t xml:space="preserve">75 000 </w:t>
            </w:r>
          </w:p>
        </w:tc>
      </w:tr>
      <w:tr w:rsidR="00C42A83" w:rsidRPr="00B95AF2" w14:paraId="2E9A3870" w14:textId="77777777" w:rsidTr="00D85B52">
        <w:trPr>
          <w:trHeight w:val="30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4DA9" w14:textId="77777777" w:rsidR="00C42A83" w:rsidRPr="00B95AF2" w:rsidRDefault="00C42A83" w:rsidP="00D85B52">
            <w:pPr>
              <w:pStyle w:val="Tabletext"/>
              <w:rPr>
                <w:rFonts w:cs="Calibri"/>
              </w:rPr>
            </w:pPr>
            <w:bookmarkStart w:id="55" w:name="lt_pId128"/>
            <w:r>
              <w:t>IIN</w:t>
            </w:r>
            <w:bookmarkEnd w:id="55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44CD" w14:textId="77777777" w:rsidR="00C42A83" w:rsidRPr="00B95AF2" w:rsidRDefault="00C42A83" w:rsidP="00D85B52">
            <w:pPr>
              <w:pStyle w:val="Tabletext"/>
              <w:jc w:val="right"/>
              <w:rPr>
                <w:rFonts w:cs="Calibri"/>
              </w:rPr>
            </w:pPr>
            <w: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68C7" w14:textId="77777777" w:rsidR="00C42A83" w:rsidRPr="00B95AF2" w:rsidRDefault="00C42A83" w:rsidP="00D85B52">
            <w:pPr>
              <w:pStyle w:val="Tabletext"/>
              <w:jc w:val="right"/>
              <w:rPr>
                <w:rFonts w:cs="Calibri"/>
              </w:rPr>
            </w:pPr>
            <w: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813E" w14:textId="77777777" w:rsidR="00C42A83" w:rsidRPr="00B95AF2" w:rsidRDefault="00C42A83" w:rsidP="00D85B52">
            <w:pPr>
              <w:pStyle w:val="Tabletext"/>
              <w:jc w:val="right"/>
              <w:rPr>
                <w:rFonts w:cs="Calibri"/>
              </w:rPr>
            </w:pPr>
            <w:r>
              <w:t xml:space="preserve">3 000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1764" w14:textId="77777777" w:rsidR="00C42A83" w:rsidRPr="00B95AF2" w:rsidRDefault="00C42A83" w:rsidP="00D85B52">
            <w:pPr>
              <w:pStyle w:val="Tabletext"/>
              <w:jc w:val="right"/>
              <w:rPr>
                <w:rFonts w:cs="Calibri"/>
              </w:rPr>
            </w:pPr>
            <w:r>
              <w:t xml:space="preserve">1 400 </w:t>
            </w:r>
          </w:p>
        </w:tc>
      </w:tr>
      <w:tr w:rsidR="00C42A83" w:rsidRPr="00B95AF2" w14:paraId="79A6F4A5" w14:textId="77777777" w:rsidTr="00D85B52">
        <w:trPr>
          <w:trHeight w:val="30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E3BF" w14:textId="77777777" w:rsidR="00C42A83" w:rsidRPr="00B95AF2" w:rsidRDefault="00C42A83" w:rsidP="00D85B52">
            <w:pPr>
              <w:pStyle w:val="Tabletext"/>
              <w:rPr>
                <w:rFonts w:cs="Calibri"/>
                <w:b/>
              </w:rPr>
            </w:pPr>
            <w:bookmarkStart w:id="56" w:name="lt_pId133"/>
            <w:r>
              <w:rPr>
                <w:b/>
              </w:rPr>
              <w:t>Total</w:t>
            </w:r>
            <w:bookmarkEnd w:id="56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0608" w14:textId="77777777" w:rsidR="00C42A83" w:rsidRPr="00B95AF2" w:rsidRDefault="00C42A83" w:rsidP="00D85B52">
            <w:pPr>
              <w:pStyle w:val="Tabletext"/>
              <w:jc w:val="right"/>
              <w:rPr>
                <w:rFonts w:cs="Calibri"/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D41" w14:textId="543FC4C1" w:rsidR="00C42A83" w:rsidRPr="00B95AF2" w:rsidRDefault="00AB33ED" w:rsidP="00D85B52">
            <w:pPr>
              <w:pStyle w:val="Tabletext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1A55" w14:textId="77777777" w:rsidR="00C42A83" w:rsidRPr="00B95AF2" w:rsidRDefault="00C42A83" w:rsidP="00D85B52">
            <w:pPr>
              <w:pStyle w:val="Tabletext"/>
              <w:jc w:val="right"/>
              <w:rPr>
                <w:rFonts w:cs="Calibri"/>
                <w:b/>
              </w:rPr>
            </w:pPr>
            <w:r>
              <w:rPr>
                <w:b/>
              </w:rPr>
              <w:t xml:space="preserve">228 000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3BAB" w14:textId="77777777" w:rsidR="00C42A83" w:rsidRPr="00B95AF2" w:rsidRDefault="00C42A83" w:rsidP="00D85B52">
            <w:pPr>
              <w:pStyle w:val="Tabletext"/>
              <w:jc w:val="right"/>
              <w:rPr>
                <w:rFonts w:cs="Calibri"/>
                <w:b/>
              </w:rPr>
            </w:pPr>
            <w:r>
              <w:rPr>
                <w:b/>
              </w:rPr>
              <w:t xml:space="preserve">76 400 </w:t>
            </w:r>
          </w:p>
        </w:tc>
      </w:tr>
    </w:tbl>
    <w:p w14:paraId="150462DE" w14:textId="0DB84FB1" w:rsidR="00C42A83" w:rsidRPr="00C42A83" w:rsidRDefault="00C42A83" w:rsidP="00AB33ED">
      <w:pPr>
        <w:spacing w:before="240"/>
      </w:pPr>
      <w:bookmarkStart w:id="57" w:name="lt_pId138"/>
      <w:r>
        <w:t>Si l</w:t>
      </w:r>
      <w:r w:rsidR="001E6E9B">
        <w:t>'</w:t>
      </w:r>
      <w:r>
        <w:t>on combine les deux propositions, les recettes additionnelle</w:t>
      </w:r>
      <w:r w:rsidR="00AB33ED">
        <w:t>s provenant des INR seraient de </w:t>
      </w:r>
      <w:r>
        <w:t>240 960 CHF par an (164 560 CHF des droits annuels et 76 400 CHF suite à l</w:t>
      </w:r>
      <w:r w:rsidR="001E6E9B">
        <w:t>'</w:t>
      </w:r>
      <w:r>
        <w:t>augmentation du droit unique d</w:t>
      </w:r>
      <w:r w:rsidR="001E6E9B">
        <w:t>'</w:t>
      </w:r>
      <w:r>
        <w:t>enregistrement).</w:t>
      </w:r>
      <w:bookmarkEnd w:id="57"/>
      <w:r>
        <w:t xml:space="preserve"> </w:t>
      </w:r>
      <w:bookmarkStart w:id="58" w:name="lt_pId139"/>
      <w:r>
        <w:t>Les recettes annuelles totales seraient</w:t>
      </w:r>
      <w:r w:rsidR="001E6E9B">
        <w:t xml:space="preserve"> de 392 560 CHF par an (164 560 </w:t>
      </w:r>
      <w:r>
        <w:t>CHF des droits annuels et 228 000 CHF suite à l</w:t>
      </w:r>
      <w:r w:rsidR="001E6E9B">
        <w:t>'</w:t>
      </w:r>
      <w:r>
        <w:t>augmentation du droit unique d</w:t>
      </w:r>
      <w:r w:rsidR="001E6E9B">
        <w:t>'</w:t>
      </w:r>
      <w:r>
        <w:t>enregistrement).</w:t>
      </w:r>
      <w:bookmarkEnd w:id="58"/>
    </w:p>
    <w:p w14:paraId="64519B1D" w14:textId="0633F7E0" w:rsidR="00C42A83" w:rsidRPr="00C42A83" w:rsidRDefault="00C42A83" w:rsidP="007D03E1">
      <w:pPr>
        <w:pStyle w:val="Heading1"/>
        <w:rPr>
          <w:u w:color="000000"/>
        </w:rPr>
      </w:pPr>
      <w:bookmarkStart w:id="59" w:name="lt_pId140"/>
      <w:r>
        <w:t>D</w:t>
      </w:r>
      <w:bookmarkEnd w:id="59"/>
      <w:r>
        <w:tab/>
      </w:r>
      <w:bookmarkStart w:id="60" w:name="lt_pId141"/>
      <w:r>
        <w:t>Coût de gestion des INR pour le secrétariat de l</w:t>
      </w:r>
      <w:r w:rsidR="001E6E9B">
        <w:t>'</w:t>
      </w:r>
      <w:r>
        <w:t>UIT</w:t>
      </w:r>
      <w:bookmarkEnd w:id="60"/>
    </w:p>
    <w:p w14:paraId="29B897C8" w14:textId="7F7B401E" w:rsidR="00C42A83" w:rsidRPr="00D85B52" w:rsidRDefault="00C42A83" w:rsidP="007D03E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2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8</w:t>
      </w:r>
      <w:r>
        <w:rPr>
          <w:rFonts w:asciiTheme="minorHAnsi" w:hAnsiTheme="minorHAnsi"/>
          <w:szCs w:val="24"/>
        </w:rPr>
        <w:tab/>
      </w:r>
      <w:bookmarkStart w:id="61" w:name="lt_pId143"/>
      <w:r w:rsidRPr="00D85B52">
        <w:rPr>
          <w:spacing w:val="-2"/>
        </w:rPr>
        <w:t xml:space="preserve">En </w:t>
      </w:r>
      <w:r w:rsidRPr="00D85B52">
        <w:t>2016, les coûts à la charge de l</w:t>
      </w:r>
      <w:r w:rsidR="001E6E9B">
        <w:t>'</w:t>
      </w:r>
      <w:r w:rsidRPr="00D85B52">
        <w:t>UIT pour l</w:t>
      </w:r>
      <w:r w:rsidR="001E6E9B">
        <w:t>'</w:t>
      </w:r>
      <w:r w:rsidRPr="00D85B52">
        <w:t xml:space="preserve">attribution des ressources INR </w:t>
      </w:r>
      <w:r w:rsidRPr="00D85B52">
        <w:rPr>
          <w:rFonts w:asciiTheme="minorHAnsi" w:hAnsiTheme="minorHAnsi"/>
          <w:szCs w:val="24"/>
        </w:rPr>
        <w:t>régies par les Recommandations pertinentes de l</w:t>
      </w:r>
      <w:r w:rsidR="001E6E9B">
        <w:rPr>
          <w:rFonts w:asciiTheme="minorHAnsi" w:hAnsiTheme="minorHAnsi"/>
          <w:szCs w:val="24"/>
        </w:rPr>
        <w:t>'</w:t>
      </w:r>
      <w:r w:rsidRPr="00D85B52">
        <w:rPr>
          <w:rFonts w:asciiTheme="minorHAnsi" w:hAnsiTheme="minorHAnsi"/>
          <w:szCs w:val="24"/>
        </w:rPr>
        <w:t>UIT-T sont les suivants.</w:t>
      </w:r>
      <w:bookmarkEnd w:id="61"/>
      <w:r w:rsidRPr="00D85B52">
        <w:rPr>
          <w:rFonts w:asciiTheme="minorHAnsi" w:hAnsiTheme="minorHAnsi"/>
          <w:szCs w:val="24"/>
        </w:rPr>
        <w:t xml:space="preserve"> </w:t>
      </w:r>
      <w:bookmarkStart w:id="62" w:name="lt_pId144"/>
      <w:r w:rsidRPr="00D85B52">
        <w:rPr>
          <w:rFonts w:asciiTheme="minorHAnsi" w:hAnsiTheme="minorHAnsi"/>
          <w:szCs w:val="24"/>
        </w:rPr>
        <w:t>Tou</w:t>
      </w:r>
      <w:r w:rsidR="00D85B52">
        <w:rPr>
          <w:rFonts w:asciiTheme="minorHAnsi" w:hAnsiTheme="minorHAnsi"/>
          <w:szCs w:val="24"/>
        </w:rPr>
        <w:t>s les montants sont indiqués en </w:t>
      </w:r>
      <w:r w:rsidRPr="00D85B52">
        <w:rPr>
          <w:rFonts w:asciiTheme="minorHAnsi" w:hAnsiTheme="minorHAnsi"/>
          <w:szCs w:val="24"/>
        </w:rPr>
        <w:t>kCHF</w:t>
      </w:r>
      <w:bookmarkStart w:id="63" w:name="_GoBack"/>
      <w:bookmarkEnd w:id="63"/>
      <w:r w:rsidRPr="00D85B52">
        <w:rPr>
          <w:rFonts w:asciiTheme="minorHAnsi" w:hAnsiTheme="minorHAnsi"/>
          <w:szCs w:val="24"/>
        </w:rPr>
        <w:t>.</w:t>
      </w:r>
      <w:bookmarkEnd w:id="62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1417"/>
        <w:gridCol w:w="1276"/>
        <w:gridCol w:w="1701"/>
        <w:gridCol w:w="987"/>
      </w:tblGrid>
      <w:tr w:rsidR="00D85B52" w:rsidRPr="00121AE3" w14:paraId="2FBF5EB9" w14:textId="77777777" w:rsidTr="00121AE3">
        <w:trPr>
          <w:trHeight w:val="600"/>
        </w:trPr>
        <w:tc>
          <w:tcPr>
            <w:tcW w:w="1129" w:type="dxa"/>
            <w:hideMark/>
          </w:tcPr>
          <w:p w14:paraId="29A38AE1" w14:textId="77777777" w:rsidR="00C42A83" w:rsidRPr="00121AE3" w:rsidRDefault="00C42A83" w:rsidP="00D85B52">
            <w:pPr>
              <w:pStyle w:val="Tablehead"/>
              <w:keepNext/>
              <w:keepLines/>
            </w:pPr>
            <w:r w:rsidRPr="00121AE3">
              <w:lastRenderedPageBreak/>
              <w:t>Numéro du produit</w:t>
            </w:r>
          </w:p>
        </w:tc>
        <w:tc>
          <w:tcPr>
            <w:tcW w:w="3119" w:type="dxa"/>
            <w:hideMark/>
          </w:tcPr>
          <w:p w14:paraId="0213AE90" w14:textId="77777777" w:rsidR="00C42A83" w:rsidRPr="00121AE3" w:rsidRDefault="00C42A83" w:rsidP="00D85B52">
            <w:pPr>
              <w:pStyle w:val="Tablehead"/>
              <w:keepNext/>
              <w:keepLines/>
            </w:pPr>
            <w:r w:rsidRPr="00121AE3">
              <w:t>Nom du produit</w:t>
            </w:r>
          </w:p>
        </w:tc>
        <w:tc>
          <w:tcPr>
            <w:tcW w:w="1417" w:type="dxa"/>
            <w:hideMark/>
          </w:tcPr>
          <w:p w14:paraId="481C6F1A" w14:textId="77777777" w:rsidR="00C42A83" w:rsidRPr="00121AE3" w:rsidRDefault="00C42A83" w:rsidP="00D85B52">
            <w:pPr>
              <w:pStyle w:val="Tablehead"/>
              <w:keepNext/>
              <w:keepLines/>
            </w:pPr>
            <w:r w:rsidRPr="00121AE3">
              <w:t>Imputation TSB</w:t>
            </w:r>
          </w:p>
        </w:tc>
        <w:tc>
          <w:tcPr>
            <w:tcW w:w="1276" w:type="dxa"/>
            <w:hideMark/>
          </w:tcPr>
          <w:p w14:paraId="05DF1969" w14:textId="5E0C9810" w:rsidR="00C42A83" w:rsidRPr="00121AE3" w:rsidRDefault="00C42A83" w:rsidP="00D85B52">
            <w:pPr>
              <w:pStyle w:val="Tablehead"/>
              <w:keepNext/>
              <w:keepLines/>
            </w:pPr>
            <w:r w:rsidRPr="00121AE3">
              <w:t>Imputation coûts d</w:t>
            </w:r>
            <w:r w:rsidR="001E6E9B" w:rsidRPr="00121AE3">
              <w:t>'</w:t>
            </w:r>
            <w:r w:rsidRPr="00121AE3">
              <w:t>appui</w:t>
            </w:r>
          </w:p>
        </w:tc>
        <w:tc>
          <w:tcPr>
            <w:tcW w:w="1701" w:type="dxa"/>
            <w:hideMark/>
          </w:tcPr>
          <w:p w14:paraId="5ADE76E8" w14:textId="77777777" w:rsidR="00C42A83" w:rsidRPr="00121AE3" w:rsidRDefault="00C42A83" w:rsidP="00D85B52">
            <w:pPr>
              <w:pStyle w:val="Tablehead"/>
              <w:keepNext/>
              <w:keepLines/>
            </w:pPr>
            <w:r w:rsidRPr="00121AE3">
              <w:t>Documentation</w:t>
            </w:r>
          </w:p>
        </w:tc>
        <w:tc>
          <w:tcPr>
            <w:tcW w:w="987" w:type="dxa"/>
            <w:hideMark/>
          </w:tcPr>
          <w:p w14:paraId="2384911A" w14:textId="77777777" w:rsidR="00C42A83" w:rsidRPr="00121AE3" w:rsidRDefault="00C42A83" w:rsidP="00D85B52">
            <w:pPr>
              <w:pStyle w:val="Tablehead"/>
              <w:keepNext/>
              <w:keepLines/>
            </w:pPr>
            <w:r w:rsidRPr="00121AE3">
              <w:t>Total</w:t>
            </w:r>
          </w:p>
        </w:tc>
      </w:tr>
      <w:tr w:rsidR="00D85B52" w:rsidRPr="00121AE3" w14:paraId="1A7C3330" w14:textId="77777777" w:rsidTr="00121AE3">
        <w:trPr>
          <w:trHeight w:val="557"/>
        </w:trPr>
        <w:tc>
          <w:tcPr>
            <w:tcW w:w="1129" w:type="dxa"/>
            <w:noWrap/>
            <w:hideMark/>
          </w:tcPr>
          <w:p w14:paraId="5BA1B599" w14:textId="77777777" w:rsidR="00C42A83" w:rsidRPr="00121AE3" w:rsidRDefault="00C42A83" w:rsidP="00D85B52">
            <w:pPr>
              <w:pStyle w:val="Tabletext"/>
              <w:keepNext/>
              <w:keepLines/>
            </w:pPr>
            <w:r w:rsidRPr="00121AE3">
              <w:t>T3.2</w:t>
            </w:r>
          </w:p>
        </w:tc>
        <w:tc>
          <w:tcPr>
            <w:tcW w:w="3119" w:type="dxa"/>
            <w:hideMark/>
          </w:tcPr>
          <w:p w14:paraId="65C098FA" w14:textId="36557B18" w:rsidR="00C42A83" w:rsidRPr="00121AE3" w:rsidRDefault="00C42A83" w:rsidP="00D85B52">
            <w:pPr>
              <w:pStyle w:val="Tabletext"/>
              <w:keepNext/>
              <w:keepLines/>
            </w:pPr>
            <w:r w:rsidRPr="00121AE3">
              <w:t>Attribution et gestion des ressources de numérotage, de nommage, d</w:t>
            </w:r>
            <w:r w:rsidR="001E6E9B" w:rsidRPr="00121AE3">
              <w:t>'</w:t>
            </w:r>
            <w:r w:rsidRPr="00121AE3">
              <w:t>adressage et d</w:t>
            </w:r>
            <w:r w:rsidR="001E6E9B" w:rsidRPr="00121AE3">
              <w:t>'</w:t>
            </w:r>
            <w:r w:rsidRPr="00121AE3">
              <w:t>identification utilisées dans les télécommunications internationales, conformément aux recommandations et procédures de l</w:t>
            </w:r>
            <w:r w:rsidR="001E6E9B" w:rsidRPr="00121AE3">
              <w:t>'</w:t>
            </w:r>
            <w:r w:rsidRPr="00121AE3">
              <w:t>UIT-T</w:t>
            </w:r>
          </w:p>
        </w:tc>
        <w:tc>
          <w:tcPr>
            <w:tcW w:w="1417" w:type="dxa"/>
            <w:noWrap/>
            <w:hideMark/>
          </w:tcPr>
          <w:p w14:paraId="28B9AC54" w14:textId="5C54FD5E" w:rsidR="00C42A83" w:rsidRPr="00121AE3" w:rsidRDefault="00C42A83" w:rsidP="00D85B52">
            <w:pPr>
              <w:pStyle w:val="Tabletext"/>
              <w:keepNext/>
              <w:keepLines/>
              <w:jc w:val="right"/>
            </w:pPr>
            <w:r w:rsidRPr="00121AE3">
              <w:t xml:space="preserve">439 </w:t>
            </w:r>
          </w:p>
        </w:tc>
        <w:tc>
          <w:tcPr>
            <w:tcW w:w="1276" w:type="dxa"/>
            <w:noWrap/>
            <w:hideMark/>
          </w:tcPr>
          <w:p w14:paraId="7614CF81" w14:textId="5E9927B7" w:rsidR="00C42A83" w:rsidRPr="00121AE3" w:rsidRDefault="00C42A83" w:rsidP="00D85B52">
            <w:pPr>
              <w:pStyle w:val="Tabletext"/>
              <w:keepNext/>
              <w:keepLines/>
              <w:jc w:val="right"/>
            </w:pPr>
            <w:r w:rsidRPr="00121AE3">
              <w:t xml:space="preserve">444 </w:t>
            </w:r>
          </w:p>
        </w:tc>
        <w:tc>
          <w:tcPr>
            <w:tcW w:w="1701" w:type="dxa"/>
            <w:noWrap/>
            <w:hideMark/>
          </w:tcPr>
          <w:p w14:paraId="17698286" w14:textId="2A98E70D" w:rsidR="00C42A83" w:rsidRPr="00121AE3" w:rsidRDefault="00C42A83" w:rsidP="00D85B52">
            <w:pPr>
              <w:pStyle w:val="Tabletext"/>
              <w:keepNext/>
              <w:keepLines/>
              <w:jc w:val="right"/>
            </w:pPr>
          </w:p>
        </w:tc>
        <w:tc>
          <w:tcPr>
            <w:tcW w:w="987" w:type="dxa"/>
            <w:noWrap/>
            <w:hideMark/>
          </w:tcPr>
          <w:p w14:paraId="45C10F7E" w14:textId="28C5BCB6" w:rsidR="00C42A83" w:rsidRPr="00121AE3" w:rsidRDefault="00C42A83" w:rsidP="00D85B52">
            <w:pPr>
              <w:pStyle w:val="Tabletext"/>
              <w:keepNext/>
              <w:keepLines/>
              <w:jc w:val="right"/>
            </w:pPr>
            <w:r w:rsidRPr="00121AE3">
              <w:t xml:space="preserve">883 </w:t>
            </w:r>
          </w:p>
        </w:tc>
      </w:tr>
      <w:tr w:rsidR="00D85B52" w:rsidRPr="00121AE3" w14:paraId="205161B1" w14:textId="77777777" w:rsidTr="00121AE3">
        <w:trPr>
          <w:trHeight w:val="300"/>
        </w:trPr>
        <w:tc>
          <w:tcPr>
            <w:tcW w:w="1129" w:type="dxa"/>
            <w:noWrap/>
            <w:hideMark/>
          </w:tcPr>
          <w:p w14:paraId="29C466D2" w14:textId="77777777" w:rsidR="00C42A83" w:rsidRPr="00121AE3" w:rsidRDefault="00C42A83" w:rsidP="00D85B52">
            <w:pPr>
              <w:pStyle w:val="Tabletext"/>
              <w:keepNext/>
              <w:keepLines/>
            </w:pPr>
            <w:r w:rsidRPr="00121AE3">
              <w:t>T4.4</w:t>
            </w:r>
          </w:p>
        </w:tc>
        <w:tc>
          <w:tcPr>
            <w:tcW w:w="3119" w:type="dxa"/>
            <w:hideMark/>
          </w:tcPr>
          <w:p w14:paraId="6EA94A79" w14:textId="19B49E91" w:rsidR="00C42A83" w:rsidRPr="00121AE3" w:rsidRDefault="00C42A83" w:rsidP="00D85B52">
            <w:pPr>
              <w:pStyle w:val="Tabletext"/>
              <w:keepNext/>
              <w:keepLines/>
            </w:pPr>
            <w:r w:rsidRPr="00121AE3">
              <w:t>Bulletin d</w:t>
            </w:r>
            <w:r w:rsidR="001E6E9B" w:rsidRPr="00121AE3">
              <w:t>'</w:t>
            </w:r>
            <w:r w:rsidRPr="00121AE3">
              <w:t>exploitation de l</w:t>
            </w:r>
            <w:r w:rsidR="001E6E9B" w:rsidRPr="00121AE3">
              <w:t>'</w:t>
            </w:r>
            <w:r w:rsidRPr="00121AE3">
              <w:t>UIT</w:t>
            </w:r>
          </w:p>
        </w:tc>
        <w:tc>
          <w:tcPr>
            <w:tcW w:w="1417" w:type="dxa"/>
            <w:noWrap/>
            <w:hideMark/>
          </w:tcPr>
          <w:p w14:paraId="6F9AE908" w14:textId="7EBBAF36" w:rsidR="00C42A83" w:rsidRPr="00121AE3" w:rsidRDefault="00C42A83" w:rsidP="00D85B52">
            <w:pPr>
              <w:pStyle w:val="Tabletext"/>
              <w:keepNext/>
              <w:keepLines/>
              <w:jc w:val="right"/>
            </w:pPr>
            <w:r w:rsidRPr="00121AE3">
              <w:t xml:space="preserve">176 </w:t>
            </w:r>
          </w:p>
        </w:tc>
        <w:tc>
          <w:tcPr>
            <w:tcW w:w="1276" w:type="dxa"/>
            <w:noWrap/>
            <w:hideMark/>
          </w:tcPr>
          <w:p w14:paraId="24EAD976" w14:textId="33034C50" w:rsidR="00C42A83" w:rsidRPr="00121AE3" w:rsidRDefault="00C42A83" w:rsidP="00D85B52">
            <w:pPr>
              <w:pStyle w:val="Tabletext"/>
              <w:keepNext/>
              <w:keepLines/>
              <w:jc w:val="right"/>
            </w:pPr>
            <w:r w:rsidRPr="00121AE3">
              <w:t xml:space="preserve">168 </w:t>
            </w:r>
          </w:p>
        </w:tc>
        <w:tc>
          <w:tcPr>
            <w:tcW w:w="1701" w:type="dxa"/>
            <w:noWrap/>
            <w:hideMark/>
          </w:tcPr>
          <w:p w14:paraId="60A53997" w14:textId="209376BA" w:rsidR="00C42A83" w:rsidRPr="00121AE3" w:rsidRDefault="00C42A83" w:rsidP="00D85B52">
            <w:pPr>
              <w:pStyle w:val="Tabletext"/>
              <w:keepNext/>
              <w:keepLines/>
              <w:jc w:val="right"/>
            </w:pPr>
            <w:r w:rsidRPr="00121AE3">
              <w:t xml:space="preserve">109 </w:t>
            </w:r>
          </w:p>
        </w:tc>
        <w:tc>
          <w:tcPr>
            <w:tcW w:w="987" w:type="dxa"/>
            <w:noWrap/>
            <w:hideMark/>
          </w:tcPr>
          <w:p w14:paraId="3D9F38C3" w14:textId="7BBAF350" w:rsidR="00C42A83" w:rsidRPr="00121AE3" w:rsidRDefault="00C42A83" w:rsidP="00D85B52">
            <w:pPr>
              <w:pStyle w:val="Tabletext"/>
              <w:keepNext/>
              <w:keepLines/>
              <w:jc w:val="right"/>
            </w:pPr>
            <w:r w:rsidRPr="00121AE3">
              <w:t xml:space="preserve">453 </w:t>
            </w:r>
          </w:p>
        </w:tc>
      </w:tr>
      <w:tr w:rsidR="00D85B52" w:rsidRPr="00121AE3" w14:paraId="2CD16847" w14:textId="77777777" w:rsidTr="00121AE3">
        <w:trPr>
          <w:trHeight w:val="362"/>
        </w:trPr>
        <w:tc>
          <w:tcPr>
            <w:tcW w:w="4248" w:type="dxa"/>
            <w:gridSpan w:val="2"/>
            <w:noWrap/>
            <w:hideMark/>
          </w:tcPr>
          <w:p w14:paraId="1E54229D" w14:textId="77777777" w:rsidR="00C42A83" w:rsidRPr="00121AE3" w:rsidRDefault="00C42A83" w:rsidP="00D85B52">
            <w:pPr>
              <w:pStyle w:val="Tabletext"/>
              <w:keepNext/>
              <w:keepLines/>
              <w:rPr>
                <w:b/>
                <w:bCs/>
              </w:rPr>
            </w:pPr>
            <w:r w:rsidRPr="00121AE3">
              <w:rPr>
                <w:b/>
                <w:bCs/>
              </w:rPr>
              <w:t>Coût total INR</w:t>
            </w:r>
          </w:p>
        </w:tc>
        <w:tc>
          <w:tcPr>
            <w:tcW w:w="1417" w:type="dxa"/>
            <w:noWrap/>
            <w:hideMark/>
          </w:tcPr>
          <w:p w14:paraId="1CC0A8BE" w14:textId="6B4166F5" w:rsidR="00C42A83" w:rsidRPr="00121AE3" w:rsidRDefault="00C42A83" w:rsidP="00D85B52">
            <w:pPr>
              <w:pStyle w:val="Tabletext"/>
              <w:keepNext/>
              <w:keepLines/>
              <w:jc w:val="right"/>
              <w:rPr>
                <w:b/>
                <w:bCs/>
              </w:rPr>
            </w:pPr>
            <w:r w:rsidRPr="00121AE3">
              <w:rPr>
                <w:b/>
                <w:bCs/>
              </w:rPr>
              <w:t xml:space="preserve">615 </w:t>
            </w:r>
          </w:p>
        </w:tc>
        <w:tc>
          <w:tcPr>
            <w:tcW w:w="1276" w:type="dxa"/>
            <w:noWrap/>
            <w:hideMark/>
          </w:tcPr>
          <w:p w14:paraId="26165458" w14:textId="25BC00A3" w:rsidR="00C42A83" w:rsidRPr="00121AE3" w:rsidRDefault="00C42A83" w:rsidP="00D85B52">
            <w:pPr>
              <w:pStyle w:val="Tabletext"/>
              <w:keepNext/>
              <w:keepLines/>
              <w:jc w:val="right"/>
              <w:rPr>
                <w:b/>
                <w:bCs/>
              </w:rPr>
            </w:pPr>
            <w:r w:rsidRPr="00121AE3">
              <w:rPr>
                <w:b/>
                <w:bCs/>
              </w:rPr>
              <w:t xml:space="preserve">612 </w:t>
            </w:r>
          </w:p>
        </w:tc>
        <w:tc>
          <w:tcPr>
            <w:tcW w:w="1701" w:type="dxa"/>
            <w:noWrap/>
            <w:hideMark/>
          </w:tcPr>
          <w:p w14:paraId="41AE8D35" w14:textId="5F7BA6D4" w:rsidR="00C42A83" w:rsidRPr="00121AE3" w:rsidRDefault="00C42A83" w:rsidP="00D85B52">
            <w:pPr>
              <w:pStyle w:val="Tabletext"/>
              <w:keepNext/>
              <w:keepLines/>
              <w:jc w:val="right"/>
              <w:rPr>
                <w:b/>
                <w:bCs/>
              </w:rPr>
            </w:pPr>
            <w:r w:rsidRPr="00121AE3">
              <w:rPr>
                <w:b/>
                <w:bCs/>
              </w:rPr>
              <w:t xml:space="preserve">109 </w:t>
            </w:r>
          </w:p>
        </w:tc>
        <w:tc>
          <w:tcPr>
            <w:tcW w:w="987" w:type="dxa"/>
            <w:noWrap/>
            <w:hideMark/>
          </w:tcPr>
          <w:p w14:paraId="606C10E7" w14:textId="6F4FB264" w:rsidR="00C42A83" w:rsidRPr="00121AE3" w:rsidRDefault="00C42A83" w:rsidP="00D85B52">
            <w:pPr>
              <w:pStyle w:val="Tabletext"/>
              <w:keepNext/>
              <w:keepLines/>
              <w:jc w:val="right"/>
              <w:rPr>
                <w:b/>
                <w:bCs/>
              </w:rPr>
            </w:pPr>
            <w:r w:rsidRPr="00121AE3">
              <w:rPr>
                <w:b/>
                <w:bCs/>
              </w:rPr>
              <w:t xml:space="preserve">1 336 </w:t>
            </w:r>
          </w:p>
        </w:tc>
      </w:tr>
    </w:tbl>
    <w:p w14:paraId="789A3705" w14:textId="7D5BA275" w:rsidR="00C42A83" w:rsidRPr="00C42A83" w:rsidRDefault="00C42A83" w:rsidP="007D03E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rFonts w:asciiTheme="minorHAnsi" w:hAnsiTheme="minorHAnsi"/>
          <w:szCs w:val="24"/>
        </w:rPr>
      </w:pPr>
      <w:bookmarkStart w:id="64" w:name="lt_pId167"/>
      <w:r>
        <w:t>Le coût réel calculé ci-dessus est basé sur la méthode d</w:t>
      </w:r>
      <w:r w:rsidR="001E6E9B">
        <w:t>'</w:t>
      </w:r>
      <w:r>
        <w:t xml:space="preserve">imputation des coûts </w:t>
      </w:r>
      <w:r>
        <w:rPr>
          <w:rFonts w:asciiTheme="minorHAnsi" w:hAnsiTheme="minorHAnsi"/>
          <w:szCs w:val="24"/>
        </w:rPr>
        <w:t>(</w:t>
      </w:r>
      <w:hyperlink r:id="rId21" w:history="1">
        <w:r>
          <w:rPr>
            <w:rFonts w:asciiTheme="minorHAnsi" w:hAnsiTheme="minorHAnsi"/>
            <w:szCs w:val="24"/>
          </w:rPr>
          <w:t>Décision 535</w:t>
        </w:r>
      </w:hyperlink>
      <w:r>
        <w:rPr>
          <w:rFonts w:asciiTheme="minorHAnsi" w:hAnsiTheme="minorHAnsi"/>
          <w:szCs w:val="24"/>
        </w:rPr>
        <w:t>) modifiée par le Conseil lors de sa session de 2014, et qui est entrée en vigueur au 1er janvier 2016.</w:t>
      </w:r>
      <w:bookmarkEnd w:id="64"/>
      <w:r>
        <w:rPr>
          <w:rFonts w:asciiTheme="minorHAnsi" w:hAnsiTheme="minorHAnsi"/>
          <w:szCs w:val="24"/>
        </w:rPr>
        <w:t xml:space="preserve"> </w:t>
      </w:r>
    </w:p>
    <w:p w14:paraId="4F3DA2BE" w14:textId="216BB3EE" w:rsidR="00C42A83" w:rsidRPr="00C42A83" w:rsidRDefault="00C42A83" w:rsidP="007D03E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Cs w:val="24"/>
        </w:rPr>
      </w:pPr>
      <w:bookmarkStart w:id="65" w:name="lt_pId168"/>
      <w:r>
        <w:rPr>
          <w:rFonts w:asciiTheme="minorHAnsi" w:hAnsiTheme="minorHAnsi"/>
          <w:szCs w:val="24"/>
        </w:rPr>
        <w:t>Les coûts du Secrétariat général (colonne Imputation coûts d</w:t>
      </w:r>
      <w:r w:rsidR="001E6E9B">
        <w:rPr>
          <w:rFonts w:asciiTheme="minorHAnsi" w:hAnsiTheme="minorHAnsi"/>
          <w:szCs w:val="24"/>
        </w:rPr>
        <w:t>'</w:t>
      </w:r>
      <w:r>
        <w:rPr>
          <w:rFonts w:asciiTheme="minorHAnsi" w:hAnsiTheme="minorHAnsi"/>
          <w:szCs w:val="24"/>
        </w:rPr>
        <w:t>appui) sont imputés au TSB au moyen d</w:t>
      </w:r>
      <w:r w:rsidR="001E6E9B">
        <w:rPr>
          <w:rFonts w:asciiTheme="minorHAnsi" w:hAnsiTheme="minorHAnsi"/>
          <w:szCs w:val="24"/>
        </w:rPr>
        <w:t>'</w:t>
      </w:r>
      <w:r>
        <w:rPr>
          <w:rFonts w:asciiTheme="minorHAnsi" w:hAnsiTheme="minorHAnsi"/>
          <w:szCs w:val="24"/>
        </w:rPr>
        <w:t>une base d</w:t>
      </w:r>
      <w:r w:rsidR="001E6E9B">
        <w:rPr>
          <w:rFonts w:asciiTheme="minorHAnsi" w:hAnsiTheme="minorHAnsi"/>
          <w:szCs w:val="24"/>
        </w:rPr>
        <w:t>'</w:t>
      </w:r>
      <w:r>
        <w:rPr>
          <w:rFonts w:asciiTheme="minorHAnsi" w:hAnsiTheme="minorHAnsi"/>
          <w:szCs w:val="24"/>
        </w:rPr>
        <w:t>imputation des coûts.</w:t>
      </w:r>
      <w:bookmarkEnd w:id="65"/>
      <w:r>
        <w:rPr>
          <w:rFonts w:asciiTheme="minorHAnsi" w:hAnsiTheme="minorHAnsi"/>
          <w:szCs w:val="24"/>
        </w:rPr>
        <w:t xml:space="preserve"> </w:t>
      </w:r>
      <w:bookmarkStart w:id="66" w:name="lt_pId169"/>
      <w:r>
        <w:rPr>
          <w:rFonts w:asciiTheme="minorHAnsi" w:hAnsiTheme="minorHAnsi"/>
          <w:szCs w:val="24"/>
        </w:rPr>
        <w:t>Les coûts du TSB (colonne Imputation TSB) sont imputés aux produits sur la base d</w:t>
      </w:r>
      <w:r w:rsidR="001E6E9B">
        <w:rPr>
          <w:rFonts w:asciiTheme="minorHAnsi" w:hAnsiTheme="minorHAnsi"/>
          <w:szCs w:val="24"/>
        </w:rPr>
        <w:t>'</w:t>
      </w:r>
      <w:r>
        <w:rPr>
          <w:rFonts w:asciiTheme="minorHAnsi" w:hAnsiTheme="minorHAnsi"/>
          <w:szCs w:val="24"/>
        </w:rPr>
        <w:t>une étude de temps.</w:t>
      </w:r>
      <w:bookmarkEnd w:id="66"/>
      <w:r>
        <w:rPr>
          <w:rFonts w:asciiTheme="minorHAnsi" w:hAnsiTheme="minorHAnsi"/>
          <w:szCs w:val="24"/>
        </w:rPr>
        <w:t xml:space="preserve"> </w:t>
      </w:r>
      <w:bookmarkStart w:id="67" w:name="lt_pId170"/>
      <w:r>
        <w:rPr>
          <w:rFonts w:asciiTheme="minorHAnsi" w:hAnsiTheme="minorHAnsi"/>
          <w:szCs w:val="24"/>
        </w:rPr>
        <w:t>Les coûts de documentation (colonne Documentation) concernent les travaux de traduction et de dactylographie.</w:t>
      </w:r>
      <w:bookmarkEnd w:id="67"/>
    </w:p>
    <w:p w14:paraId="0A992A78" w14:textId="585FBAA3" w:rsidR="00C42A83" w:rsidRPr="00C42A83" w:rsidRDefault="00C42A83" w:rsidP="007D03E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Cs w:val="24"/>
        </w:rPr>
      </w:pPr>
      <w:bookmarkStart w:id="68" w:name="lt_pId171"/>
      <w:r>
        <w:rPr>
          <w:rFonts w:asciiTheme="minorHAnsi" w:hAnsiTheme="minorHAnsi"/>
          <w:szCs w:val="24"/>
        </w:rPr>
        <w:t>Les coûts supportés par l</w:t>
      </w:r>
      <w:r w:rsidR="001E6E9B">
        <w:rPr>
          <w:rFonts w:asciiTheme="minorHAnsi" w:hAnsiTheme="minorHAnsi"/>
          <w:szCs w:val="24"/>
        </w:rPr>
        <w:t>'</w:t>
      </w:r>
      <w:r>
        <w:rPr>
          <w:rFonts w:asciiTheme="minorHAnsi" w:hAnsiTheme="minorHAnsi"/>
          <w:szCs w:val="24"/>
        </w:rPr>
        <w:t>UIT pour l</w:t>
      </w:r>
      <w:r w:rsidR="001E6E9B">
        <w:rPr>
          <w:rFonts w:asciiTheme="minorHAnsi" w:hAnsiTheme="minorHAnsi"/>
          <w:szCs w:val="24"/>
        </w:rPr>
        <w:t>'</w:t>
      </w:r>
      <w:r>
        <w:rPr>
          <w:rFonts w:asciiTheme="minorHAnsi" w:hAnsiTheme="minorHAnsi"/>
          <w:szCs w:val="24"/>
        </w:rPr>
        <w:t>imputation des numéros UIFN et IIN seulement peuvent être estimés à près de 400 kCHF.</w:t>
      </w:r>
      <w:bookmarkEnd w:id="68"/>
      <w:r>
        <w:rPr>
          <w:rFonts w:asciiTheme="minorHAnsi" w:hAnsiTheme="minorHAnsi"/>
          <w:szCs w:val="24"/>
        </w:rPr>
        <w:t xml:space="preserve"> </w:t>
      </w:r>
    </w:p>
    <w:p w14:paraId="30FEF019" w14:textId="77777777" w:rsidR="00C42A83" w:rsidRPr="00C42A83" w:rsidRDefault="00C42A83" w:rsidP="007D03E1">
      <w:pPr>
        <w:pStyle w:val="Heading1"/>
      </w:pPr>
      <w:bookmarkStart w:id="69" w:name="lt_pId172"/>
      <w:r>
        <w:t>E</w:t>
      </w:r>
      <w:bookmarkEnd w:id="69"/>
      <w:r>
        <w:tab/>
      </w:r>
      <w:bookmarkStart w:id="70" w:name="lt_pId173"/>
      <w:r>
        <w:t>Résumé</w:t>
      </w:r>
      <w:bookmarkEnd w:id="70"/>
    </w:p>
    <w:p w14:paraId="3F4DB2E4" w14:textId="1FF3DE9E" w:rsidR="00C42A83" w:rsidRPr="00C42A83" w:rsidRDefault="00C42A83" w:rsidP="007D03E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9</w:t>
      </w:r>
      <w:r>
        <w:rPr>
          <w:rFonts w:asciiTheme="minorHAnsi" w:hAnsiTheme="minorHAnsi"/>
          <w:szCs w:val="24"/>
        </w:rPr>
        <w:tab/>
      </w:r>
      <w:bookmarkStart w:id="71" w:name="lt_pId175"/>
      <w:r>
        <w:rPr>
          <w:rFonts w:asciiTheme="minorHAnsi" w:hAnsiTheme="minorHAnsi"/>
          <w:szCs w:val="24"/>
        </w:rPr>
        <w:t>En mettant en œuvre les deux propositions (droit annuel de 20 CHF pour les numéros UIFN et 100 CHF pour les numéros IIN;</w:t>
      </w:r>
      <w:bookmarkEnd w:id="71"/>
      <w:r>
        <w:rPr>
          <w:rFonts w:asciiTheme="minorHAnsi" w:hAnsiTheme="minorHAnsi"/>
          <w:szCs w:val="24"/>
        </w:rPr>
        <w:t xml:space="preserve"> </w:t>
      </w:r>
      <w:bookmarkStart w:id="72" w:name="lt_pId176"/>
      <w:r>
        <w:rPr>
          <w:rFonts w:asciiTheme="minorHAnsi" w:hAnsiTheme="minorHAnsi"/>
          <w:szCs w:val="24"/>
        </w:rPr>
        <w:t>augmentation des droits uniques d</w:t>
      </w:r>
      <w:r w:rsidR="001E6E9B">
        <w:rPr>
          <w:rFonts w:asciiTheme="minorHAnsi" w:hAnsiTheme="minorHAnsi"/>
          <w:szCs w:val="24"/>
        </w:rPr>
        <w:t>'</w:t>
      </w:r>
      <w:r>
        <w:rPr>
          <w:rFonts w:asciiTheme="minorHAnsi" w:hAnsiTheme="minorHAnsi"/>
          <w:szCs w:val="24"/>
        </w:rPr>
        <w:t>enregistrement à 300 CHF pour les numéros UIFN et 150 CHF pour les numéros IIN), les recettes attendues de 392 560 CHF couvriraient les coûts de l</w:t>
      </w:r>
      <w:r w:rsidR="001E6E9B">
        <w:rPr>
          <w:rFonts w:asciiTheme="minorHAnsi" w:hAnsiTheme="minorHAnsi"/>
          <w:szCs w:val="24"/>
        </w:rPr>
        <w:t>'</w:t>
      </w:r>
      <w:r>
        <w:rPr>
          <w:rFonts w:asciiTheme="minorHAnsi" w:hAnsiTheme="minorHAnsi"/>
          <w:szCs w:val="24"/>
        </w:rPr>
        <w:t>UIT pour attribuer à la fois les numéros UIFN et IIN.</w:t>
      </w:r>
      <w:bookmarkEnd w:id="72"/>
      <w:r>
        <w:rPr>
          <w:rFonts w:asciiTheme="minorHAnsi" w:hAnsiTheme="minorHAnsi"/>
          <w:szCs w:val="24"/>
        </w:rPr>
        <w:t xml:space="preserve"> </w:t>
      </w:r>
    </w:p>
    <w:p w14:paraId="22D4BD6E" w14:textId="77777777" w:rsidR="00932AC7" w:rsidRDefault="00932AC7" w:rsidP="007D03E1">
      <w:pPr>
        <w:pStyle w:val="Reasons"/>
      </w:pPr>
    </w:p>
    <w:p w14:paraId="5673EE51" w14:textId="77777777" w:rsidR="00932AC7" w:rsidRDefault="00932AC7" w:rsidP="007D03E1">
      <w:pPr>
        <w:jc w:val="center"/>
      </w:pPr>
      <w:r>
        <w:t>______________</w:t>
      </w:r>
    </w:p>
    <w:p w14:paraId="388A6C99" w14:textId="77777777" w:rsidR="00571EEA" w:rsidRPr="00C42A83" w:rsidRDefault="00571EEA" w:rsidP="007D03E1">
      <w:pPr>
        <w:rPr>
          <w:lang w:val="en-US"/>
        </w:rPr>
      </w:pPr>
    </w:p>
    <w:p w14:paraId="3174F4E3" w14:textId="77777777" w:rsidR="00C42A83" w:rsidRPr="00C42A83" w:rsidRDefault="00C42A83" w:rsidP="007D03E1">
      <w:pPr>
        <w:rPr>
          <w:lang w:val="en-US"/>
        </w:rPr>
      </w:pPr>
    </w:p>
    <w:p w14:paraId="6EE370FE" w14:textId="77777777" w:rsidR="00C42A83" w:rsidRPr="00C42A83" w:rsidRDefault="00C42A83" w:rsidP="007D03E1">
      <w:pPr>
        <w:rPr>
          <w:lang w:val="en-US"/>
        </w:rPr>
      </w:pPr>
    </w:p>
    <w:sectPr w:rsidR="00C42A83" w:rsidRPr="00C42A83" w:rsidSect="005C38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D3ED0" w14:textId="77777777" w:rsidR="00AD79BA" w:rsidRDefault="00AD79BA">
      <w:r>
        <w:separator/>
      </w:r>
    </w:p>
  </w:endnote>
  <w:endnote w:type="continuationSeparator" w:id="0">
    <w:p w14:paraId="421E2175" w14:textId="77777777" w:rsidR="00AD79BA" w:rsidRDefault="00AD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7B51" w14:textId="77777777" w:rsidR="00732045" w:rsidRDefault="00D367E0">
    <w:pPr>
      <w:pStyle w:val="Footer"/>
    </w:pPr>
    <w:fldSimple w:instr=" FILENAME \p \* MERGEFORMAT ">
      <w:r w:rsidR="00260C6D">
        <w:t>P:\FRA\SG\CONSEIL\C17\000\043F.docx</w:t>
      </w:r>
    </w:fldSimple>
    <w:r w:rsidR="001A6508">
      <w:tab/>
    </w:r>
    <w:r w:rsidR="00256E7C">
      <w:fldChar w:fldCharType="begin"/>
    </w:r>
    <w:r w:rsidR="00732045">
      <w:instrText xml:space="preserve"> savedate \@ dd.MM.yy </w:instrText>
    </w:r>
    <w:r w:rsidR="00256E7C">
      <w:fldChar w:fldCharType="separate"/>
    </w:r>
    <w:r w:rsidR="00BD76B5">
      <w:t>12.05.17</w:t>
    </w:r>
    <w:r w:rsidR="00256E7C">
      <w:fldChar w:fldCharType="end"/>
    </w:r>
    <w:r w:rsidR="001A6508">
      <w:tab/>
    </w:r>
    <w:r w:rsidR="00256E7C">
      <w:fldChar w:fldCharType="begin"/>
    </w:r>
    <w:r w:rsidR="00732045">
      <w:instrText xml:space="preserve"> printdate \@ dd.MM.yy </w:instrText>
    </w:r>
    <w:r w:rsidR="00256E7C">
      <w:fldChar w:fldCharType="separate"/>
    </w:r>
    <w:r w:rsidR="00260C6D">
      <w:t>18.07.00</w:t>
    </w:r>
    <w:r w:rsidR="00256E7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DBA63" w14:textId="77777777" w:rsidR="00732045" w:rsidRPr="00932AC7" w:rsidRDefault="00D367E0" w:rsidP="00932AC7">
    <w:pPr>
      <w:pStyle w:val="Footer"/>
    </w:pPr>
    <w:fldSimple w:instr=" FILENAME \p  \* MERGEFORMAT ">
      <w:r w:rsidR="00260C6D">
        <w:t>P:\FRA\SG\CONSEIL\C17\000\043F.docx</w:t>
      </w:r>
    </w:fldSimple>
    <w:r w:rsidR="00932AC7">
      <w:t xml:space="preserve"> (409493)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65AD8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12979" w14:textId="77777777" w:rsidR="00AD79BA" w:rsidRDefault="00AD79BA">
      <w:r>
        <w:t>____________________</w:t>
      </w:r>
    </w:p>
  </w:footnote>
  <w:footnote w:type="continuationSeparator" w:id="0">
    <w:p w14:paraId="0A276FDE" w14:textId="77777777" w:rsidR="00AD79BA" w:rsidRDefault="00AD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F984C" w14:textId="77777777" w:rsidR="00732045" w:rsidRDefault="00732045">
    <w:pPr>
      <w:pStyle w:val="Header"/>
    </w:pPr>
    <w:r>
      <w:t xml:space="preserve">- </w:t>
    </w:r>
    <w:r w:rsidR="00256E7C">
      <w:fldChar w:fldCharType="begin"/>
    </w:r>
    <w:r w:rsidR="00C27A7C">
      <w:instrText>PAGE</w:instrText>
    </w:r>
    <w:r w:rsidR="00256E7C">
      <w:fldChar w:fldCharType="separate"/>
    </w:r>
    <w:r>
      <w:rPr>
        <w:noProof/>
      </w:rPr>
      <w:t>2</w:t>
    </w:r>
    <w:r w:rsidR="00256E7C">
      <w:fldChar w:fldCharType="end"/>
    </w:r>
    <w:r>
      <w:t xml:space="preserve"> -</w:t>
    </w:r>
  </w:p>
  <w:p w14:paraId="34828196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4AD75" w14:textId="77777777" w:rsidR="00732045" w:rsidRDefault="00256E7C" w:rsidP="00475FB3">
    <w:pPr>
      <w:pStyle w:val="Header"/>
    </w:pPr>
    <w:r>
      <w:fldChar w:fldCharType="begin"/>
    </w:r>
    <w:r w:rsidR="00C27A7C">
      <w:instrText>PAGE</w:instrText>
    </w:r>
    <w:r>
      <w:fldChar w:fldCharType="separate"/>
    </w:r>
    <w:r w:rsidR="00892F57">
      <w:rPr>
        <w:noProof/>
      </w:rPr>
      <w:t>5</w:t>
    </w:r>
    <w:r>
      <w:fldChar w:fldCharType="end"/>
    </w:r>
  </w:p>
  <w:p w14:paraId="108F1FB3" w14:textId="77777777" w:rsidR="00732045" w:rsidRDefault="00732045" w:rsidP="00B36F34">
    <w:pPr>
      <w:pStyle w:val="Header"/>
    </w:pPr>
    <w:r>
      <w:t>C17/43-F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E6"/>
    <w:rsid w:val="000D0D0A"/>
    <w:rsid w:val="00103163"/>
    <w:rsid w:val="00103AF6"/>
    <w:rsid w:val="00115D93"/>
    <w:rsid w:val="00121AE3"/>
    <w:rsid w:val="001247A8"/>
    <w:rsid w:val="001378C0"/>
    <w:rsid w:val="0018694A"/>
    <w:rsid w:val="0019514B"/>
    <w:rsid w:val="001A3287"/>
    <w:rsid w:val="001A6508"/>
    <w:rsid w:val="001D4C31"/>
    <w:rsid w:val="001E4D21"/>
    <w:rsid w:val="001E6E9B"/>
    <w:rsid w:val="00207CD1"/>
    <w:rsid w:val="002431E6"/>
    <w:rsid w:val="002477A2"/>
    <w:rsid w:val="00252920"/>
    <w:rsid w:val="00256E7C"/>
    <w:rsid w:val="00260C6D"/>
    <w:rsid w:val="00263A51"/>
    <w:rsid w:val="00267E02"/>
    <w:rsid w:val="002A5D44"/>
    <w:rsid w:val="002B586A"/>
    <w:rsid w:val="002E0BC4"/>
    <w:rsid w:val="002F1B76"/>
    <w:rsid w:val="00323809"/>
    <w:rsid w:val="003404A2"/>
    <w:rsid w:val="00355FF5"/>
    <w:rsid w:val="00361350"/>
    <w:rsid w:val="003F2259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7210CD"/>
    <w:rsid w:val="00732045"/>
    <w:rsid w:val="007344CE"/>
    <w:rsid w:val="007369DB"/>
    <w:rsid w:val="00751FC7"/>
    <w:rsid w:val="007635C8"/>
    <w:rsid w:val="007956C2"/>
    <w:rsid w:val="007A187E"/>
    <w:rsid w:val="007C72C2"/>
    <w:rsid w:val="007D03E1"/>
    <w:rsid w:val="007D4436"/>
    <w:rsid w:val="007F257A"/>
    <w:rsid w:val="007F3665"/>
    <w:rsid w:val="00800037"/>
    <w:rsid w:val="00861D73"/>
    <w:rsid w:val="00892F57"/>
    <w:rsid w:val="008A4E87"/>
    <w:rsid w:val="008D76E6"/>
    <w:rsid w:val="00912855"/>
    <w:rsid w:val="0092392D"/>
    <w:rsid w:val="0093234A"/>
    <w:rsid w:val="00932AC7"/>
    <w:rsid w:val="009337F8"/>
    <w:rsid w:val="009C307F"/>
    <w:rsid w:val="00A2113E"/>
    <w:rsid w:val="00A23A51"/>
    <w:rsid w:val="00A24607"/>
    <w:rsid w:val="00A25CD3"/>
    <w:rsid w:val="00A82767"/>
    <w:rsid w:val="00AA2394"/>
    <w:rsid w:val="00AA332F"/>
    <w:rsid w:val="00AA7BBB"/>
    <w:rsid w:val="00AB33ED"/>
    <w:rsid w:val="00AB64A8"/>
    <w:rsid w:val="00AC0266"/>
    <w:rsid w:val="00AD24EC"/>
    <w:rsid w:val="00AD4468"/>
    <w:rsid w:val="00AD79BA"/>
    <w:rsid w:val="00AF2106"/>
    <w:rsid w:val="00B309F9"/>
    <w:rsid w:val="00B32B60"/>
    <w:rsid w:val="00B36F34"/>
    <w:rsid w:val="00B61619"/>
    <w:rsid w:val="00BB4545"/>
    <w:rsid w:val="00BD5873"/>
    <w:rsid w:val="00BD76B5"/>
    <w:rsid w:val="00C04BE3"/>
    <w:rsid w:val="00C25D29"/>
    <w:rsid w:val="00C27A7C"/>
    <w:rsid w:val="00C42A83"/>
    <w:rsid w:val="00CA08ED"/>
    <w:rsid w:val="00CD3709"/>
    <w:rsid w:val="00CF183B"/>
    <w:rsid w:val="00D367E0"/>
    <w:rsid w:val="00D375CD"/>
    <w:rsid w:val="00D553A2"/>
    <w:rsid w:val="00D774D3"/>
    <w:rsid w:val="00D85B52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67B25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FF99E68"/>
  <w15:docId w15:val="{DEBB16EC-C21C-440B-933F-D62A2615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CallChar">
    <w:name w:val="Call Char"/>
    <w:link w:val="Call"/>
    <w:rsid w:val="00B36F34"/>
    <w:rPr>
      <w:rFonts w:ascii="Calibri" w:hAnsi="Calibri"/>
      <w:i/>
      <w:sz w:val="24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42A83"/>
    <w:rPr>
      <w:rFonts w:ascii="Calibri" w:hAnsi="Calibri"/>
      <w:b/>
      <w:sz w:val="28"/>
      <w:lang w:val="fr-FR" w:eastAsia="en-US"/>
    </w:rPr>
  </w:style>
  <w:style w:type="table" w:styleId="TableGrid">
    <w:name w:val="Table Grid"/>
    <w:basedOn w:val="TableNormal"/>
    <w:uiPriority w:val="39"/>
    <w:rsid w:val="00C42A8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344C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4C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344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44C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44CE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4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44CE"/>
    <w:rPr>
      <w:rFonts w:ascii="Calibri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7344CE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6-CL-C-0096/fr" TargetMode="External"/><Relationship Id="rId13" Type="http://schemas.openxmlformats.org/officeDocument/2006/relationships/hyperlink" Target="http://www.itu.int/md/S14-PP-C-0091/fr" TargetMode="External"/><Relationship Id="rId18" Type="http://schemas.openxmlformats.org/officeDocument/2006/relationships/hyperlink" Target="https://www.itu.int/md/S16-CL-C-0069/fr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4-CL-C-0102/fr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4-CL-C-0111/fr" TargetMode="External"/><Relationship Id="rId17" Type="http://schemas.openxmlformats.org/officeDocument/2006/relationships/hyperlink" Target="https://www.itu.int/md/S16-CL-C-0096/fr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tu.int/md/S16-CL-C-0079/fr" TargetMode="External"/><Relationship Id="rId20" Type="http://schemas.openxmlformats.org/officeDocument/2006/relationships/hyperlink" Target="http://www.itu.int/pub/T-RES-T.85-201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6-CL-160525-DL-0007/fr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6-CL-C-0079/fr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itu.int/md/S14-PP-141020-TD-0063/fr" TargetMode="External"/><Relationship Id="rId19" Type="http://schemas.openxmlformats.org/officeDocument/2006/relationships/hyperlink" Target="https://www.itu.int/md/S16-CL-C-0096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5-CLCWGFHRM5-C-0025/fr" TargetMode="External"/><Relationship Id="rId14" Type="http://schemas.openxmlformats.org/officeDocument/2006/relationships/hyperlink" Target="https://www.itu.int/net/ITU-T/forms/qs-inr-ms/rev-gen-inr.aspx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340F9-7A29-4F04-B963-E22095FD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70</TotalTime>
  <Pages>5</Pages>
  <Words>1808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12188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Gozel, Elsa</dc:creator>
  <cp:keywords>C2010, C10</cp:keywords>
  <dc:description>Document C17/-F  Pour: _x000d_Date du document: janvier 2017_x000d_Enregistré par ITU51009317 à 15:30:24 le 06/04/2017</dc:description>
  <cp:lastModifiedBy>Royer, Veronique</cp:lastModifiedBy>
  <cp:revision>21</cp:revision>
  <cp:lastPrinted>2000-07-18T08:55:00Z</cp:lastPrinted>
  <dcterms:created xsi:type="dcterms:W3CDTF">2017-05-12T06:35:00Z</dcterms:created>
  <dcterms:modified xsi:type="dcterms:W3CDTF">2017-05-12T08:27:00Z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