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93F4B">
        <w:trPr>
          <w:cantSplit/>
        </w:trPr>
        <w:tc>
          <w:tcPr>
            <w:tcW w:w="6912" w:type="dxa"/>
          </w:tcPr>
          <w:p w:rsidR="00520F36" w:rsidRPr="00293F4B" w:rsidRDefault="00520F36" w:rsidP="00374429">
            <w:pPr>
              <w:spacing w:before="360"/>
            </w:pPr>
            <w:bookmarkStart w:id="0" w:name="dc06"/>
            <w:bookmarkStart w:id="1" w:name="_GoBack"/>
            <w:bookmarkEnd w:id="0"/>
            <w:bookmarkEnd w:id="1"/>
            <w:r w:rsidRPr="00293F4B">
              <w:rPr>
                <w:b/>
                <w:bCs/>
                <w:sz w:val="30"/>
                <w:szCs w:val="30"/>
              </w:rPr>
              <w:t>Conseil 2017</w:t>
            </w:r>
            <w:r w:rsidRPr="00293F4B">
              <w:rPr>
                <w:rFonts w:ascii="Verdana" w:hAnsi="Verdana"/>
                <w:b/>
                <w:bCs/>
                <w:sz w:val="26"/>
                <w:szCs w:val="26"/>
              </w:rPr>
              <w:br/>
            </w:r>
            <w:r w:rsidRPr="00293F4B">
              <w:rPr>
                <w:b/>
                <w:bCs/>
                <w:szCs w:val="24"/>
              </w:rPr>
              <w:t>Genève, 15-25 mai 2017</w:t>
            </w:r>
          </w:p>
        </w:tc>
        <w:tc>
          <w:tcPr>
            <w:tcW w:w="3261" w:type="dxa"/>
          </w:tcPr>
          <w:p w:rsidR="00520F36" w:rsidRPr="00293F4B" w:rsidRDefault="00520F36" w:rsidP="00374429">
            <w:pPr>
              <w:spacing w:before="0"/>
              <w:jc w:val="right"/>
            </w:pPr>
            <w:bookmarkStart w:id="2" w:name="ditulogo"/>
            <w:bookmarkEnd w:id="2"/>
            <w:r w:rsidRPr="00293F4B">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293F4B" w:rsidTr="00616764">
        <w:trPr>
          <w:cantSplit/>
          <w:trHeight w:val="20"/>
        </w:trPr>
        <w:tc>
          <w:tcPr>
            <w:tcW w:w="6912" w:type="dxa"/>
            <w:tcBorders>
              <w:bottom w:val="single" w:sz="12" w:space="0" w:color="auto"/>
            </w:tcBorders>
            <w:vAlign w:val="center"/>
          </w:tcPr>
          <w:p w:rsidR="00520F36" w:rsidRPr="00293F4B" w:rsidRDefault="00520F36" w:rsidP="00374429">
            <w:pPr>
              <w:spacing w:before="0"/>
              <w:rPr>
                <w:b/>
                <w:bCs/>
                <w:sz w:val="26"/>
                <w:szCs w:val="26"/>
              </w:rPr>
            </w:pPr>
          </w:p>
        </w:tc>
        <w:tc>
          <w:tcPr>
            <w:tcW w:w="3261" w:type="dxa"/>
            <w:tcBorders>
              <w:bottom w:val="single" w:sz="12" w:space="0" w:color="auto"/>
            </w:tcBorders>
          </w:tcPr>
          <w:p w:rsidR="00520F36" w:rsidRPr="00293F4B" w:rsidRDefault="00520F36" w:rsidP="00374429">
            <w:pPr>
              <w:spacing w:before="0"/>
              <w:rPr>
                <w:b/>
                <w:bCs/>
              </w:rPr>
            </w:pPr>
          </w:p>
        </w:tc>
      </w:tr>
      <w:tr w:rsidR="00520F36" w:rsidRPr="00293F4B">
        <w:trPr>
          <w:cantSplit/>
          <w:trHeight w:val="20"/>
        </w:trPr>
        <w:tc>
          <w:tcPr>
            <w:tcW w:w="6912" w:type="dxa"/>
            <w:tcBorders>
              <w:top w:val="single" w:sz="12" w:space="0" w:color="auto"/>
            </w:tcBorders>
          </w:tcPr>
          <w:p w:rsidR="00520F36" w:rsidRPr="00293F4B" w:rsidRDefault="00520F36" w:rsidP="00374429">
            <w:pPr>
              <w:spacing w:before="0"/>
              <w:rPr>
                <w:smallCaps/>
                <w:sz w:val="22"/>
              </w:rPr>
            </w:pPr>
          </w:p>
        </w:tc>
        <w:tc>
          <w:tcPr>
            <w:tcW w:w="3261" w:type="dxa"/>
            <w:tcBorders>
              <w:top w:val="single" w:sz="12" w:space="0" w:color="auto"/>
            </w:tcBorders>
          </w:tcPr>
          <w:p w:rsidR="00520F36" w:rsidRPr="00293F4B" w:rsidRDefault="00520F36" w:rsidP="00374429">
            <w:pPr>
              <w:spacing w:before="0"/>
              <w:rPr>
                <w:b/>
                <w:bCs/>
              </w:rPr>
            </w:pPr>
          </w:p>
        </w:tc>
      </w:tr>
      <w:tr w:rsidR="00520F36" w:rsidRPr="00293F4B">
        <w:trPr>
          <w:cantSplit/>
          <w:trHeight w:val="20"/>
        </w:trPr>
        <w:tc>
          <w:tcPr>
            <w:tcW w:w="6912" w:type="dxa"/>
            <w:vMerge w:val="restart"/>
          </w:tcPr>
          <w:p w:rsidR="00520F36" w:rsidRPr="00293F4B" w:rsidRDefault="00374429" w:rsidP="00374429">
            <w:pPr>
              <w:spacing w:before="0"/>
              <w:rPr>
                <w:rFonts w:cs="Times"/>
                <w:b/>
                <w:bCs/>
                <w:szCs w:val="24"/>
              </w:rPr>
            </w:pPr>
            <w:bookmarkStart w:id="3" w:name="dnum" w:colFirst="1" w:colLast="1"/>
            <w:bookmarkStart w:id="4" w:name="dmeeting" w:colFirst="0" w:colLast="0"/>
            <w:r w:rsidRPr="00293F4B">
              <w:rPr>
                <w:rFonts w:cs="Times"/>
                <w:b/>
                <w:bCs/>
                <w:szCs w:val="24"/>
                <w:lang w:eastAsia="fr-FR"/>
              </w:rPr>
              <w:t>Point de l'ordre du jour: PL 1.13</w:t>
            </w:r>
          </w:p>
        </w:tc>
        <w:tc>
          <w:tcPr>
            <w:tcW w:w="3261" w:type="dxa"/>
          </w:tcPr>
          <w:p w:rsidR="00520F36" w:rsidRPr="00293F4B" w:rsidRDefault="00520F36" w:rsidP="00374429">
            <w:pPr>
              <w:spacing w:before="0"/>
              <w:rPr>
                <w:b/>
                <w:bCs/>
              </w:rPr>
            </w:pPr>
            <w:r w:rsidRPr="00293F4B">
              <w:rPr>
                <w:b/>
                <w:bCs/>
              </w:rPr>
              <w:t>Document C17/</w:t>
            </w:r>
            <w:r w:rsidR="003D1017" w:rsidRPr="00293F4B">
              <w:rPr>
                <w:b/>
                <w:bCs/>
              </w:rPr>
              <w:t>24</w:t>
            </w:r>
            <w:r w:rsidRPr="00293F4B">
              <w:rPr>
                <w:b/>
                <w:bCs/>
              </w:rPr>
              <w:t>-F</w:t>
            </w:r>
          </w:p>
        </w:tc>
      </w:tr>
      <w:tr w:rsidR="00520F36" w:rsidRPr="00293F4B">
        <w:trPr>
          <w:cantSplit/>
          <w:trHeight w:val="20"/>
        </w:trPr>
        <w:tc>
          <w:tcPr>
            <w:tcW w:w="6912" w:type="dxa"/>
            <w:vMerge/>
          </w:tcPr>
          <w:p w:rsidR="00520F36" w:rsidRPr="00293F4B" w:rsidRDefault="00520F36" w:rsidP="00374429">
            <w:pPr>
              <w:shd w:val="solid" w:color="FFFFFF" w:fill="FFFFFF"/>
              <w:spacing w:before="180"/>
              <w:rPr>
                <w:smallCaps/>
              </w:rPr>
            </w:pPr>
            <w:bookmarkStart w:id="5" w:name="ddate" w:colFirst="1" w:colLast="1"/>
            <w:bookmarkEnd w:id="3"/>
            <w:bookmarkEnd w:id="4"/>
          </w:p>
        </w:tc>
        <w:tc>
          <w:tcPr>
            <w:tcW w:w="3261" w:type="dxa"/>
          </w:tcPr>
          <w:p w:rsidR="00520F36" w:rsidRPr="00293F4B" w:rsidRDefault="003D1017" w:rsidP="00374429">
            <w:pPr>
              <w:spacing w:before="0"/>
              <w:rPr>
                <w:b/>
                <w:bCs/>
              </w:rPr>
            </w:pPr>
            <w:r w:rsidRPr="00293F4B">
              <w:rPr>
                <w:b/>
                <w:bCs/>
              </w:rPr>
              <w:t>14 mars</w:t>
            </w:r>
            <w:r w:rsidR="00520F36" w:rsidRPr="00293F4B">
              <w:rPr>
                <w:b/>
                <w:bCs/>
              </w:rPr>
              <w:t xml:space="preserve"> 2017</w:t>
            </w:r>
          </w:p>
        </w:tc>
      </w:tr>
      <w:tr w:rsidR="00520F36" w:rsidRPr="00293F4B">
        <w:trPr>
          <w:cantSplit/>
          <w:trHeight w:val="20"/>
        </w:trPr>
        <w:tc>
          <w:tcPr>
            <w:tcW w:w="6912" w:type="dxa"/>
            <w:vMerge/>
          </w:tcPr>
          <w:p w:rsidR="00520F36" w:rsidRPr="00293F4B" w:rsidRDefault="00520F36" w:rsidP="00374429">
            <w:pPr>
              <w:shd w:val="solid" w:color="FFFFFF" w:fill="FFFFFF"/>
              <w:spacing w:before="180"/>
              <w:rPr>
                <w:smallCaps/>
              </w:rPr>
            </w:pPr>
            <w:bookmarkStart w:id="6" w:name="dorlang" w:colFirst="1" w:colLast="1"/>
            <w:bookmarkEnd w:id="5"/>
          </w:p>
        </w:tc>
        <w:tc>
          <w:tcPr>
            <w:tcW w:w="3261" w:type="dxa"/>
          </w:tcPr>
          <w:p w:rsidR="00520F36" w:rsidRPr="00293F4B" w:rsidRDefault="00520F36" w:rsidP="00374429">
            <w:pPr>
              <w:spacing w:before="0"/>
              <w:rPr>
                <w:b/>
                <w:bCs/>
              </w:rPr>
            </w:pPr>
            <w:r w:rsidRPr="00293F4B">
              <w:rPr>
                <w:b/>
                <w:bCs/>
              </w:rPr>
              <w:t>Original: anglais</w:t>
            </w:r>
          </w:p>
        </w:tc>
      </w:tr>
      <w:tr w:rsidR="00520F36" w:rsidRPr="00293F4B">
        <w:trPr>
          <w:cantSplit/>
        </w:trPr>
        <w:tc>
          <w:tcPr>
            <w:tcW w:w="10173" w:type="dxa"/>
            <w:gridSpan w:val="2"/>
          </w:tcPr>
          <w:p w:rsidR="00520F36" w:rsidRPr="00293F4B" w:rsidRDefault="00374429" w:rsidP="00374429">
            <w:pPr>
              <w:pStyle w:val="Source"/>
            </w:pPr>
            <w:bookmarkStart w:id="7" w:name="dsource" w:colFirst="0" w:colLast="0"/>
            <w:bookmarkEnd w:id="6"/>
            <w:r w:rsidRPr="00293F4B">
              <w:rPr>
                <w:rFonts w:asciiTheme="minorHAnsi" w:hAnsiTheme="minorHAnsi"/>
                <w:lang w:eastAsia="fr-FR"/>
              </w:rPr>
              <w:t>Rapport du Secrétaire général</w:t>
            </w:r>
          </w:p>
        </w:tc>
      </w:tr>
      <w:tr w:rsidR="00520F36" w:rsidRPr="00293F4B">
        <w:trPr>
          <w:cantSplit/>
        </w:trPr>
        <w:tc>
          <w:tcPr>
            <w:tcW w:w="10173" w:type="dxa"/>
            <w:gridSpan w:val="2"/>
          </w:tcPr>
          <w:p w:rsidR="00520F36" w:rsidRPr="00293F4B" w:rsidRDefault="00374429" w:rsidP="00374429">
            <w:pPr>
              <w:pStyle w:val="Title1"/>
            </w:pPr>
            <w:bookmarkStart w:id="8" w:name="dtitle1" w:colFirst="0" w:colLast="0"/>
            <w:bookmarkEnd w:id="7"/>
            <w:r w:rsidRPr="00293F4B">
              <w:rPr>
                <w:rFonts w:asciiTheme="minorHAnsi" w:hAnsiTheme="minorHAnsi"/>
                <w:lang w:eastAsia="fr-FR"/>
              </w:rPr>
              <w:t>PROGRAMME</w:t>
            </w:r>
            <w:r w:rsidRPr="00293F4B">
              <w:rPr>
                <w:rFonts w:asciiTheme="minorHAnsi" w:hAnsiTheme="minorHAnsi"/>
                <w:szCs w:val="28"/>
                <w:lang w:eastAsia="fr-FR"/>
              </w:rPr>
              <w:t xml:space="preserve"> SUR LA CONFORMITÉ ET L'INTEROPÉRABILITÉ</w:t>
            </w:r>
            <w:r w:rsidRPr="00293F4B">
              <w:rPr>
                <w:rFonts w:asciiTheme="minorHAnsi" w:hAnsiTheme="minorHAnsi"/>
                <w:szCs w:val="28"/>
                <w:lang w:eastAsia="fr-FR"/>
              </w:rPr>
              <w:br/>
              <w:t>RAPPORT D'ACTIVITÉ ET PLAN D'ACTION</w:t>
            </w:r>
          </w:p>
        </w:tc>
      </w:tr>
      <w:bookmarkEnd w:id="8"/>
    </w:tbl>
    <w:p w:rsidR="00520F36" w:rsidRPr="00293F4B" w:rsidRDefault="00520F36" w:rsidP="0037442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93F4B">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293F4B" w:rsidRDefault="00520F36" w:rsidP="00374429">
            <w:pPr>
              <w:pStyle w:val="Headingb"/>
            </w:pPr>
            <w:r w:rsidRPr="00293F4B">
              <w:t>Résumé</w:t>
            </w:r>
          </w:p>
          <w:p w:rsidR="00520F36" w:rsidRPr="00293F4B" w:rsidRDefault="00374429" w:rsidP="00374429">
            <w:r w:rsidRPr="00293F4B">
              <w:rPr>
                <w:rFonts w:asciiTheme="minorHAnsi" w:hAnsiTheme="minorHAnsi"/>
                <w:lang w:eastAsia="fr-FR"/>
              </w:rPr>
              <w:t>Le présent document rend compte de l'état d'avancement de la mise en oeuvre du Programme de l'UIT sur la conformité et l'interopérabilité depuis la session de 2016 du Conseil.</w:t>
            </w:r>
          </w:p>
          <w:p w:rsidR="00520F36" w:rsidRPr="00293F4B" w:rsidRDefault="00520F36" w:rsidP="00374429">
            <w:pPr>
              <w:pStyle w:val="Headingb"/>
            </w:pPr>
            <w:r w:rsidRPr="00293F4B">
              <w:t>Suite à donner</w:t>
            </w:r>
          </w:p>
          <w:p w:rsidR="00520F36" w:rsidRPr="00293F4B" w:rsidRDefault="00374429" w:rsidP="00374429">
            <w:r w:rsidRPr="00293F4B">
              <w:rPr>
                <w:rFonts w:asciiTheme="minorHAnsi" w:hAnsiTheme="minorHAnsi"/>
                <w:lang w:eastAsia="fr-FR"/>
              </w:rPr>
              <w:t xml:space="preserve">Le Conseil est invité à </w:t>
            </w:r>
            <w:r w:rsidRPr="00293F4B">
              <w:rPr>
                <w:rFonts w:asciiTheme="minorHAnsi" w:hAnsiTheme="minorHAnsi"/>
                <w:b/>
                <w:lang w:eastAsia="fr-FR"/>
              </w:rPr>
              <w:t>prendre note</w:t>
            </w:r>
            <w:r w:rsidRPr="00293F4B">
              <w:rPr>
                <w:rFonts w:asciiTheme="minorHAnsi" w:hAnsiTheme="minorHAnsi"/>
                <w:lang w:eastAsia="fr-FR"/>
              </w:rPr>
              <w:t xml:space="preserve"> du document.</w:t>
            </w:r>
          </w:p>
          <w:p w:rsidR="00520F36" w:rsidRPr="00293F4B" w:rsidRDefault="00520F36" w:rsidP="00374429">
            <w:pPr>
              <w:pStyle w:val="Table"/>
              <w:keepNext w:val="0"/>
              <w:spacing w:before="0" w:after="0"/>
              <w:rPr>
                <w:rFonts w:ascii="Calibri" w:hAnsi="Calibri"/>
                <w:caps w:val="0"/>
                <w:sz w:val="22"/>
                <w:lang w:val="fr-FR"/>
              </w:rPr>
            </w:pPr>
            <w:r w:rsidRPr="00293F4B">
              <w:rPr>
                <w:rFonts w:ascii="Calibri" w:hAnsi="Calibri"/>
                <w:caps w:val="0"/>
                <w:sz w:val="22"/>
                <w:lang w:val="fr-FR"/>
              </w:rPr>
              <w:t>____________</w:t>
            </w:r>
          </w:p>
          <w:p w:rsidR="00520F36" w:rsidRPr="00293F4B" w:rsidRDefault="00520F36" w:rsidP="00374429">
            <w:pPr>
              <w:pStyle w:val="Headingb"/>
            </w:pPr>
            <w:r w:rsidRPr="00293F4B">
              <w:t>Références</w:t>
            </w:r>
          </w:p>
          <w:p w:rsidR="00374429" w:rsidRPr="00293F4B" w:rsidRDefault="00BD6514" w:rsidP="00E443EC">
            <w:pPr>
              <w:spacing w:after="120"/>
              <w:rPr>
                <w:rFonts w:asciiTheme="minorHAnsi" w:hAnsiTheme="minorHAnsi"/>
                <w:i/>
                <w:iCs/>
                <w:lang w:eastAsia="fr-FR"/>
              </w:rPr>
            </w:pPr>
            <w:hyperlink r:id="rId8" w:history="1">
              <w:r w:rsidR="00374429" w:rsidRPr="00293F4B">
                <w:rPr>
                  <w:rStyle w:val="Hyperlink"/>
                  <w:rFonts w:asciiTheme="minorHAnsi" w:hAnsiTheme="minorHAnsi"/>
                  <w:i/>
                  <w:iCs/>
                  <w:lang w:eastAsia="fr-FR"/>
                </w:rPr>
                <w:t>Résolution 177 (Rév. Busan, 2014)</w:t>
              </w:r>
            </w:hyperlink>
            <w:r w:rsidR="00374429" w:rsidRPr="00293F4B">
              <w:rPr>
                <w:rFonts w:asciiTheme="minorHAnsi" w:hAnsiTheme="minorHAnsi"/>
                <w:i/>
                <w:iCs/>
                <w:lang w:eastAsia="fr-FR"/>
              </w:rPr>
              <w:t xml:space="preserve"> de la Conférence de plénipotentiaires; </w:t>
            </w:r>
            <w:r w:rsidR="00374429" w:rsidRPr="00293F4B">
              <w:rPr>
                <w:rFonts w:asciiTheme="minorHAnsi" w:hAnsiTheme="minorHAnsi"/>
                <w:i/>
                <w:iCs/>
                <w:lang w:eastAsia="fr-FR"/>
              </w:rPr>
              <w:br/>
            </w:r>
            <w:hyperlink r:id="rId9" w:history="1">
              <w:r w:rsidR="00E443EC" w:rsidRPr="00293F4B">
                <w:rPr>
                  <w:rStyle w:val="Hyperlink"/>
                  <w:rFonts w:asciiTheme="minorHAnsi" w:hAnsiTheme="minorHAnsi"/>
                  <w:i/>
                  <w:iCs/>
                  <w:lang w:eastAsia="fr-FR"/>
                </w:rPr>
                <w:t xml:space="preserve">Résolution 76 </w:t>
              </w:r>
              <w:r w:rsidR="00374429" w:rsidRPr="00293F4B">
                <w:rPr>
                  <w:rStyle w:val="Hyperlink"/>
                  <w:rFonts w:asciiTheme="minorHAnsi" w:hAnsiTheme="minorHAnsi"/>
                  <w:i/>
                  <w:iCs/>
                  <w:lang w:eastAsia="fr-FR"/>
                </w:rPr>
                <w:t>(Rév. Hammamet, 2016)</w:t>
              </w:r>
            </w:hyperlink>
            <w:r w:rsidR="00374429" w:rsidRPr="00293F4B">
              <w:rPr>
                <w:rFonts w:asciiTheme="minorHAnsi" w:hAnsiTheme="minorHAnsi"/>
                <w:i/>
                <w:iCs/>
                <w:lang w:eastAsia="fr-FR"/>
              </w:rPr>
              <w:t xml:space="preserve"> de l'AMNT; </w:t>
            </w:r>
            <w:hyperlink r:id="rId10" w:history="1">
              <w:r w:rsidR="00374429" w:rsidRPr="00293F4B">
                <w:rPr>
                  <w:rStyle w:val="Hyperlink"/>
                  <w:rFonts w:asciiTheme="minorHAnsi" w:hAnsiTheme="minorHAnsi"/>
                  <w:i/>
                  <w:iCs/>
                  <w:lang w:eastAsia="fr-FR"/>
                </w:rPr>
                <w:t>Résolution 47 (Rév.Dubaï, 2014)</w:t>
              </w:r>
            </w:hyperlink>
            <w:r w:rsidR="00374429" w:rsidRPr="00293F4B">
              <w:rPr>
                <w:rFonts w:asciiTheme="minorHAnsi" w:hAnsiTheme="minorHAnsi"/>
                <w:i/>
                <w:iCs/>
                <w:lang w:eastAsia="fr-FR"/>
              </w:rPr>
              <w:t xml:space="preserve"> de la CMDT; </w:t>
            </w:r>
            <w:hyperlink r:id="rId11" w:history="1">
              <w:r w:rsidR="00374429" w:rsidRPr="00293F4B">
                <w:rPr>
                  <w:rStyle w:val="Hyperlink"/>
                  <w:rFonts w:asciiTheme="minorHAnsi" w:hAnsiTheme="minorHAnsi"/>
                  <w:i/>
                  <w:iCs/>
                  <w:lang w:eastAsia="fr-FR"/>
                </w:rPr>
                <w:t>Résolution UIT</w:t>
              </w:r>
              <w:r w:rsidR="00374429" w:rsidRPr="00293F4B">
                <w:rPr>
                  <w:rStyle w:val="Hyperlink"/>
                  <w:rFonts w:asciiTheme="minorHAnsi" w:hAnsiTheme="minorHAnsi"/>
                  <w:i/>
                  <w:iCs/>
                  <w:lang w:eastAsia="fr-FR"/>
                </w:rPr>
                <w:noBreakHyphen/>
                <w:t>R 62-1 (Genève, 2015)</w:t>
              </w:r>
            </w:hyperlink>
            <w:r w:rsidR="00374429" w:rsidRPr="00293F4B">
              <w:rPr>
                <w:rFonts w:asciiTheme="minorHAnsi" w:hAnsiTheme="minorHAnsi"/>
                <w:lang w:eastAsia="fr-FR"/>
              </w:rPr>
              <w:t xml:space="preserve"> </w:t>
            </w:r>
            <w:r w:rsidR="00374429" w:rsidRPr="00293F4B">
              <w:rPr>
                <w:rFonts w:asciiTheme="minorHAnsi" w:hAnsiTheme="minorHAnsi"/>
                <w:i/>
                <w:iCs/>
                <w:lang w:eastAsia="fr-FR"/>
              </w:rPr>
              <w:t>de l'AR;</w:t>
            </w:r>
          </w:p>
          <w:p w:rsidR="00374429" w:rsidRPr="00293F4B" w:rsidRDefault="00374429" w:rsidP="00374429">
            <w:pPr>
              <w:spacing w:after="120"/>
              <w:rPr>
                <w:rFonts w:asciiTheme="minorHAnsi" w:hAnsiTheme="minorHAnsi"/>
                <w:b/>
                <w:i/>
                <w:iCs/>
                <w:lang w:eastAsia="fr-FR"/>
              </w:rPr>
            </w:pPr>
            <w:r w:rsidRPr="00293F4B">
              <w:rPr>
                <w:rFonts w:asciiTheme="minorHAnsi" w:hAnsiTheme="minorHAnsi"/>
                <w:i/>
                <w:iCs/>
                <w:lang w:eastAsia="fr-FR"/>
              </w:rPr>
              <w:t xml:space="preserve">Documents </w:t>
            </w:r>
            <w:hyperlink r:id="rId12" w:history="1">
              <w:r w:rsidRPr="00293F4B">
                <w:rPr>
                  <w:rStyle w:val="Hyperlink"/>
                  <w:rFonts w:asciiTheme="minorHAnsi" w:hAnsiTheme="minorHAnsi"/>
                  <w:i/>
                  <w:iCs/>
                  <w:lang w:eastAsia="fr-FR"/>
                </w:rPr>
                <w:t>C09/28</w:t>
              </w:r>
            </w:hyperlink>
            <w:r w:rsidRPr="00293F4B">
              <w:rPr>
                <w:rFonts w:asciiTheme="minorHAnsi" w:hAnsiTheme="minorHAnsi"/>
                <w:i/>
                <w:iCs/>
                <w:lang w:eastAsia="fr-FR"/>
              </w:rPr>
              <w:t xml:space="preserve">, </w:t>
            </w:r>
            <w:hyperlink r:id="rId13" w:history="1">
              <w:r w:rsidRPr="00293F4B">
                <w:rPr>
                  <w:rStyle w:val="Hyperlink"/>
                  <w:rFonts w:asciiTheme="minorHAnsi" w:hAnsiTheme="minorHAnsi"/>
                  <w:i/>
                  <w:iCs/>
                  <w:lang w:eastAsia="fr-FR"/>
                </w:rPr>
                <w:t>C10/35 (paragraphe 65)</w:t>
              </w:r>
            </w:hyperlink>
            <w:r w:rsidRPr="00293F4B">
              <w:rPr>
                <w:rFonts w:asciiTheme="minorHAnsi" w:hAnsiTheme="minorHAnsi"/>
                <w:i/>
                <w:iCs/>
                <w:lang w:eastAsia="fr-FR"/>
              </w:rPr>
              <w:t xml:space="preserve">, </w:t>
            </w:r>
            <w:hyperlink r:id="rId14" w:history="1">
              <w:r w:rsidRPr="00293F4B">
                <w:rPr>
                  <w:rStyle w:val="Hyperlink"/>
                  <w:rFonts w:asciiTheme="minorHAnsi" w:hAnsiTheme="minorHAnsi"/>
                  <w:i/>
                  <w:iCs/>
                  <w:lang w:eastAsia="fr-FR"/>
                </w:rPr>
                <w:t>C11/38</w:t>
              </w:r>
            </w:hyperlink>
            <w:r w:rsidRPr="00293F4B">
              <w:rPr>
                <w:rFonts w:asciiTheme="minorHAnsi" w:hAnsiTheme="minorHAnsi"/>
                <w:i/>
                <w:iCs/>
                <w:lang w:eastAsia="fr-FR"/>
              </w:rPr>
              <w:t xml:space="preserve">, </w:t>
            </w:r>
            <w:hyperlink r:id="rId15" w:history="1">
              <w:r w:rsidRPr="00293F4B">
                <w:rPr>
                  <w:rStyle w:val="Hyperlink"/>
                  <w:rFonts w:asciiTheme="minorHAnsi" w:hAnsiTheme="minorHAnsi"/>
                  <w:i/>
                  <w:iCs/>
                  <w:lang w:eastAsia="fr-FR"/>
                </w:rPr>
                <w:t>C12/48</w:t>
              </w:r>
            </w:hyperlink>
            <w:r w:rsidRPr="00293F4B">
              <w:rPr>
                <w:rFonts w:asciiTheme="minorHAnsi" w:hAnsiTheme="minorHAnsi"/>
                <w:i/>
                <w:iCs/>
                <w:lang w:eastAsia="fr-FR"/>
              </w:rPr>
              <w:t>, </w:t>
            </w:r>
            <w:hyperlink r:id="rId16" w:history="1">
              <w:r w:rsidRPr="00293F4B">
                <w:rPr>
                  <w:rStyle w:val="Hyperlink"/>
                  <w:rFonts w:asciiTheme="minorHAnsi" w:hAnsiTheme="minorHAnsi"/>
                  <w:i/>
                  <w:iCs/>
                  <w:lang w:eastAsia="fr-FR"/>
                </w:rPr>
                <w:t>C13/24 (Rév.1)</w:t>
              </w:r>
            </w:hyperlink>
            <w:r w:rsidRPr="00293F4B">
              <w:rPr>
                <w:rStyle w:val="Hyperlink"/>
                <w:rFonts w:asciiTheme="minorHAnsi" w:hAnsiTheme="minorHAnsi"/>
                <w:i/>
                <w:lang w:eastAsia="fr-FR"/>
              </w:rPr>
              <w:t xml:space="preserve">, </w:t>
            </w:r>
            <w:hyperlink r:id="rId17" w:history="1">
              <w:r w:rsidRPr="00293F4B">
                <w:rPr>
                  <w:rStyle w:val="Hyperlink"/>
                  <w:rFonts w:asciiTheme="minorHAnsi" w:hAnsiTheme="minorHAnsi"/>
                  <w:i/>
                  <w:iCs/>
                  <w:lang w:eastAsia="fr-FR"/>
                </w:rPr>
                <w:t>C14/24(Rév.1)</w:t>
              </w:r>
            </w:hyperlink>
            <w:r w:rsidRPr="00293F4B">
              <w:rPr>
                <w:rFonts w:asciiTheme="minorHAnsi" w:hAnsiTheme="minorHAnsi"/>
                <w:i/>
                <w:iCs/>
                <w:lang w:eastAsia="fr-FR"/>
              </w:rPr>
              <w:t>,</w:t>
            </w:r>
            <w:hyperlink r:id="rId18" w:history="1">
              <w:r w:rsidRPr="00293F4B">
                <w:rPr>
                  <w:rStyle w:val="Hyperlink"/>
                  <w:rFonts w:asciiTheme="minorHAnsi" w:eastAsiaTheme="minorEastAsia" w:hAnsiTheme="minorHAnsi" w:cstheme="majorBidi"/>
                  <w:i/>
                  <w:iCs/>
                  <w:szCs w:val="24"/>
                  <w:lang w:eastAsia="fr-FR"/>
                </w:rPr>
                <w:t>C15/24</w:t>
              </w:r>
            </w:hyperlink>
            <w:r w:rsidRPr="00293F4B">
              <w:rPr>
                <w:rFonts w:eastAsiaTheme="minorEastAsia"/>
                <w:lang w:eastAsia="fr-FR"/>
              </w:rPr>
              <w:t xml:space="preserve"> et </w:t>
            </w:r>
            <w:hyperlink r:id="rId19" w:history="1">
              <w:r w:rsidRPr="00293F4B">
                <w:rPr>
                  <w:rStyle w:val="Hyperlink"/>
                  <w:rFonts w:asciiTheme="minorHAnsi" w:eastAsiaTheme="minorEastAsia" w:hAnsiTheme="minorHAnsi" w:cstheme="majorBidi"/>
                  <w:i/>
                  <w:iCs/>
                  <w:szCs w:val="24"/>
                  <w:lang w:eastAsia="fr-FR"/>
                </w:rPr>
                <w:t>C16/24</w:t>
              </w:r>
              <w:r w:rsidRPr="00293F4B">
                <w:rPr>
                  <w:rStyle w:val="Hyperlink"/>
                  <w:i/>
                  <w:iCs/>
                  <w:lang w:eastAsia="fr-FR"/>
                </w:rPr>
                <w:t>(Rév.1)</w:t>
              </w:r>
            </w:hyperlink>
            <w:r w:rsidRPr="00293F4B">
              <w:rPr>
                <w:lang w:eastAsia="fr-FR"/>
              </w:rPr>
              <w:t xml:space="preserve"> </w:t>
            </w:r>
            <w:r w:rsidRPr="00293F4B">
              <w:rPr>
                <w:rFonts w:asciiTheme="minorHAnsi" w:eastAsiaTheme="minorEastAsia" w:hAnsiTheme="minorHAnsi" w:cstheme="majorBidi"/>
                <w:i/>
                <w:iCs/>
                <w:szCs w:val="24"/>
                <w:lang w:eastAsia="fr-FR"/>
              </w:rPr>
              <w:t>du Conseil.</w:t>
            </w:r>
          </w:p>
          <w:p w:rsidR="00520F36" w:rsidRPr="00293F4B" w:rsidRDefault="00E443EC" w:rsidP="00E443EC">
            <w:pPr>
              <w:spacing w:after="120"/>
              <w:rPr>
                <w:i/>
                <w:iCs/>
              </w:rPr>
            </w:pPr>
            <w:r w:rsidRPr="00293F4B">
              <w:rPr>
                <w:rFonts w:asciiTheme="minorHAnsi" w:hAnsiTheme="minorHAnsi"/>
                <w:bCs/>
                <w:i/>
                <w:iCs/>
                <w:lang w:eastAsia="fr-FR"/>
              </w:rPr>
              <w:t>S</w:t>
            </w:r>
            <w:r w:rsidR="00374429" w:rsidRPr="00293F4B">
              <w:rPr>
                <w:rFonts w:asciiTheme="minorHAnsi" w:hAnsiTheme="minorHAnsi"/>
                <w:bCs/>
                <w:i/>
                <w:iCs/>
                <w:lang w:eastAsia="fr-FR"/>
              </w:rPr>
              <w:t>ites web</w:t>
            </w:r>
            <w:r w:rsidRPr="00293F4B">
              <w:rPr>
                <w:rFonts w:asciiTheme="minorHAnsi" w:hAnsiTheme="minorHAnsi"/>
                <w:bCs/>
                <w:i/>
                <w:iCs/>
                <w:lang w:eastAsia="fr-FR"/>
              </w:rPr>
              <w:t>:</w:t>
            </w:r>
            <w:r w:rsidR="00374429" w:rsidRPr="00293F4B">
              <w:rPr>
                <w:rFonts w:asciiTheme="minorHAnsi" w:hAnsiTheme="minorHAnsi"/>
                <w:bCs/>
                <w:i/>
                <w:iCs/>
                <w:lang w:eastAsia="fr-FR"/>
              </w:rPr>
              <w:t xml:space="preserve"> "</w:t>
            </w:r>
            <w:hyperlink r:id="rId20" w:history="1">
              <w:r w:rsidR="00374429" w:rsidRPr="00293F4B">
                <w:rPr>
                  <w:rStyle w:val="Hyperlink"/>
                  <w:rFonts w:asciiTheme="minorHAnsi" w:hAnsiTheme="minorHAnsi"/>
                  <w:bCs/>
                  <w:i/>
                  <w:iCs/>
                  <w:lang w:eastAsia="fr-FR"/>
                </w:rPr>
                <w:t>Portail de l'UIT sur la</w:t>
              </w:r>
            </w:hyperlink>
            <w:r w:rsidR="00374429" w:rsidRPr="00293F4B">
              <w:rPr>
                <w:rStyle w:val="Hyperlink"/>
                <w:rFonts w:asciiTheme="minorHAnsi" w:hAnsiTheme="minorHAnsi"/>
                <w:bCs/>
                <w:i/>
                <w:iCs/>
                <w:lang w:eastAsia="fr-FR"/>
              </w:rPr>
              <w:t xml:space="preserve"> </w:t>
            </w:r>
            <w:hyperlink r:id="rId21" w:history="1">
              <w:r w:rsidR="00374429" w:rsidRPr="00293F4B">
                <w:rPr>
                  <w:rStyle w:val="Hyperlink"/>
                  <w:rFonts w:asciiTheme="minorHAnsi" w:hAnsiTheme="minorHAnsi"/>
                  <w:bCs/>
                  <w:i/>
                  <w:iCs/>
                  <w:lang w:eastAsia="fr-FR"/>
                </w:rPr>
                <w:t>conformité et l'interopérabilité</w:t>
              </w:r>
            </w:hyperlink>
            <w:r w:rsidR="00374429" w:rsidRPr="00293F4B">
              <w:rPr>
                <w:rFonts w:asciiTheme="minorHAnsi" w:hAnsiTheme="minorHAnsi"/>
                <w:i/>
                <w:iCs/>
                <w:lang w:eastAsia="fr-FR"/>
              </w:rPr>
              <w:t>" et "</w:t>
            </w:r>
            <w:hyperlink r:id="rId22" w:history="1">
              <w:r w:rsidR="00374429" w:rsidRPr="00293F4B">
                <w:rPr>
                  <w:rStyle w:val="Hyperlink"/>
                  <w:rFonts w:asciiTheme="minorHAnsi" w:hAnsiTheme="minorHAnsi"/>
                  <w:i/>
                  <w:iCs/>
                  <w:lang w:eastAsia="fr-FR"/>
                </w:rPr>
                <w:t>Conformité et interopérabilité pour les pays en développement</w:t>
              </w:r>
            </w:hyperlink>
            <w:r w:rsidR="00374429" w:rsidRPr="00293F4B">
              <w:rPr>
                <w:i/>
                <w:iCs/>
              </w:rPr>
              <w:t>"</w:t>
            </w:r>
            <w:r w:rsidRPr="00293F4B">
              <w:rPr>
                <w:i/>
                <w:iCs/>
              </w:rPr>
              <w:t>.</w:t>
            </w:r>
          </w:p>
        </w:tc>
      </w:tr>
    </w:tbl>
    <w:p w:rsidR="00374429" w:rsidRPr="00293F4B" w:rsidRDefault="00374429" w:rsidP="00374429">
      <w:pPr>
        <w:pStyle w:val="Heading1"/>
      </w:pPr>
      <w:r w:rsidRPr="00293F4B">
        <w:rPr>
          <w:sz w:val="24"/>
          <w:szCs w:val="18"/>
        </w:rPr>
        <w:t>1</w:t>
      </w:r>
      <w:r w:rsidRPr="00293F4B">
        <w:rPr>
          <w:sz w:val="24"/>
          <w:szCs w:val="18"/>
        </w:rPr>
        <w:tab/>
        <w:t>Introduction</w:t>
      </w:r>
    </w:p>
    <w:p w:rsidR="00374429" w:rsidRPr="00293F4B" w:rsidRDefault="00374429" w:rsidP="00374429">
      <w:r w:rsidRPr="00293F4B">
        <w:t>1.1</w:t>
      </w:r>
      <w:r w:rsidRPr="00293F4B">
        <w:rPr>
          <w:rFonts w:eastAsiaTheme="minorEastAsia"/>
        </w:rPr>
        <w:tab/>
        <w:t xml:space="preserve">Le Programme de l'UIT sur la conformité et l'interopérabilité </w:t>
      </w:r>
      <w:r w:rsidRPr="00293F4B">
        <w:t xml:space="preserve">(C&amp;I), </w:t>
      </w:r>
      <w:r w:rsidRPr="00293F4B">
        <w:rPr>
          <w:rFonts w:eastAsiaTheme="minorEastAsia"/>
        </w:rPr>
        <w:t xml:space="preserve">élaboré en application de la Résolution 177 (Rév. Busan, 2014) de la Conférence de plénipotentiaires, repose sur quatre piliers, à savoir: Pilier 1) </w:t>
      </w:r>
      <w:r w:rsidRPr="00293F4B">
        <w:t xml:space="preserve">évaluation de la conformité; </w:t>
      </w:r>
      <w:r w:rsidRPr="00293F4B">
        <w:rPr>
          <w:rFonts w:eastAsiaTheme="minorEastAsia"/>
        </w:rPr>
        <w:t>Pilier</w:t>
      </w:r>
      <w:r w:rsidRPr="00293F4B">
        <w:t xml:space="preserve"> 2) réunions sur l'interopérabilité; </w:t>
      </w:r>
      <w:r w:rsidRPr="00293F4B">
        <w:rPr>
          <w:rFonts w:eastAsiaTheme="minorEastAsia"/>
        </w:rPr>
        <w:t>Pilier</w:t>
      </w:r>
      <w:r w:rsidRPr="00293F4B">
        <w:t xml:space="preserve"> 3) renforcement des capacités des ressources humaines; et </w:t>
      </w:r>
      <w:r w:rsidRPr="00293F4B">
        <w:rPr>
          <w:rFonts w:eastAsiaTheme="minorEastAsia"/>
        </w:rPr>
        <w:t>Pilier</w:t>
      </w:r>
      <w:r w:rsidRPr="00293F4B">
        <w:t xml:space="preserve"> 4) assistance pour l'établissement de centres de test et de programmes C&amp;I dans les pays en développement.</w:t>
      </w:r>
    </w:p>
    <w:p w:rsidR="00374429" w:rsidRPr="00293F4B" w:rsidRDefault="00374429" w:rsidP="00374429">
      <w:r w:rsidRPr="00293F4B">
        <w:t>1.2</w:t>
      </w:r>
      <w:r w:rsidRPr="00293F4B">
        <w:tab/>
        <w:t>Les piliers 1 et 2 relèvent de la responsabilité du Bureau de la normalisation des télécommunications (TSB), tandis que les piliers 3 et 4 relèvent du Bureau de développement des télécommunications (BDT). L'UIT-R continue de collaborer avec l'UIT</w:t>
      </w:r>
      <w:r w:rsidRPr="00293F4B">
        <w:noBreakHyphen/>
        <w:t xml:space="preserve">T et l'UIT-D en ce qui </w:t>
      </w:r>
      <w:r w:rsidRPr="00293F4B">
        <w:lastRenderedPageBreak/>
        <w:t xml:space="preserve">concerne les tests de conformité et d'interopérabilité, et à fournir des informations à ces Secteurs lorsqu'ils le lui demandent, comme indiqué dans le </w:t>
      </w:r>
      <w:r w:rsidRPr="00293F4B">
        <w:rPr>
          <w:i/>
          <w:iCs/>
        </w:rPr>
        <w:t>décide</w:t>
      </w:r>
      <w:r w:rsidRPr="00293F4B">
        <w:t xml:space="preserve"> de la Résolution UIT-R 62.</w:t>
      </w:r>
    </w:p>
    <w:p w:rsidR="00374429" w:rsidRPr="00293F4B" w:rsidRDefault="00374429" w:rsidP="00374429">
      <w:pPr>
        <w:pStyle w:val="Heading1"/>
      </w:pPr>
      <w:r w:rsidRPr="00293F4B">
        <w:rPr>
          <w:sz w:val="24"/>
          <w:szCs w:val="18"/>
        </w:rPr>
        <w:t>2</w:t>
      </w:r>
      <w:r w:rsidRPr="00293F4B">
        <w:rPr>
          <w:sz w:val="24"/>
          <w:szCs w:val="18"/>
        </w:rPr>
        <w:tab/>
        <w:t>Activités passées et futures relatives à la mise en oeuvre du Plan d'action C&amp;I de l'UIT</w:t>
      </w:r>
    </w:p>
    <w:p w:rsidR="00374429" w:rsidRPr="00293F4B" w:rsidRDefault="00374429" w:rsidP="00616764">
      <w:pPr>
        <w:pStyle w:val="NormalWeb"/>
        <w:spacing w:before="120" w:beforeAutospacing="0" w:after="0" w:afterAutospacing="0"/>
        <w:rPr>
          <w:lang w:val="fr-FR"/>
        </w:rPr>
      </w:pPr>
      <w:r w:rsidRPr="00293F4B">
        <w:rPr>
          <w:rFonts w:asciiTheme="minorHAnsi" w:hAnsiTheme="minorHAnsi" w:cstheme="minorHAnsi"/>
          <w:lang w:val="fr-FR"/>
        </w:rPr>
        <w:t xml:space="preserve">Depuis que le Conseil a approuvé et mis à jour, à sa session de 2013, un Plan d'action sur la conformité et l'interopérabilité (voir la section 4 du Document </w:t>
      </w:r>
      <w:hyperlink r:id="rId23" w:history="1">
        <w:r w:rsidRPr="00293F4B">
          <w:rPr>
            <w:rStyle w:val="Hyperlink"/>
            <w:rFonts w:asciiTheme="minorHAnsi" w:hAnsiTheme="minorHAnsi" w:cstheme="minorHAnsi"/>
            <w:lang w:val="fr-FR"/>
          </w:rPr>
          <w:t>C13/24(Rév.1)</w:t>
        </w:r>
      </w:hyperlink>
      <w:r w:rsidR="00616764" w:rsidRPr="00293F4B">
        <w:rPr>
          <w:rFonts w:asciiTheme="minorHAnsi" w:hAnsiTheme="minorHAnsi"/>
          <w:lang w:val="fr-FR"/>
        </w:rPr>
        <w:t>)</w:t>
      </w:r>
      <w:r w:rsidRPr="00293F4B">
        <w:rPr>
          <w:rFonts w:asciiTheme="minorHAnsi" w:hAnsiTheme="minorHAnsi" w:cstheme="minorHAnsi"/>
          <w:lang w:val="fr-FR"/>
        </w:rPr>
        <w:t>, le Programme de l'UIT sur la conformité et l'interopérabilité progresse de manière satisfaisante: les activités entreprises depuis la session de 2016 du Conseil sont résumées ci-après. La numérotation des paragraphes (</w:t>
      </w:r>
      <w:r w:rsidRPr="00293F4B">
        <w:rPr>
          <w:rFonts w:asciiTheme="minorHAnsi" w:hAnsiTheme="minorHAnsi" w:cstheme="minorHAnsi"/>
          <w:i/>
          <w:iCs/>
          <w:lang w:val="fr-FR"/>
        </w:rPr>
        <w:t>a, b, c...</w:t>
      </w:r>
      <w:r w:rsidRPr="00293F4B">
        <w:rPr>
          <w:rFonts w:asciiTheme="minorHAnsi" w:hAnsiTheme="minorHAnsi" w:cstheme="minorHAnsi"/>
          <w:lang w:val="fr-FR"/>
        </w:rPr>
        <w:t>) renvoie aux différents points du Plan d'action</w:t>
      </w:r>
      <w:r w:rsidR="00616764" w:rsidRPr="00293F4B">
        <w:rPr>
          <w:lang w:val="fr-FR"/>
        </w:rPr>
        <w:t>.</w:t>
      </w:r>
    </w:p>
    <w:p w:rsidR="00374429" w:rsidRPr="00293F4B" w:rsidRDefault="00374429" w:rsidP="00374429">
      <w:pPr>
        <w:pStyle w:val="Heading2"/>
        <w:rPr>
          <w:i/>
          <w:iCs/>
        </w:rPr>
      </w:pPr>
      <w:r w:rsidRPr="00293F4B">
        <w:rPr>
          <w:i/>
          <w:iCs/>
        </w:rPr>
        <w:t>2.1</w:t>
      </w:r>
      <w:r w:rsidRPr="00293F4B">
        <w:rPr>
          <w:i/>
          <w:iCs/>
        </w:rPr>
        <w:tab/>
        <w:t>Pilier 1 – Evaluation de la conformité</w:t>
      </w:r>
    </w:p>
    <w:p w:rsidR="00374429" w:rsidRPr="00293F4B" w:rsidRDefault="00374429" w:rsidP="00374429">
      <w:pPr>
        <w:rPr>
          <w:rFonts w:asciiTheme="minorHAnsi" w:hAnsiTheme="minorHAnsi" w:cstheme="minorHAnsi"/>
        </w:rPr>
      </w:pPr>
      <w:r w:rsidRPr="00293F4B">
        <w:rPr>
          <w:rFonts w:cstheme="minorHAnsi"/>
          <w:i/>
          <w:iCs/>
        </w:rPr>
        <w:t>a)</w:t>
      </w:r>
      <w:r w:rsidRPr="00293F4B">
        <w:rPr>
          <w:rFonts w:cstheme="minorHAnsi"/>
          <w:i/>
          <w:iCs/>
        </w:rPr>
        <w:tab/>
      </w:r>
      <w:r w:rsidRPr="00293F4B">
        <w:rPr>
          <w:rFonts w:cstheme="minorHAnsi"/>
        </w:rPr>
        <w:t xml:space="preserve">La </w:t>
      </w:r>
      <w:hyperlink r:id="rId24" w:history="1">
        <w:r w:rsidRPr="00293F4B">
          <w:rPr>
            <w:rStyle w:val="Hyperlink"/>
            <w:rFonts w:asciiTheme="minorHAnsi" w:hAnsiTheme="minorHAnsi" w:cstheme="minorHAnsi"/>
          </w:rPr>
          <w:t>base de données de l'UIT sur la</w:t>
        </w:r>
      </w:hyperlink>
      <w:r w:rsidRPr="00293F4B">
        <w:rPr>
          <w:rStyle w:val="Hyperlink"/>
          <w:rFonts w:asciiTheme="minorHAnsi" w:hAnsiTheme="minorHAnsi"/>
        </w:rPr>
        <w:t xml:space="preserve"> </w:t>
      </w:r>
      <w:hyperlink r:id="rId25" w:history="1">
        <w:r w:rsidRPr="00293F4B">
          <w:rPr>
            <w:rStyle w:val="Hyperlink"/>
            <w:rFonts w:asciiTheme="minorHAnsi" w:hAnsiTheme="minorHAnsi" w:cstheme="minorHAnsi"/>
          </w:rPr>
          <w:t>conformité des produits</w:t>
        </w:r>
      </w:hyperlink>
      <w:r w:rsidRPr="00293F4B">
        <w:rPr>
          <w:rFonts w:cstheme="minorHAnsi"/>
        </w:rPr>
        <w:t>, entérinée par la Conférence de plénipotentiaires dans sa Résolution 177 en vue de fournir au secteur un moyen de diffuser des informations sur la conformité des produits et services TIC aux normes internationales de l'UIT</w:t>
      </w:r>
      <w:r w:rsidRPr="00293F4B">
        <w:rPr>
          <w:rFonts w:cstheme="minorHAnsi"/>
        </w:rPr>
        <w:noBreakHyphen/>
        <w:t>T, a été créée le 18 décembre 2014; elle comporte des entrées relatives aux dispositifs de cybersanté conformes à la Recommandation UIT</w:t>
      </w:r>
      <w:r w:rsidRPr="00293F4B">
        <w:rPr>
          <w:rFonts w:cstheme="minorHAnsi"/>
        </w:rPr>
        <w:noBreakHyphen/>
        <w:t>T H.810 intitulée "</w:t>
      </w:r>
      <w:r w:rsidRPr="00293F4B">
        <w:rPr>
          <w:rFonts w:cstheme="minorHAnsi"/>
          <w:i/>
          <w:iCs/>
        </w:rPr>
        <w:t>Directives de conception visant à assurer l'interopérabilité des systèmes individuels de suivi de l'état de santé</w:t>
      </w:r>
      <w:r w:rsidRPr="00293F4B">
        <w:rPr>
          <w:rFonts w:cstheme="minorHAnsi"/>
        </w:rPr>
        <w:t>". Ces entrées ont été périodiquement mises à jour en collaboration avec Continua Health Alliance.</w:t>
      </w:r>
      <w:r w:rsidRPr="00293F4B">
        <w:rPr>
          <w:rFonts w:asciiTheme="minorHAnsi" w:hAnsiTheme="minorHAnsi" w:cstheme="minorHAnsi"/>
        </w:rPr>
        <w:t xml:space="preserve"> Actuellement, la base de données contient plus de 500 entrées, qui portent sur les dispositifs de cybersanté, les téléphones mobiles et les services Ethernet</w:t>
      </w:r>
      <w:r w:rsidR="00616764" w:rsidRPr="00293F4B">
        <w:rPr>
          <w:rFonts w:asciiTheme="minorHAnsi" w:hAnsiTheme="minorHAnsi" w:cstheme="minorHAnsi"/>
        </w:rPr>
        <w:t>.</w:t>
      </w:r>
    </w:p>
    <w:p w:rsidR="00374429" w:rsidRPr="00293F4B" w:rsidRDefault="00374429" w:rsidP="0095089B">
      <w:pPr>
        <w:rPr>
          <w:rFonts w:asciiTheme="minorHAnsi" w:hAnsiTheme="minorHAnsi" w:cstheme="minorHAnsi"/>
        </w:rPr>
      </w:pPr>
      <w:r w:rsidRPr="00293F4B">
        <w:t xml:space="preserve">Les commissions d'études de l'UIT-T </w:t>
      </w:r>
      <w:r w:rsidR="0095089B" w:rsidRPr="00293F4B">
        <w:t>gèrent</w:t>
      </w:r>
      <w:r w:rsidRPr="00293F4B">
        <w:t xml:space="preserve"> les </w:t>
      </w:r>
      <w:hyperlink r:id="rId26" w:history="1">
        <w:r w:rsidRPr="00293F4B">
          <w:rPr>
            <w:rStyle w:val="Hyperlink"/>
          </w:rPr>
          <w:t>projets pilotes</w:t>
        </w:r>
      </w:hyperlink>
      <w:r w:rsidRPr="00293F4B">
        <w:t xml:space="preserve"> relatifs</w:t>
      </w:r>
      <w:r w:rsidRPr="00293F4B">
        <w:rPr>
          <w:rFonts w:asciiTheme="minorHAnsi" w:hAnsiTheme="minorHAnsi" w:cstheme="minorHAnsi"/>
        </w:rPr>
        <w:t xml:space="preserve"> aux tests de conformité et d'interopérabilité</w:t>
      </w:r>
      <w:r w:rsidR="0095089B" w:rsidRPr="00293F4B">
        <w:rPr>
          <w:rFonts w:asciiTheme="minorHAnsi" w:hAnsiTheme="minorHAnsi" w:cstheme="minorHAnsi"/>
        </w:rPr>
        <w:t>.</w:t>
      </w:r>
    </w:p>
    <w:p w:rsidR="00374429" w:rsidRPr="00293F4B" w:rsidRDefault="00374429" w:rsidP="00500882">
      <w:pPr>
        <w:jc w:val="both"/>
      </w:pPr>
      <w:bookmarkStart w:id="9" w:name="lt_pId055"/>
      <w:r w:rsidRPr="00293F4B">
        <w:rPr>
          <w:rFonts w:asciiTheme="minorHAnsi" w:hAnsiTheme="minorHAnsi" w:cstheme="minorHAnsi"/>
          <w:i/>
          <w:iCs/>
        </w:rPr>
        <w:t>c)</w:t>
      </w:r>
      <w:bookmarkEnd w:id="9"/>
      <w:r w:rsidRPr="00293F4B">
        <w:rPr>
          <w:rFonts w:asciiTheme="minorHAnsi" w:hAnsiTheme="minorHAnsi" w:cstheme="minorHAnsi"/>
          <w:i/>
          <w:iCs/>
        </w:rPr>
        <w:tab/>
      </w:r>
      <w:bookmarkStart w:id="10" w:name="lt_pId056"/>
      <w:r w:rsidR="00500882" w:rsidRPr="00293F4B">
        <w:t>E</w:t>
      </w:r>
      <w:r w:rsidRPr="00293F4B">
        <w:t>n février 2017, la CE</w:t>
      </w:r>
      <w:r w:rsidR="00500882" w:rsidRPr="00293F4B">
        <w:t> </w:t>
      </w:r>
      <w:r w:rsidRPr="00293F4B">
        <w:t xml:space="preserve">11 de l'UIT-T a mis à jour le </w:t>
      </w:r>
      <w:hyperlink r:id="rId27" w:history="1">
        <w:r w:rsidRPr="00293F4B">
          <w:rPr>
            <w:rStyle w:val="Hyperlink"/>
          </w:rPr>
          <w:t>tableau de référence</w:t>
        </w:r>
      </w:hyperlink>
      <w:r w:rsidRPr="00293F4B">
        <w:t xml:space="preserve"> des Recommandations UIT-T qui peuvent être utilisées pour les tests de conformité et d'interopérabilité</w:t>
      </w:r>
      <w:bookmarkEnd w:id="10"/>
      <w:r w:rsidR="00500882" w:rsidRPr="00293F4B">
        <w:t>.</w:t>
      </w:r>
    </w:p>
    <w:p w:rsidR="00374429" w:rsidRPr="00293F4B" w:rsidRDefault="004340CF" w:rsidP="004340CF">
      <w:bookmarkStart w:id="11" w:name="lt_pId057"/>
      <w:r w:rsidRPr="00293F4B">
        <w:t>L</w:t>
      </w:r>
      <w:r w:rsidR="00374429" w:rsidRPr="00293F4B">
        <w:t>a CE</w:t>
      </w:r>
      <w:r w:rsidRPr="00293F4B">
        <w:t> </w:t>
      </w:r>
      <w:r w:rsidR="00374429" w:rsidRPr="00293F4B">
        <w:t xml:space="preserve">11 de l'UIT-T </w:t>
      </w:r>
      <w:hyperlink r:id="rId28" w:history="1">
        <w:r w:rsidR="00374429" w:rsidRPr="00293F4B">
          <w:rPr>
            <w:rStyle w:val="Hyperlink"/>
          </w:rPr>
          <w:t>collabore avec le Comité technique TC INT de l'ETSI</w:t>
        </w:r>
      </w:hyperlink>
      <w:r w:rsidR="00374429" w:rsidRPr="00293F4B">
        <w:t xml:space="preserve"> (ETSI TC INT); afin d'élaborer des normes concernant les tests de conformité SIP-IMS, les mesures de débit de l'Internet, le cadre d'une interconnexion entre réseaux VoLTE/ViLTE ainsi que les exigences et les spécifications de tests applicables</w:t>
      </w:r>
      <w:bookmarkEnd w:id="11"/>
      <w:r w:rsidRPr="00293F4B">
        <w:t>.</w:t>
      </w:r>
    </w:p>
    <w:p w:rsidR="00374429" w:rsidRPr="00293F4B" w:rsidRDefault="00374429" w:rsidP="00D0687E">
      <w:bookmarkStart w:id="12" w:name="lt_pId058"/>
      <w:r w:rsidRPr="00293F4B">
        <w:t xml:space="preserve">En juillet 2016, la CE 11 de l'UIT-T a approuvé une nouvelle Recommandation UIT-T Q.3960 </w:t>
      </w:r>
      <w:r w:rsidRPr="00D0687E">
        <w:rPr>
          <w:i/>
          <w:iCs/>
        </w:rPr>
        <w:t>"</w:t>
      </w:r>
      <w:r w:rsidRPr="00293F4B">
        <w:rPr>
          <w:i/>
          <w:iCs/>
        </w:rPr>
        <w:t>Cadre pour les mesures des performances relatives à l'Internet</w:t>
      </w:r>
      <w:r w:rsidRPr="00293F4B">
        <w:t>", qui est la première d'une série de Recommandations UIT-T consacrées aux mesures Internet.</w:t>
      </w:r>
      <w:r w:rsidRPr="00293F4B">
        <w:rPr>
          <w:i/>
          <w:iCs/>
        </w:rPr>
        <w:t xml:space="preserve"> </w:t>
      </w:r>
      <w:r w:rsidRPr="00293F4B">
        <w:t>Cette Recommandation décrit le cadre pour les mesures de la performance relative à l'Internet, qui peut être établi au niveau national ou international, et qui offre aux clients des réseaux des opérateurs de télécommunication publics actuels la possibilité de mesurer la connexion Internet d'un client</w:t>
      </w:r>
      <w:bookmarkStart w:id="13" w:name="lt_pId060"/>
      <w:bookmarkEnd w:id="12"/>
      <w:r w:rsidR="00F84662" w:rsidRPr="00293F4B">
        <w:t xml:space="preserve">. </w:t>
      </w:r>
      <w:r w:rsidRPr="00293F4B">
        <w:t xml:space="preserve">Compte tenu de ce résultat, la CE 11 de l'UIT-T, en collaboration avec le Comité technique TC INT de l'ETSI, poursuit l'élaboration du projet de Recommandation UIT-T Q.3961 </w:t>
      </w:r>
      <w:r w:rsidRPr="00293F4B">
        <w:rPr>
          <w:i/>
          <w:iCs/>
        </w:rPr>
        <w:t>"Méthodes de test des mesures de la performance relative à l'Internet, y compris le débit binaire de bout en bout dans les réseaux des opérateurs fixes et mobiles"</w:t>
      </w:r>
      <w:r w:rsidRPr="00293F4B">
        <w:t xml:space="preserve"> et encourage toutes les parties intéressées ainsi que les organismes de normalisation à s'associer à cette activité</w:t>
      </w:r>
      <w:bookmarkEnd w:id="13"/>
      <w:r w:rsidRPr="00293F4B">
        <w:t xml:space="preserve">. On trouvera des renseignements complémentaires sur la </w:t>
      </w:r>
      <w:hyperlink r:id="rId29" w:history="1">
        <w:r w:rsidRPr="00293F4B">
          <w:rPr>
            <w:rStyle w:val="Hyperlink"/>
          </w:rPr>
          <w:t>page web</w:t>
        </w:r>
      </w:hyperlink>
      <w:r w:rsidRPr="00293F4B">
        <w:t xml:space="preserve"> de </w:t>
      </w:r>
      <w:bookmarkStart w:id="14" w:name="lt_pId061"/>
      <w:r w:rsidRPr="00293F4B">
        <w:t>la CE 11 de l'UIT-T</w:t>
      </w:r>
      <w:bookmarkEnd w:id="14"/>
      <w:r w:rsidR="004340CF" w:rsidRPr="00293F4B">
        <w:t>.</w:t>
      </w:r>
    </w:p>
    <w:p w:rsidR="00374429" w:rsidRPr="00293F4B" w:rsidRDefault="00374429" w:rsidP="007A0EAD">
      <w:bookmarkStart w:id="15" w:name="lt_pId062"/>
      <w:r w:rsidRPr="00293F4B">
        <w:t xml:space="preserve">La CE 11 de l'UIT-T progresse dans l'examen du sujet d'étude </w:t>
      </w:r>
      <w:hyperlink r:id="rId30" w:history="1">
        <w:r w:rsidRPr="00293F4B">
          <w:rPr>
            <w:rStyle w:val="Hyperlink"/>
            <w:rFonts w:asciiTheme="minorHAnsi" w:hAnsiTheme="minorHAnsi" w:cstheme="minorHAnsi"/>
          </w:rPr>
          <w:t>Q.30xx_VoLTE_Interconnection</w:t>
        </w:r>
      </w:hyperlink>
      <w:r w:rsidRPr="00293F4B">
        <w:t xml:space="preserve"> </w:t>
      </w:r>
      <w:r w:rsidRPr="00D0687E">
        <w:rPr>
          <w:i/>
          <w:iCs/>
        </w:rPr>
        <w:t>"</w:t>
      </w:r>
      <w:r w:rsidRPr="00293F4B">
        <w:t>Cadre pour l'interco</w:t>
      </w:r>
      <w:r w:rsidR="00D0687E">
        <w:t>nnexion des réseaux VoLTE/ViLTE</w:t>
      </w:r>
      <w:r w:rsidRPr="00D0687E">
        <w:rPr>
          <w:i/>
          <w:iCs/>
        </w:rPr>
        <w:t>"</w:t>
      </w:r>
      <w:r w:rsidRPr="00293F4B">
        <w:t>, qui a été entrepris à la suite des discussions de l'</w:t>
      </w:r>
      <w:hyperlink r:id="rId31" w:history="1">
        <w:r w:rsidRPr="00293F4B">
          <w:rPr>
            <w:rStyle w:val="Hyperlink"/>
            <w:rFonts w:asciiTheme="minorHAnsi" w:hAnsiTheme="minorHAnsi" w:cstheme="minorHAnsi"/>
          </w:rPr>
          <w:t>Atelier</w:t>
        </w:r>
      </w:hyperlink>
      <w:r w:rsidRPr="00293F4B">
        <w:t xml:space="preserve"> tenu le 1er décembre 2015.</w:t>
      </w:r>
      <w:bookmarkEnd w:id="15"/>
      <w:r w:rsidRPr="00293F4B">
        <w:t xml:space="preserve"> En février </w:t>
      </w:r>
      <w:bookmarkStart w:id="16" w:name="lt_pId063"/>
      <w:r w:rsidRPr="00293F4B">
        <w:t xml:space="preserve">2017, la CE 11 de l'UIT-T a mis à une nouvelle question Q.VoLTE_INT_TEST </w:t>
      </w:r>
      <w:r w:rsidR="007A0EAD" w:rsidRPr="00293F4B">
        <w:rPr>
          <w:i/>
          <w:iCs/>
        </w:rPr>
        <w:t>"</w:t>
      </w:r>
      <w:r w:rsidRPr="00293F4B">
        <w:rPr>
          <w:i/>
          <w:iCs/>
        </w:rPr>
        <w:t xml:space="preserve">Tests d'interconnexion des réseaux VoLTE/ViLTE pour les </w:t>
      </w:r>
      <w:r w:rsidRPr="00293F4B">
        <w:rPr>
          <w:i/>
          <w:iCs/>
        </w:rPr>
        <w:lastRenderedPageBreak/>
        <w:t>scénarios d'itinérance et d'interfonctionnement, y compris les tests pertinents de qualité de service et de qualité d'expérience</w:t>
      </w:r>
      <w:bookmarkEnd w:id="16"/>
      <w:r w:rsidR="007A0EAD" w:rsidRPr="00293F4B">
        <w:rPr>
          <w:i/>
          <w:iCs/>
        </w:rPr>
        <w:t>"</w:t>
      </w:r>
      <w:r w:rsidR="007A0EAD" w:rsidRPr="00293F4B">
        <w:t>.</w:t>
      </w:r>
      <w:r w:rsidRPr="00293F4B">
        <w:rPr>
          <w:i/>
          <w:iCs/>
        </w:rPr>
        <w:t xml:space="preserve"> </w:t>
      </w:r>
    </w:p>
    <w:p w:rsidR="00374429" w:rsidRPr="00293F4B" w:rsidRDefault="00374429" w:rsidP="004C5555">
      <w:pPr>
        <w:rPr>
          <w:rFonts w:asciiTheme="minorHAnsi" w:hAnsiTheme="minorHAnsi" w:cstheme="minorHAnsi"/>
          <w:szCs w:val="24"/>
        </w:rPr>
      </w:pPr>
      <w:bookmarkStart w:id="17" w:name="lt_pId064"/>
      <w:r w:rsidRPr="00293F4B">
        <w:rPr>
          <w:rFonts w:asciiTheme="minorHAnsi" w:hAnsiTheme="minorHAnsi" w:cstheme="minorHAnsi"/>
          <w:i/>
          <w:iCs/>
          <w:szCs w:val="24"/>
        </w:rPr>
        <w:t>d)</w:t>
      </w:r>
      <w:bookmarkEnd w:id="17"/>
      <w:r w:rsidRPr="00293F4B">
        <w:rPr>
          <w:rFonts w:asciiTheme="minorHAnsi" w:hAnsiTheme="minorHAnsi" w:cstheme="minorHAnsi"/>
          <w:i/>
          <w:iCs/>
          <w:szCs w:val="24"/>
        </w:rPr>
        <w:tab/>
      </w:r>
      <w:bookmarkStart w:id="18" w:name="lt_pId065"/>
      <w:r w:rsidRPr="00293F4B">
        <w:rPr>
          <w:rFonts w:asciiTheme="minorHAnsi" w:hAnsiTheme="minorHAnsi" w:cstheme="minorHAnsi"/>
          <w:i/>
          <w:iCs/>
          <w:szCs w:val="24"/>
        </w:rPr>
        <w:t xml:space="preserve">En février </w:t>
      </w:r>
      <w:r w:rsidRPr="00293F4B">
        <w:rPr>
          <w:rFonts w:asciiTheme="minorHAnsi" w:hAnsiTheme="minorHAnsi" w:cstheme="minorHAnsi"/>
          <w:szCs w:val="24"/>
        </w:rPr>
        <w:t>2017,</w:t>
      </w:r>
      <w:r w:rsidRPr="00293F4B">
        <w:rPr>
          <w:rFonts w:asciiTheme="minorHAnsi" w:hAnsiTheme="minorHAnsi" w:cstheme="minorHAnsi"/>
        </w:rPr>
        <w:t xml:space="preserve"> la CE 11 de l'UIT-T a approuvé une nouvelle ligne directrice intitulée </w:t>
      </w:r>
      <w:r w:rsidRPr="00293F4B">
        <w:rPr>
          <w:rFonts w:asciiTheme="minorHAnsi" w:hAnsiTheme="minorHAnsi" w:cstheme="minorHAnsi"/>
          <w:i/>
          <w:iCs/>
          <w:szCs w:val="24"/>
        </w:rPr>
        <w:t xml:space="preserve">"Procédure suivie par la </w:t>
      </w:r>
      <w:r w:rsidRPr="00293F4B">
        <w:rPr>
          <w:i/>
          <w:iCs/>
        </w:rPr>
        <w:t>Commission de direction pour l'évaluation de la conformité (CASC) de l'UIT</w:t>
      </w:r>
      <w:r w:rsidR="004C5555" w:rsidRPr="00293F4B">
        <w:rPr>
          <w:i/>
          <w:iCs/>
        </w:rPr>
        <w:noBreakHyphen/>
      </w:r>
      <w:r w:rsidRPr="00293F4B">
        <w:rPr>
          <w:i/>
          <w:iCs/>
        </w:rPr>
        <w:t>T pour la désignation d'experts techniques de l'UIT-T</w:t>
      </w:r>
      <w:bookmarkEnd w:id="18"/>
      <w:r w:rsidR="00811BC5" w:rsidRPr="00293F4B">
        <w:rPr>
          <w:i/>
          <w:iCs/>
        </w:rPr>
        <w:t>"</w:t>
      </w:r>
      <w:r w:rsidR="00811BC5" w:rsidRPr="00293F4B">
        <w:t>.</w:t>
      </w:r>
      <w:r w:rsidRPr="00293F4B">
        <w:t xml:space="preserve"> </w:t>
      </w:r>
    </w:p>
    <w:p w:rsidR="00374429" w:rsidRPr="00293F4B" w:rsidRDefault="00374429" w:rsidP="004C5555">
      <w:pPr>
        <w:rPr>
          <w:rFonts w:asciiTheme="minorHAnsi" w:hAnsiTheme="minorHAnsi"/>
        </w:rPr>
      </w:pPr>
      <w:bookmarkStart w:id="19" w:name="lt_pId068"/>
      <w:r w:rsidRPr="00293F4B">
        <w:rPr>
          <w:rFonts w:asciiTheme="minorHAnsi" w:hAnsiTheme="minorHAnsi"/>
        </w:rPr>
        <w:t>En 2016,</w:t>
      </w:r>
      <w:r w:rsidRPr="00293F4B">
        <w:t xml:space="preserve"> la CASC de l'UIT-T a établi une </w:t>
      </w:r>
      <w:hyperlink r:id="rId32" w:history="1">
        <w:r w:rsidRPr="00293F4B">
          <w:rPr>
            <w:rStyle w:val="Hyperlink"/>
          </w:rPr>
          <w:t>liste</w:t>
        </w:r>
      </w:hyperlink>
      <w:r w:rsidRPr="00293F4B">
        <w:t xml:space="preserve"> de Recommandations UIT-T (UIT-T P.1140, P1100, P.1110 et K.116) qui pourront faire l'objet de programmes de certification communs, en fonction des contributions qui seront présentées par les commissions d'études </w:t>
      </w:r>
      <w:r w:rsidRPr="00293F4B">
        <w:rPr>
          <w:rFonts w:asciiTheme="minorHAnsi" w:hAnsiTheme="minorHAnsi" w:cstheme="minorHAnsi"/>
        </w:rPr>
        <w:t>de l'UIT-T et les membres de de l'UIT.</w:t>
      </w:r>
      <w:bookmarkEnd w:id="19"/>
      <w:r w:rsidRPr="00293F4B">
        <w:rPr>
          <w:rFonts w:asciiTheme="minorHAnsi" w:hAnsiTheme="minorHAnsi" w:cstheme="minorHAnsi"/>
        </w:rPr>
        <w:t xml:space="preserve"> </w:t>
      </w:r>
    </w:p>
    <w:p w:rsidR="00374429" w:rsidRPr="00293F4B" w:rsidRDefault="00374429" w:rsidP="004C5555">
      <w:pPr>
        <w:rPr>
          <w:rFonts w:asciiTheme="minorHAnsi" w:hAnsiTheme="minorHAnsi" w:cstheme="minorHAnsi"/>
        </w:rPr>
      </w:pPr>
      <w:bookmarkStart w:id="20" w:name="lt_pId071"/>
      <w:r w:rsidRPr="00293F4B">
        <w:rPr>
          <w:rFonts w:asciiTheme="minorHAnsi" w:hAnsiTheme="minorHAnsi" w:cstheme="minorHAnsi"/>
        </w:rPr>
        <w:t xml:space="preserve">La CASC de l'UIT-T poursuit sa collaboration avec </w:t>
      </w:r>
      <w:r w:rsidRPr="00293F4B">
        <w:rPr>
          <w:rFonts w:asciiTheme="minorHAnsi" w:hAnsiTheme="minorHAnsi"/>
          <w:color w:val="000000"/>
        </w:rPr>
        <w:t xml:space="preserve">les Systèmes et les Schémas d'évaluation de la conformité existants, par exemple les organes d'accréditation CEI et </w:t>
      </w:r>
      <w:r w:rsidRPr="00293F4B">
        <w:t>ILAC</w:t>
      </w:r>
      <w:bookmarkStart w:id="21" w:name="lt_pId072"/>
      <w:bookmarkEnd w:id="20"/>
      <w:r w:rsidRPr="00293F4B">
        <w:t xml:space="preserve">. En conséquence, le Comité de gestion de la certification (CMC) de la </w:t>
      </w:r>
      <w:r w:rsidR="004C5555" w:rsidRPr="00293F4B">
        <w:t>CEI</w:t>
      </w:r>
      <w:r w:rsidRPr="00293F4B">
        <w:t xml:space="preserve"> a créé un </w:t>
      </w:r>
      <w:hyperlink r:id="rId33" w:history="1">
        <w:r w:rsidRPr="00293F4B">
          <w:rPr>
            <w:rStyle w:val="Hyperlink"/>
          </w:rPr>
          <w:t xml:space="preserve">Groupe d'action </w:t>
        </w:r>
        <w:r w:rsidR="004C5555" w:rsidRPr="00293F4B">
          <w:rPr>
            <w:rStyle w:val="Hyperlink"/>
          </w:rPr>
          <w:t>"</w:t>
        </w:r>
        <w:r w:rsidRPr="00293F4B">
          <w:rPr>
            <w:rStyle w:val="Hyperlink"/>
          </w:rPr>
          <w:t>Exigences</w:t>
        </w:r>
        <w:r w:rsidRPr="00293F4B">
          <w:rPr>
            <w:rStyle w:val="Hyperlink"/>
            <w:rFonts w:asciiTheme="minorHAnsi" w:hAnsiTheme="minorHAnsi" w:cstheme="minorHAnsi"/>
            <w:spacing w:val="2"/>
          </w:rPr>
          <w:t xml:space="preserve"> de l'UIT</w:t>
        </w:r>
        <w:bookmarkEnd w:id="21"/>
        <w:r w:rsidR="004C5555" w:rsidRPr="00293F4B">
          <w:rPr>
            <w:rStyle w:val="Hyperlink"/>
            <w:rFonts w:asciiTheme="minorHAnsi" w:hAnsiTheme="minorHAnsi" w:cstheme="minorHAnsi"/>
            <w:spacing w:val="2"/>
          </w:rPr>
          <w:t>"</w:t>
        </w:r>
      </w:hyperlink>
      <w:r w:rsidR="004C5555" w:rsidRPr="00293F4B">
        <w:rPr>
          <w:rFonts w:asciiTheme="minorHAnsi" w:hAnsiTheme="minorHAnsi" w:cstheme="minorHAnsi"/>
          <w:spacing w:val="2"/>
        </w:rPr>
        <w:t>.</w:t>
      </w:r>
      <w:r w:rsidRPr="00293F4B">
        <w:rPr>
          <w:rFonts w:asciiTheme="minorHAnsi" w:hAnsiTheme="minorHAnsi" w:cstheme="minorHAnsi"/>
          <w:spacing w:val="2"/>
        </w:rPr>
        <w:t xml:space="preserve"> </w:t>
      </w:r>
    </w:p>
    <w:p w:rsidR="00374429" w:rsidRPr="00293F4B" w:rsidRDefault="00374429" w:rsidP="003D31EE">
      <w:pPr>
        <w:rPr>
          <w:rFonts w:asciiTheme="minorHAnsi" w:hAnsiTheme="minorHAnsi" w:cstheme="minorHAnsi"/>
        </w:rPr>
      </w:pPr>
      <w:bookmarkStart w:id="22" w:name="lt_pId073"/>
      <w:r w:rsidRPr="00293F4B">
        <w:rPr>
          <w:rFonts w:asciiTheme="minorHAnsi" w:hAnsiTheme="minorHAnsi" w:cstheme="minorHAnsi"/>
        </w:rPr>
        <w:t xml:space="preserve">En outre, la CASC de l'UIT-T a reçu des réponses de l'IECEE </w:t>
      </w:r>
      <w:r w:rsidR="00293F4B" w:rsidRPr="00293F4B">
        <w:rPr>
          <w:rFonts w:asciiTheme="minorHAnsi" w:hAnsiTheme="minorHAnsi" w:cstheme="minorHAnsi"/>
        </w:rPr>
        <w:t>à</w:t>
      </w:r>
      <w:r w:rsidRPr="00293F4B">
        <w:rPr>
          <w:rFonts w:asciiTheme="minorHAnsi" w:hAnsiTheme="minorHAnsi" w:cstheme="minorHAnsi"/>
        </w:rPr>
        <w:t xml:space="preserve"> l'enquête dans laquelle elle demandait aux membres de l'IECEE d'indiquer les Recommandations de l'UIT à utiliser aux fins de la certification (</w:t>
      </w:r>
      <w:hyperlink r:id="rId34" w:history="1">
        <w:r w:rsidRPr="00293F4B">
          <w:rPr>
            <w:rStyle w:val="Hyperlink"/>
            <w:rFonts w:asciiTheme="minorHAnsi" w:hAnsiTheme="minorHAnsi" w:cstheme="minorHAnsi"/>
          </w:rPr>
          <w:t>TD 50 (GEN/11)</w:t>
        </w:r>
      </w:hyperlink>
      <w:bookmarkEnd w:id="22"/>
      <w:r w:rsidRPr="00293F4B">
        <w:rPr>
          <w:rFonts w:asciiTheme="minorHAnsi" w:hAnsiTheme="minorHAnsi" w:cstheme="minorHAnsi"/>
        </w:rPr>
        <w:t>)</w:t>
      </w:r>
      <w:bookmarkStart w:id="23" w:name="lt_pId074"/>
      <w:r w:rsidRPr="00293F4B">
        <w:rPr>
          <w:rFonts w:asciiTheme="minorHAnsi" w:hAnsiTheme="minorHAnsi" w:cstheme="minorHAnsi"/>
        </w:rPr>
        <w:t>. Parmi les membres de l'IECEE ayant formulé des commentaires figurent l'Italie, la Slovénie, la Suisse et le Vietnam</w:t>
      </w:r>
      <w:bookmarkEnd w:id="23"/>
      <w:r w:rsidR="003D31EE" w:rsidRPr="00293F4B">
        <w:rPr>
          <w:rFonts w:asciiTheme="minorHAnsi" w:hAnsiTheme="minorHAnsi" w:cstheme="minorHAnsi"/>
        </w:rPr>
        <w:t>.</w:t>
      </w:r>
    </w:p>
    <w:p w:rsidR="00374429" w:rsidRPr="00293F4B" w:rsidRDefault="00374429" w:rsidP="004C5555">
      <w:pPr>
        <w:rPr>
          <w:rFonts w:asciiTheme="minorHAnsi" w:hAnsiTheme="minorHAnsi" w:cstheme="minorHAnsi"/>
          <w:szCs w:val="24"/>
        </w:rPr>
      </w:pPr>
      <w:bookmarkStart w:id="24" w:name="lt_pId076"/>
      <w:r w:rsidRPr="00293F4B">
        <w:rPr>
          <w:rFonts w:asciiTheme="minorHAnsi" w:hAnsiTheme="minorHAnsi" w:cstheme="minorHAnsi"/>
          <w:szCs w:val="24"/>
        </w:rPr>
        <w:t xml:space="preserve">A l'heure actuelle, </w:t>
      </w:r>
      <w:r w:rsidRPr="00293F4B">
        <w:rPr>
          <w:rFonts w:asciiTheme="minorHAnsi" w:hAnsiTheme="minorHAnsi" w:cstheme="minorHAnsi"/>
        </w:rPr>
        <w:t>la CASC de l'UIT-T,</w:t>
      </w:r>
      <w:r w:rsidRPr="00293F4B">
        <w:rPr>
          <w:rFonts w:asciiTheme="minorHAnsi" w:hAnsiTheme="minorHAnsi" w:cstheme="minorHAnsi"/>
          <w:szCs w:val="24"/>
        </w:rPr>
        <w:t xml:space="preserve"> en collaboration avec le Groupe d'action de la CEI, élabore deux lignes directrices</w:t>
      </w:r>
      <w:bookmarkEnd w:id="24"/>
      <w:r w:rsidR="003D31EE" w:rsidRPr="00293F4B">
        <w:rPr>
          <w:rFonts w:asciiTheme="minorHAnsi" w:hAnsiTheme="minorHAnsi" w:cstheme="minorHAnsi"/>
          <w:szCs w:val="24"/>
        </w:rPr>
        <w:t>, à savoir</w:t>
      </w:r>
      <w:r w:rsidRPr="00293F4B">
        <w:rPr>
          <w:rFonts w:asciiTheme="minorHAnsi" w:hAnsiTheme="minorHAnsi" w:cstheme="minorHAnsi"/>
          <w:szCs w:val="24"/>
        </w:rPr>
        <w:t>:</w:t>
      </w:r>
    </w:p>
    <w:p w:rsidR="00374429" w:rsidRPr="00330079" w:rsidRDefault="003D31EE" w:rsidP="003D31EE">
      <w:pPr>
        <w:pStyle w:val="enumlev1"/>
        <w:rPr>
          <w:i/>
          <w:iCs/>
        </w:rPr>
      </w:pPr>
      <w:bookmarkStart w:id="25" w:name="lt_pId077"/>
      <w:r w:rsidRPr="00293F4B">
        <w:t>–</w:t>
      </w:r>
      <w:r w:rsidRPr="00293F4B">
        <w:tab/>
      </w:r>
      <w:r w:rsidR="00374429" w:rsidRPr="00293F4B">
        <w:t xml:space="preserve">lignes directrices-CP-AB </w:t>
      </w:r>
      <w:r w:rsidR="00374429" w:rsidRPr="00330079">
        <w:rPr>
          <w:i/>
          <w:iCs/>
        </w:rPr>
        <w:t>"</w:t>
      </w:r>
      <w:r w:rsidR="00374429" w:rsidRPr="00293F4B">
        <w:rPr>
          <w:i/>
          <w:iCs/>
        </w:rPr>
        <w:t>Lignes directrices sur la procédure de collaboration de la CASC de l'UIT-T avec les organismes d'accréditation établis pour évaluer les laboratoires de test dans le cadre des Recommandations approuvées de l'UIT-T</w:t>
      </w:r>
      <w:r w:rsidRPr="00330079">
        <w:rPr>
          <w:i/>
          <w:iCs/>
        </w:rPr>
        <w:t>"</w:t>
      </w:r>
      <w:r w:rsidR="00374429" w:rsidRPr="00293F4B">
        <w:t>;</w:t>
      </w:r>
      <w:bookmarkEnd w:id="25"/>
    </w:p>
    <w:p w:rsidR="00374429" w:rsidRPr="00293F4B" w:rsidRDefault="003D31EE" w:rsidP="003D31EE">
      <w:pPr>
        <w:pStyle w:val="enumlev1"/>
      </w:pPr>
      <w:bookmarkStart w:id="26" w:name="lt_pId078"/>
      <w:r w:rsidRPr="00293F4B">
        <w:t>–</w:t>
      </w:r>
      <w:r w:rsidRPr="00293F4B">
        <w:tab/>
      </w:r>
      <w:r w:rsidR="00374429" w:rsidRPr="00293F4B">
        <w:t xml:space="preserve">lignes directrices-RP-TL </w:t>
      </w:r>
      <w:r w:rsidR="00374429" w:rsidRPr="00330079">
        <w:rPr>
          <w:i/>
          <w:iCs/>
        </w:rPr>
        <w:t>"</w:t>
      </w:r>
      <w:r w:rsidR="00374429" w:rsidRPr="00293F4B">
        <w:rPr>
          <w:i/>
          <w:iCs/>
        </w:rPr>
        <w:t>Lignes directrices sur la procédure suivie par la CASC de l'UIT-T pour la reconnaissance des laboratoires de tests</w:t>
      </w:r>
      <w:r w:rsidR="00374429" w:rsidRPr="00330079">
        <w:rPr>
          <w:i/>
          <w:iCs/>
        </w:rPr>
        <w:t>"</w:t>
      </w:r>
      <w:r w:rsidR="00374429" w:rsidRPr="00293F4B">
        <w:t>.</w:t>
      </w:r>
      <w:bookmarkEnd w:id="26"/>
    </w:p>
    <w:p w:rsidR="00374429" w:rsidRPr="00293F4B" w:rsidRDefault="00374429" w:rsidP="00330079">
      <w:pPr>
        <w:rPr>
          <w:rFonts w:cstheme="minorHAnsi"/>
        </w:rPr>
      </w:pPr>
      <w:bookmarkStart w:id="27" w:name="lt_pId079"/>
      <w:r w:rsidRPr="00293F4B">
        <w:rPr>
          <w:rFonts w:cstheme="minorHAnsi"/>
        </w:rPr>
        <w:t xml:space="preserve">La CASC de l'UIT-T a été établie par la CE 11 en 2015,afin d'élaborer la procédure de reconnaissance des laboratoires de tests </w:t>
      </w:r>
      <w:r w:rsidRPr="00293F4B">
        <w:t>(TL) compétents pour effectuer des tests par rapport aux Recommandations de l'</w:t>
      </w:r>
      <w:r w:rsidR="003D31EE" w:rsidRPr="00293F4B">
        <w:t>UIT-</w:t>
      </w:r>
      <w:r w:rsidRPr="00293F4B">
        <w:t xml:space="preserve">T, conformément à la ligne directrice intitulée </w:t>
      </w:r>
      <w:r w:rsidRPr="00330079">
        <w:rPr>
          <w:rFonts w:cstheme="minorHAnsi"/>
          <w:i/>
        </w:rPr>
        <w:t>"</w:t>
      </w:r>
      <w:r w:rsidRPr="00293F4B">
        <w:rPr>
          <w:rFonts w:cstheme="minorHAnsi"/>
          <w:i/>
        </w:rPr>
        <w:t>Procédure de reconnaissance des laboratoires de tests</w:t>
      </w:r>
      <w:r w:rsidRPr="00330079">
        <w:rPr>
          <w:rFonts w:cstheme="minorHAnsi"/>
          <w:i/>
        </w:rPr>
        <w:t>"</w:t>
      </w:r>
      <w:r w:rsidRPr="00293F4B">
        <w:t>, qui a été approuvée par la CE 11 en 2015.</w:t>
      </w:r>
      <w:bookmarkEnd w:id="27"/>
      <w:r w:rsidRPr="00293F4B">
        <w:t xml:space="preserve"> </w:t>
      </w:r>
      <w:bookmarkStart w:id="28" w:name="lt_pId080"/>
      <w:r w:rsidR="00293F4B" w:rsidRPr="00293F4B">
        <w:rPr>
          <w:rFonts w:cstheme="minorHAnsi"/>
        </w:rPr>
        <w:t>La</w:t>
      </w:r>
      <w:r w:rsidRPr="00293F4B">
        <w:rPr>
          <w:rFonts w:cstheme="minorHAnsi"/>
        </w:rPr>
        <w:t xml:space="preserve"> CASC de l'UIT-T doit tenir sa prochaine </w:t>
      </w:r>
      <w:r w:rsidR="003D31EE" w:rsidRPr="00293F4B">
        <w:rPr>
          <w:rFonts w:cstheme="minorHAnsi"/>
        </w:rPr>
        <w:t>réunion</w:t>
      </w:r>
      <w:r w:rsidRPr="00293F4B">
        <w:rPr>
          <w:rFonts w:cstheme="minorHAnsi"/>
        </w:rPr>
        <w:t xml:space="preserve"> (réunion électronique) le 12 juillet 2017.</w:t>
      </w:r>
      <w:bookmarkStart w:id="29" w:name="lt_pId081"/>
      <w:bookmarkEnd w:id="28"/>
      <w:r w:rsidRPr="00293F4B">
        <w:t xml:space="preserve"> Le mandat de </w:t>
      </w:r>
      <w:r w:rsidRPr="00293F4B">
        <w:rPr>
          <w:rFonts w:cstheme="minorHAnsi"/>
        </w:rPr>
        <w:t xml:space="preserve">la CASC de l'UIT-T est décrit sur la </w:t>
      </w:r>
      <w:hyperlink r:id="rId35" w:history="1">
        <w:r w:rsidRPr="00293F4B">
          <w:rPr>
            <w:rStyle w:val="Hyperlink"/>
            <w:rFonts w:cstheme="minorHAnsi"/>
          </w:rPr>
          <w:t>page web</w:t>
        </w:r>
      </w:hyperlink>
      <w:r w:rsidRPr="00293F4B">
        <w:rPr>
          <w:rFonts w:cstheme="minorHAnsi"/>
        </w:rPr>
        <w:t xml:space="preserve"> de cette dernière.</w:t>
      </w:r>
      <w:bookmarkEnd w:id="29"/>
    </w:p>
    <w:p w:rsidR="00374429" w:rsidRPr="00293F4B" w:rsidRDefault="00374429" w:rsidP="00CA3F29">
      <w:bookmarkStart w:id="30" w:name="lt_pId082"/>
      <w:r w:rsidRPr="00293F4B">
        <w:rPr>
          <w:rFonts w:asciiTheme="minorHAnsi" w:hAnsiTheme="minorHAnsi" w:cstheme="minorHAnsi"/>
          <w:i/>
          <w:iCs/>
        </w:rPr>
        <w:t>e)</w:t>
      </w:r>
      <w:bookmarkEnd w:id="30"/>
      <w:r w:rsidRPr="00293F4B">
        <w:rPr>
          <w:rFonts w:asciiTheme="minorHAnsi" w:hAnsiTheme="minorHAnsi" w:cstheme="minorHAnsi"/>
          <w:i/>
          <w:iCs/>
        </w:rPr>
        <w:tab/>
      </w:r>
      <w:bookmarkStart w:id="31" w:name="lt_pId083"/>
      <w:r w:rsidRPr="00293F4B">
        <w:t xml:space="preserve">En juin 2016, la CE 11 a organisé un </w:t>
      </w:r>
      <w:hyperlink r:id="rId36" w:history="1">
        <w:r w:rsidRPr="009E2E1C">
          <w:rPr>
            <w:rStyle w:val="Hyperlink"/>
          </w:rPr>
          <w:t>ate</w:t>
        </w:r>
        <w:r w:rsidRPr="009E2E1C">
          <w:rPr>
            <w:rStyle w:val="Hyperlink"/>
          </w:rPr>
          <w:t>l</w:t>
        </w:r>
        <w:r w:rsidRPr="009E2E1C">
          <w:rPr>
            <w:rStyle w:val="Hyperlink"/>
          </w:rPr>
          <w:t>ier</w:t>
        </w:r>
      </w:hyperlink>
      <w:r w:rsidRPr="00293F4B">
        <w:t xml:space="preserve"> sur le thème </w:t>
      </w:r>
      <w:r w:rsidRPr="00330079">
        <w:rPr>
          <w:i/>
          <w:iCs/>
        </w:rPr>
        <w:t>"</w:t>
      </w:r>
      <w:r w:rsidRPr="00293F4B">
        <w:rPr>
          <w:i/>
          <w:iCs/>
        </w:rPr>
        <w:t>Des solutions de conformité et d'interopérabilité au service de la lutte contre la contrefaçon</w:t>
      </w:r>
      <w:r w:rsidRPr="00330079">
        <w:rPr>
          <w:i/>
          <w:iCs/>
        </w:rPr>
        <w:t>"</w:t>
      </w:r>
      <w:bookmarkEnd w:id="31"/>
      <w:r w:rsidR="00CA3F29" w:rsidRPr="00293F4B">
        <w:t>.</w:t>
      </w:r>
    </w:p>
    <w:p w:rsidR="00374429" w:rsidRPr="00293F4B" w:rsidRDefault="00374429" w:rsidP="00CA3F29">
      <w:pPr>
        <w:rPr>
          <w:rFonts w:asciiTheme="minorHAnsi" w:hAnsiTheme="minorHAnsi" w:cstheme="minorHAnsi"/>
          <w:i/>
          <w:iCs/>
        </w:rPr>
      </w:pPr>
      <w:bookmarkStart w:id="32" w:name="lt_pId084"/>
      <w:r w:rsidRPr="00293F4B">
        <w:rPr>
          <w:rFonts w:asciiTheme="minorHAnsi" w:hAnsiTheme="minorHAnsi" w:cstheme="minorHAnsi"/>
        </w:rPr>
        <w:t>En février 2017, la CE 11 de l'UIT-T</w:t>
      </w:r>
      <w:r w:rsidRPr="00293F4B">
        <w:rPr>
          <w:rFonts w:asciiTheme="minorHAnsi" w:hAnsiTheme="minorHAnsi" w:cstheme="minorHAnsi"/>
          <w:i/>
          <w:iCs/>
        </w:rPr>
        <w:t xml:space="preserve"> a approuvé un rapport d'enquête sur la contrefaçon des dispositifs TIC dans la région Afrique </w:t>
      </w:r>
      <w:r w:rsidRPr="00293F4B">
        <w:rPr>
          <w:rFonts w:asciiTheme="minorHAnsi" w:hAnsiTheme="minorHAnsi" w:cstheme="minorHAnsi"/>
        </w:rPr>
        <w:t>(</w:t>
      </w:r>
      <w:hyperlink r:id="rId37" w:history="1">
        <w:r w:rsidR="003D31EE" w:rsidRPr="00293F4B">
          <w:rPr>
            <w:rStyle w:val="Hyperlink"/>
            <w:rFonts w:asciiTheme="minorHAnsi" w:hAnsiTheme="minorHAnsi" w:cstheme="minorHAnsi"/>
          </w:rPr>
          <w:t>TD 1199(Ré</w:t>
        </w:r>
        <w:r w:rsidRPr="00293F4B">
          <w:rPr>
            <w:rStyle w:val="Hyperlink"/>
            <w:rFonts w:asciiTheme="minorHAnsi" w:hAnsiTheme="minorHAnsi" w:cstheme="minorHAnsi"/>
          </w:rPr>
          <w:t>v.1</w:t>
        </w:r>
        <w:r w:rsidR="003D31EE" w:rsidRPr="00293F4B">
          <w:rPr>
            <w:rStyle w:val="Hyperlink"/>
            <w:rFonts w:asciiTheme="minorHAnsi" w:hAnsiTheme="minorHAnsi" w:cstheme="minorHAnsi"/>
          </w:rPr>
          <w:t>)</w:t>
        </w:r>
        <w:r w:rsidRPr="00293F4B">
          <w:rPr>
            <w:rStyle w:val="Hyperlink"/>
            <w:rFonts w:asciiTheme="minorHAnsi" w:hAnsiTheme="minorHAnsi" w:cstheme="minorHAnsi"/>
          </w:rPr>
          <w:t>(GEN/11)</w:t>
        </w:r>
      </w:hyperlink>
      <w:r w:rsidRPr="00293F4B">
        <w:rPr>
          <w:rFonts w:asciiTheme="minorHAnsi" w:hAnsiTheme="minorHAnsi" w:cstheme="minorHAnsi"/>
        </w:rPr>
        <w:t xml:space="preserve">) et mis à l'étude un nouveau thème UIT-T Q.FW_CSM </w:t>
      </w:r>
      <w:r w:rsidR="00CA3F29" w:rsidRPr="00330079">
        <w:rPr>
          <w:rFonts w:asciiTheme="minorHAnsi" w:hAnsiTheme="minorHAnsi" w:cstheme="minorHAnsi"/>
          <w:i/>
          <w:iCs/>
        </w:rPr>
        <w:t>"</w:t>
      </w:r>
      <w:r w:rsidRPr="00293F4B">
        <w:rPr>
          <w:rFonts w:asciiTheme="minorHAnsi" w:hAnsiTheme="minorHAnsi" w:cstheme="minorHAnsi"/>
          <w:i/>
          <w:iCs/>
        </w:rPr>
        <w:t>Cadre pour la lutte contre l'utilisation des dispositifs TIC mobiles volés"</w:t>
      </w:r>
      <w:r w:rsidRPr="00293F4B">
        <w:rPr>
          <w:rFonts w:asciiTheme="minorHAnsi" w:hAnsiTheme="minorHAnsi" w:cstheme="minorHAnsi"/>
        </w:rPr>
        <w:t>.</w:t>
      </w:r>
      <w:bookmarkEnd w:id="32"/>
      <w:r w:rsidRPr="00293F4B">
        <w:rPr>
          <w:rFonts w:asciiTheme="minorHAnsi" w:hAnsiTheme="minorHAnsi" w:cstheme="minorHAnsi"/>
        </w:rPr>
        <w:t xml:space="preserve"> </w:t>
      </w:r>
      <w:bookmarkStart w:id="33" w:name="lt_pId085"/>
      <w:r w:rsidRPr="00293F4B">
        <w:rPr>
          <w:rFonts w:asciiTheme="minorHAnsi" w:hAnsiTheme="minorHAnsi" w:cstheme="minorHAnsi"/>
        </w:rPr>
        <w:t>De plus, deux rapp</w:t>
      </w:r>
      <w:r w:rsidR="003D31EE" w:rsidRPr="00293F4B">
        <w:rPr>
          <w:rFonts w:asciiTheme="minorHAnsi" w:hAnsiTheme="minorHAnsi" w:cstheme="minorHAnsi"/>
        </w:rPr>
        <w:t>orts techniques ont été révisés</w:t>
      </w:r>
      <w:r w:rsidRPr="00293F4B">
        <w:rPr>
          <w:rFonts w:asciiTheme="minorHAnsi" w:hAnsiTheme="minorHAnsi" w:cstheme="minorHAnsi"/>
        </w:rPr>
        <w:t>:</w:t>
      </w:r>
      <w:bookmarkEnd w:id="33"/>
      <w:r w:rsidRPr="00293F4B">
        <w:rPr>
          <w:rFonts w:asciiTheme="minorHAnsi" w:hAnsiTheme="minorHAnsi" w:cstheme="minorHAnsi"/>
        </w:rPr>
        <w:t xml:space="preserve"> </w:t>
      </w:r>
      <w:bookmarkStart w:id="34" w:name="lt_pId086"/>
      <w:r w:rsidRPr="00293F4B">
        <w:rPr>
          <w:rFonts w:asciiTheme="minorHAnsi" w:hAnsiTheme="minorHAnsi" w:cstheme="minorHAnsi"/>
        </w:rPr>
        <w:t xml:space="preserve">Q.FW_CCF </w:t>
      </w:r>
      <w:r w:rsidR="003D31EE" w:rsidRPr="00293F4B">
        <w:rPr>
          <w:rFonts w:asciiTheme="minorHAnsi" w:hAnsiTheme="minorHAnsi" w:cstheme="minorHAnsi"/>
          <w:i/>
          <w:iCs/>
        </w:rPr>
        <w:t>"</w:t>
      </w:r>
      <w:r w:rsidRPr="00293F4B">
        <w:rPr>
          <w:rFonts w:asciiTheme="minorHAnsi" w:hAnsiTheme="minorHAnsi" w:cstheme="minorHAnsi"/>
          <w:i/>
          <w:iCs/>
        </w:rPr>
        <w:t xml:space="preserve">Cadre pour des solutions permettant de lutter contre la contrefaçon des dispositifs </w:t>
      </w:r>
      <w:r w:rsidRPr="00293F4B">
        <w:rPr>
          <w:i/>
          <w:iCs/>
        </w:rPr>
        <w:t>TIC</w:t>
      </w:r>
      <w:r w:rsidR="003D31EE" w:rsidRPr="00293F4B">
        <w:t>"</w:t>
      </w:r>
      <w:r w:rsidRPr="00293F4B">
        <w:t xml:space="preserve"> et</w:t>
      </w:r>
      <w:r w:rsidR="003D31EE" w:rsidRPr="00293F4B">
        <w:t xml:space="preserve"> </w:t>
      </w:r>
      <w:r w:rsidRPr="00293F4B">
        <w:rPr>
          <w:rFonts w:asciiTheme="minorHAnsi" w:hAnsiTheme="minorHAnsi" w:cstheme="minorHAnsi"/>
        </w:rPr>
        <w:t xml:space="preserve">TR-CF_BP </w:t>
      </w:r>
      <w:r w:rsidRPr="00293F4B">
        <w:rPr>
          <w:rFonts w:asciiTheme="minorHAnsi" w:hAnsiTheme="minorHAnsi" w:cstheme="minorHAnsi"/>
          <w:i/>
          <w:iCs/>
        </w:rPr>
        <w:t>"Rapport technique</w:t>
      </w:r>
      <w:r w:rsidR="003D31EE" w:rsidRPr="00293F4B">
        <w:rPr>
          <w:rFonts w:asciiTheme="minorHAnsi" w:hAnsiTheme="minorHAnsi" w:cstheme="minorHAnsi"/>
          <w:i/>
          <w:iCs/>
        </w:rPr>
        <w:t xml:space="preserve"> –</w:t>
      </w:r>
      <w:r w:rsidRPr="00293F4B">
        <w:rPr>
          <w:rFonts w:asciiTheme="minorHAnsi" w:hAnsiTheme="minorHAnsi" w:cstheme="minorHAnsi"/>
          <w:i/>
          <w:iCs/>
        </w:rPr>
        <w:t xml:space="preserve"> </w:t>
      </w:r>
      <w:r w:rsidRPr="00293F4B">
        <w:rPr>
          <w:i/>
          <w:iCs/>
        </w:rPr>
        <w:t xml:space="preserve">Lignes directrices à suivre en matière de bonnes pratiques et solutions à appliquer pour lutter contre </w:t>
      </w:r>
      <w:r w:rsidRPr="00293F4B">
        <w:rPr>
          <w:rFonts w:asciiTheme="minorHAnsi" w:hAnsiTheme="minorHAnsi" w:cstheme="minorHAnsi"/>
          <w:i/>
          <w:iCs/>
        </w:rPr>
        <w:t>la contrefaçon de dispositifs TIC</w:t>
      </w:r>
      <w:bookmarkEnd w:id="34"/>
      <w:r w:rsidR="003D31EE" w:rsidRPr="00293F4B">
        <w:rPr>
          <w:rFonts w:asciiTheme="minorHAnsi" w:hAnsiTheme="minorHAnsi" w:cstheme="minorHAnsi"/>
          <w:i/>
          <w:iCs/>
        </w:rPr>
        <w:t>"</w:t>
      </w:r>
      <w:r w:rsidR="003D31EE" w:rsidRPr="00293F4B">
        <w:t>.</w:t>
      </w:r>
    </w:p>
    <w:p w:rsidR="00374429" w:rsidRPr="00293F4B" w:rsidRDefault="00374429" w:rsidP="001B6708">
      <w:bookmarkStart w:id="35" w:name="lt_pId087"/>
      <w:r w:rsidRPr="00293F4B">
        <w:rPr>
          <w:i/>
          <w:iCs/>
        </w:rPr>
        <w:t>f)</w:t>
      </w:r>
      <w:bookmarkEnd w:id="35"/>
      <w:r w:rsidRPr="00293F4B">
        <w:rPr>
          <w:i/>
          <w:iCs/>
        </w:rPr>
        <w:tab/>
      </w:r>
      <w:bookmarkStart w:id="36" w:name="lt_pId088"/>
      <w:r w:rsidRPr="00293F4B">
        <w:t xml:space="preserve">En février 2017, la CE 11 a donné son accord à un nouveau projet de Recommandation UIT-T Q.3713 </w:t>
      </w:r>
      <w:r w:rsidR="001B6708" w:rsidRPr="00293F4B">
        <w:rPr>
          <w:i/>
          <w:iCs/>
        </w:rPr>
        <w:t>"</w:t>
      </w:r>
      <w:r w:rsidRPr="00293F4B">
        <w:rPr>
          <w:i/>
          <w:iCs/>
        </w:rPr>
        <w:t>Exigences de signalisation pour la réserve de passerelles de réseau large bande (BNG)</w:t>
      </w:r>
      <w:r w:rsidR="001B6708" w:rsidRPr="00293F4B">
        <w:rPr>
          <w:i/>
          <w:iCs/>
        </w:rPr>
        <w:t>"</w:t>
      </w:r>
      <w:r w:rsidRPr="00293F4B">
        <w:rPr>
          <w:i/>
          <w:iCs/>
        </w:rPr>
        <w:t xml:space="preserve">, </w:t>
      </w:r>
      <w:r w:rsidRPr="00293F4B">
        <w:t>qui vise à renforcer les prescriptions en matière de conformité, en identifiant les éléments de la Recommandation qui sont nécessaires pour la conformité</w:t>
      </w:r>
      <w:bookmarkEnd w:id="36"/>
      <w:r w:rsidR="001B6708" w:rsidRPr="00293F4B">
        <w:t>.</w:t>
      </w:r>
    </w:p>
    <w:p w:rsidR="00374429" w:rsidRPr="00293F4B" w:rsidRDefault="00374429" w:rsidP="000B6FF5">
      <w:bookmarkStart w:id="37" w:name="lt_pId089"/>
      <w:r w:rsidRPr="00293F4B">
        <w:lastRenderedPageBreak/>
        <w:t xml:space="preserve">En janvier 2017, la CE 12 de l'UIT-T a révisé la Recommandation UIT-T P.1100/P.1110 sur la base des résultats des tests de la </w:t>
      </w:r>
      <w:hyperlink r:id="rId38" w:history="1">
        <w:r w:rsidRPr="00293F4B">
          <w:rPr>
            <w:rStyle w:val="Hyperlink"/>
          </w:rPr>
          <w:t>troisième</w:t>
        </w:r>
      </w:hyperlink>
      <w:r w:rsidR="000B6FF5" w:rsidRPr="00293F4B">
        <w:rPr>
          <w:rStyle w:val="Hyperlink"/>
        </w:rPr>
        <w:t xml:space="preserve"> </w:t>
      </w:r>
      <w:hyperlink r:id="rId39" w:history="1">
        <w:r w:rsidR="000B6FF5" w:rsidRPr="00293F4B">
          <w:rPr>
            <w:rStyle w:val="Hyperlink"/>
            <w:rFonts w:asciiTheme="minorHAnsi" w:hAnsiTheme="minorHAnsi" w:cstheme="minorHAnsi"/>
          </w:rPr>
          <w:t>r</w:t>
        </w:r>
        <w:r w:rsidRPr="00293F4B">
          <w:rPr>
            <w:rStyle w:val="Hyperlink"/>
            <w:rFonts w:asciiTheme="minorHAnsi" w:hAnsiTheme="minorHAnsi" w:cstheme="minorHAnsi"/>
          </w:rPr>
          <w:t>éunion de l'UIT-T consacrée à des tests</w:t>
        </w:r>
      </w:hyperlink>
      <w:r w:rsidRPr="00293F4B">
        <w:t xml:space="preserve"> d'évaluation de la qualité de fonctionnement des téléphones mobiles à bord de véhicules en association avec des terminaux mains libres. </w:t>
      </w:r>
      <w:bookmarkStart w:id="38" w:name="lt_pId090"/>
      <w:bookmarkEnd w:id="37"/>
      <w:r w:rsidRPr="00293F4B">
        <w:t xml:space="preserve">La Recommandation UIT-T P.1100/P.1110 révisée identifie les </w:t>
      </w:r>
      <w:r w:rsidR="00172887" w:rsidRPr="00293F4B">
        <w:t>éléments</w:t>
      </w:r>
      <w:r w:rsidRPr="00293F4B">
        <w:t xml:space="preserve"> qui doivent être testés pour être en conformité avec certaines sections de ces Recommandations</w:t>
      </w:r>
      <w:bookmarkEnd w:id="38"/>
      <w:r w:rsidR="00172887" w:rsidRPr="00293F4B">
        <w:t>.</w:t>
      </w:r>
    </w:p>
    <w:p w:rsidR="00374429" w:rsidRPr="00293F4B" w:rsidRDefault="00374429" w:rsidP="001B6708">
      <w:bookmarkStart w:id="39" w:name="lt_pId091"/>
      <w:r w:rsidRPr="00293F4B">
        <w:rPr>
          <w:i/>
          <w:iCs/>
        </w:rPr>
        <w:t>g)</w:t>
      </w:r>
      <w:bookmarkEnd w:id="39"/>
      <w:r w:rsidRPr="00293F4B">
        <w:rPr>
          <w:i/>
          <w:iCs/>
        </w:rPr>
        <w:tab/>
      </w:r>
      <w:bookmarkStart w:id="40" w:name="lt_pId092"/>
      <w:r w:rsidRPr="00293F4B">
        <w:t>Les commissions d'études de l'UIT-T chargées de la mise en oeuvre de projets de tests pilote (paragraphe b)) élaborent actuellement les spécifications de tests pertinentes, notamment PICS, PIXIT, ATS (par exemple Recommandation Q.3905 et Recommandations de la série M.3170).</w:t>
      </w:r>
      <w:bookmarkEnd w:id="40"/>
      <w:r w:rsidRPr="00293F4B">
        <w:t xml:space="preserve"> </w:t>
      </w:r>
    </w:p>
    <w:p w:rsidR="00374429" w:rsidRPr="00293F4B" w:rsidRDefault="00374429" w:rsidP="00172887">
      <w:bookmarkStart w:id="41" w:name="lt_pId093"/>
      <w:r w:rsidRPr="00293F4B">
        <w:t>La CE 11 de l'UIT-T a achevé l'élaboration de la première série des Recommandations qui indiquent les prescriptions et les spécifications de test pertinentes pour le service de communication de base et les services supplémentaires pour les réseaux utilisant le sous-système SIP-IMS.</w:t>
      </w:r>
      <w:bookmarkEnd w:id="41"/>
      <w:r w:rsidRPr="00293F4B">
        <w:t xml:space="preserve"> Elle élaborera ensuite la seconde série de normes. On trouvera davantage de précisions sur la </w:t>
      </w:r>
      <w:hyperlink r:id="rId40" w:history="1">
        <w:r w:rsidRPr="00293F4B">
          <w:rPr>
            <w:rStyle w:val="Hyperlink"/>
          </w:rPr>
          <w:t xml:space="preserve">page web du </w:t>
        </w:r>
        <w:bookmarkStart w:id="42" w:name="lt_pId095"/>
        <w:r w:rsidR="00172887" w:rsidRPr="00293F4B">
          <w:rPr>
            <w:rStyle w:val="Hyperlink"/>
          </w:rPr>
          <w:t>SIP</w:t>
        </w:r>
        <w:r w:rsidR="00172887" w:rsidRPr="00293F4B">
          <w:rPr>
            <w:rStyle w:val="Hyperlink"/>
          </w:rPr>
          <w:noBreakHyphen/>
        </w:r>
        <w:r w:rsidRPr="00293F4B">
          <w:rPr>
            <w:rStyle w:val="Hyperlink"/>
          </w:rPr>
          <w:t>IMS</w:t>
        </w:r>
      </w:hyperlink>
      <w:r w:rsidRPr="00293F4B">
        <w:t>.</w:t>
      </w:r>
      <w:bookmarkEnd w:id="42"/>
    </w:p>
    <w:p w:rsidR="00374429" w:rsidRPr="00293F4B" w:rsidRDefault="00374429" w:rsidP="001B6708">
      <w:bookmarkStart w:id="43" w:name="lt_pId096"/>
      <w:r w:rsidRPr="00293F4B">
        <w:t xml:space="preserve">En janvier 2017, la CE 16 de l'UIT-T a approuvé le nouveau document sur les tests C&amp;I relatifs aux profils d'accessibilité pour les systèmes TVIP </w:t>
      </w:r>
      <w:r w:rsidRPr="00293F4B">
        <w:rPr>
          <w:spacing w:val="-2"/>
        </w:rPr>
        <w:t>(UIT-T HSTP.CONF-H702) et donné son accord à 39 Recommandations, nouvelles ou révisées, concernant les spécifications des tests de conformité pour les dispositifs médicaux individuels UIT-T H.810 (Recommandations de la série UIT-</w:t>
      </w:r>
      <w:r w:rsidR="001B6708" w:rsidRPr="00293F4B">
        <w:rPr>
          <w:spacing w:val="-2"/>
        </w:rPr>
        <w:t>T H.820-H.850</w:t>
      </w:r>
      <w:r w:rsidRPr="00293F4B">
        <w:rPr>
          <w:spacing w:val="-2"/>
        </w:rPr>
        <w:t>).</w:t>
      </w:r>
      <w:bookmarkEnd w:id="43"/>
    </w:p>
    <w:p w:rsidR="00374429" w:rsidRPr="00293F4B" w:rsidRDefault="00374429" w:rsidP="001B6708">
      <w:bookmarkStart w:id="44" w:name="lt_pId097"/>
      <w:r w:rsidRPr="00293F4B">
        <w:t xml:space="preserve">La CE 5 de l'UIT-T </w:t>
      </w:r>
      <w:r w:rsidR="001B6708" w:rsidRPr="00293F4B">
        <w:t>élabore</w:t>
      </w:r>
      <w:r w:rsidRPr="00293F4B">
        <w:t xml:space="preserve"> actuellement de nouvelles Recommandations relatives aux perturbations électromagnétiques, aux tests d'immunité et aux spécifications de tests pour le chargeur universel (Recommandation UIT-T L.1005)</w:t>
      </w:r>
      <w:bookmarkEnd w:id="44"/>
      <w:r w:rsidRPr="00293F4B">
        <w:t xml:space="preserve">. </w:t>
      </w:r>
      <w:bookmarkStart w:id="45" w:name="lt_pId098"/>
      <w:r w:rsidRPr="00293F4B">
        <w:t>En 2016, la CE 5 de l'UIT-T a approuvé la Recommandation</w:t>
      </w:r>
      <w:r w:rsidR="001B6708" w:rsidRPr="00293F4B">
        <w:t xml:space="preserve"> </w:t>
      </w:r>
      <w:r w:rsidRPr="00293F4B">
        <w:t>UIT-T K.44, qui décrit les tests d'immunité des équipements de télécommunication exposés aux surtensions et aux surintensités</w:t>
      </w:r>
      <w:bookmarkEnd w:id="45"/>
      <w:r w:rsidR="001B6708" w:rsidRPr="00293F4B">
        <w:t>.</w:t>
      </w:r>
    </w:p>
    <w:p w:rsidR="00374429" w:rsidRPr="00293F4B" w:rsidRDefault="00374429" w:rsidP="001B6708">
      <w:bookmarkStart w:id="46" w:name="lt_pId099"/>
      <w:r w:rsidRPr="00293F4B">
        <w:t xml:space="preserve">En janvier 2017, la CE 12 de l'UIT-T a donné son accord à la Recommandation </w:t>
      </w:r>
      <w:r w:rsidR="001B6708" w:rsidRPr="00293F4B">
        <w:t>révisée</w:t>
      </w:r>
      <w:r w:rsidRPr="00293F4B">
        <w:t xml:space="preserve"> UIT-T P.381, qui décrit les prescriptions techniques et les méthodes de test applicables à l'interface universelle de casque d'écoute filaire ainsi qu'à la Recommandation UIT-T P.1120, qui décrit les objectifs et le montage des tests pour les communications mains libres à bord de véhicules utilisant des systèmes super large bande (SWB) et pleine bande (FB)</w:t>
      </w:r>
      <w:bookmarkEnd w:id="46"/>
      <w:r w:rsidR="001B6708" w:rsidRPr="00293F4B">
        <w:t>.</w:t>
      </w:r>
    </w:p>
    <w:p w:rsidR="00374429" w:rsidRPr="00293F4B" w:rsidRDefault="00374429" w:rsidP="00A31CC6">
      <w:pPr>
        <w:pStyle w:val="Heading2"/>
      </w:pPr>
      <w:r w:rsidRPr="00293F4B">
        <w:rPr>
          <w:rFonts w:asciiTheme="minorHAnsi" w:hAnsiTheme="minorHAnsi" w:cstheme="minorHAnsi"/>
          <w:bCs/>
          <w:i/>
          <w:iCs/>
        </w:rPr>
        <w:t>2.2</w:t>
      </w:r>
      <w:r w:rsidRPr="00293F4B">
        <w:rPr>
          <w:rFonts w:asciiTheme="minorHAnsi" w:hAnsiTheme="minorHAnsi" w:cstheme="minorHAnsi"/>
          <w:bCs/>
          <w:i/>
          <w:iCs/>
        </w:rPr>
        <w:tab/>
      </w:r>
      <w:bookmarkStart w:id="47" w:name="lt_pId101"/>
      <w:r w:rsidRPr="00293F4B">
        <w:rPr>
          <w:i/>
          <w:iCs/>
        </w:rPr>
        <w:t>Pilier 2 – Réunions de l'UIT sur l'interopérabilité</w:t>
      </w:r>
      <w:bookmarkEnd w:id="47"/>
      <w:r w:rsidRPr="00293F4B">
        <w:t xml:space="preserve"> </w:t>
      </w:r>
    </w:p>
    <w:p w:rsidR="00374429" w:rsidRPr="00293F4B" w:rsidRDefault="00374429" w:rsidP="00A31CC6">
      <w:pPr>
        <w:pStyle w:val="Heading3"/>
        <w:rPr>
          <w:i/>
          <w:szCs w:val="24"/>
        </w:rPr>
      </w:pPr>
      <w:r w:rsidRPr="00293F4B">
        <w:rPr>
          <w:i/>
          <w:szCs w:val="24"/>
        </w:rPr>
        <w:t>2.2.1</w:t>
      </w:r>
      <w:r w:rsidRPr="00293F4B">
        <w:rPr>
          <w:i/>
          <w:szCs w:val="24"/>
        </w:rPr>
        <w:tab/>
      </w:r>
      <w:bookmarkStart w:id="48" w:name="lt_pId103"/>
      <w:r w:rsidRPr="00293F4B">
        <w:rPr>
          <w:i/>
          <w:iCs/>
        </w:rPr>
        <w:t xml:space="preserve">Séries de tests sur </w:t>
      </w:r>
      <w:r w:rsidRPr="00293F4B">
        <w:rPr>
          <w:i/>
          <w:iCs/>
          <w:szCs w:val="24"/>
        </w:rPr>
        <w:t>la TVIP</w:t>
      </w:r>
      <w:bookmarkEnd w:id="48"/>
    </w:p>
    <w:p w:rsidR="00374429" w:rsidRPr="00293F4B" w:rsidRDefault="00374429" w:rsidP="00A31CC6">
      <w:pPr>
        <w:rPr>
          <w:rFonts w:cstheme="majorBidi"/>
        </w:rPr>
      </w:pPr>
      <w:bookmarkStart w:id="49" w:name="lt_pId104"/>
      <w:r w:rsidRPr="00293F4B">
        <w:t xml:space="preserve">En 2016, l'UIT a </w:t>
      </w:r>
      <w:r w:rsidR="00A31CC6" w:rsidRPr="00293F4B">
        <w:t>organisé</w:t>
      </w:r>
      <w:r w:rsidRPr="00293F4B">
        <w:t xml:space="preserve"> une série de </w:t>
      </w:r>
      <w:hyperlink r:id="rId41" w:history="1">
        <w:r w:rsidRPr="00293F4B">
          <w:rPr>
            <w:rStyle w:val="Hyperlink"/>
          </w:rPr>
          <w:t>tests concernant la TVIP</w:t>
        </w:r>
      </w:hyperlink>
      <w:r w:rsidRPr="00293F4B">
        <w:rPr>
          <w:b/>
          <w:bCs/>
          <w:i/>
          <w:iCs/>
        </w:rPr>
        <w:t xml:space="preserve"> </w:t>
      </w:r>
      <w:r w:rsidRPr="00293F4B">
        <w:t>pour améliorer les normes et les spécifications de test de l'UIT-T concernant la TVIP.</w:t>
      </w:r>
      <w:bookmarkStart w:id="50" w:name="lt_pId105"/>
      <w:bookmarkEnd w:id="49"/>
      <w:r w:rsidRPr="00293F4B">
        <w:t xml:space="preserve"> Sur la base de ces expériences de test, les constructeurs de TVIP ont indiqué qu'ils souhaitaient mener des tests de conformité, afin d'alimenter la base de données UIT sur la conformité des produits avec ceux de leurs produits qui auront passé les tests avec succès. Pour répondre à la demande du marché,</w:t>
      </w:r>
      <w:bookmarkEnd w:id="50"/>
      <w:r w:rsidRPr="00293F4B">
        <w:t xml:space="preserve"> la CE 16 de l'UIT-T </w:t>
      </w:r>
      <w:bookmarkStart w:id="51" w:name="lt_pId106"/>
      <w:r w:rsidRPr="00293F4B">
        <w:t>a créé une équipe de l'UIT chargée d'effectuer des tests sur la TVIP et a lancé un nouveau projet pilote d'évaluation de la conformité par rapport aux Recommandations de la série UIT-T H.700</w:t>
      </w:r>
      <w:bookmarkEnd w:id="51"/>
      <w:r w:rsidRPr="00293F4B">
        <w:t xml:space="preserve"> </w:t>
      </w:r>
    </w:p>
    <w:p w:rsidR="00374429" w:rsidRPr="00293F4B" w:rsidRDefault="00374429" w:rsidP="00A31CC6">
      <w:pPr>
        <w:rPr>
          <w:rFonts w:cstheme="minorHAnsi"/>
        </w:rPr>
      </w:pPr>
      <w:bookmarkStart w:id="52" w:name="lt_pId107"/>
      <w:r w:rsidRPr="00293F4B">
        <w:t xml:space="preserve">En janvier 2017, pendant la </w:t>
      </w:r>
      <w:r w:rsidR="00A31CC6" w:rsidRPr="00293F4B">
        <w:t>réunion</w:t>
      </w:r>
      <w:r w:rsidRPr="00293F4B">
        <w:t xml:space="preserve"> de la CE 16, l'équipe créée pour effectuer les tests concernant la TVIP et l'Université Keio ont mené des tests de conformité à la Recommandation </w:t>
      </w:r>
      <w:hyperlink r:id="rId42" w:history="1">
        <w:r w:rsidRPr="00293F4B">
          <w:rPr>
            <w:rStyle w:val="Hyperlink"/>
            <w:rFonts w:asciiTheme="minorHAnsi" w:hAnsiTheme="minorHAnsi"/>
          </w:rPr>
          <w:t>UIT-T H.721</w:t>
        </w:r>
      </w:hyperlink>
      <w:r w:rsidRPr="00293F4B">
        <w:t xml:space="preserve">, en utilisant les spécifications de test pertinentes </w:t>
      </w:r>
      <w:hyperlink r:id="rId43" w:history="1">
        <w:r w:rsidRPr="00293F4B">
          <w:rPr>
            <w:rStyle w:val="Hyperlink"/>
            <w:rFonts w:asciiTheme="minorHAnsi" w:hAnsiTheme="minorHAnsi"/>
          </w:rPr>
          <w:t>HSTP-CONF H721</w:t>
        </w:r>
      </w:hyperlink>
      <w:r w:rsidRPr="00293F4B">
        <w:t>.</w:t>
      </w:r>
      <w:bookmarkStart w:id="53" w:name="lt_pId108"/>
      <w:bookmarkEnd w:id="52"/>
      <w:r w:rsidRPr="00293F4B">
        <w:t xml:space="preserve"> La prochaine série de </w:t>
      </w:r>
      <w:r w:rsidRPr="00293F4B">
        <w:rPr>
          <w:bCs/>
          <w:iCs/>
        </w:rPr>
        <w:t xml:space="preserve">tests sur la TVIP devrait avoir lieu à l'occasion de la prochaine </w:t>
      </w:r>
      <w:r w:rsidR="00A31CC6" w:rsidRPr="00293F4B">
        <w:rPr>
          <w:bCs/>
          <w:iCs/>
        </w:rPr>
        <w:t>réunion</w:t>
      </w:r>
      <w:r w:rsidRPr="00293F4B">
        <w:rPr>
          <w:bCs/>
          <w:iCs/>
        </w:rPr>
        <w:t xml:space="preserve"> du Groupe du Rapporteur pour la Question</w:t>
      </w:r>
      <w:r w:rsidRPr="00293F4B">
        <w:t xml:space="preserve"> 13/16, qui aura lieu à Genève en mai 2017.</w:t>
      </w:r>
      <w:bookmarkEnd w:id="53"/>
    </w:p>
    <w:p w:rsidR="00374429" w:rsidRPr="00293F4B" w:rsidRDefault="00374429" w:rsidP="00A31CC6">
      <w:pPr>
        <w:pStyle w:val="Heading3"/>
        <w:rPr>
          <w:i/>
          <w:iCs/>
        </w:rPr>
      </w:pPr>
      <w:r w:rsidRPr="00293F4B">
        <w:rPr>
          <w:rFonts w:asciiTheme="minorHAnsi" w:hAnsiTheme="minorHAnsi"/>
          <w:bCs/>
          <w:i/>
          <w:iCs/>
          <w:szCs w:val="24"/>
        </w:rPr>
        <w:lastRenderedPageBreak/>
        <w:t>2.2.2</w:t>
      </w:r>
      <w:r w:rsidRPr="00293F4B">
        <w:rPr>
          <w:rFonts w:asciiTheme="minorHAnsi" w:hAnsiTheme="minorHAnsi"/>
          <w:bCs/>
          <w:i/>
          <w:iCs/>
          <w:szCs w:val="24"/>
        </w:rPr>
        <w:tab/>
      </w:r>
      <w:r w:rsidRPr="00293F4B">
        <w:rPr>
          <w:i/>
          <w:iCs/>
        </w:rPr>
        <w:t xml:space="preserve">Séries de tests UIT sur la compatibilité des téléphones mobiles et des terminaux mains libres à bord de véhicules </w:t>
      </w:r>
    </w:p>
    <w:p w:rsidR="00374429" w:rsidRPr="00293F4B" w:rsidRDefault="00374429" w:rsidP="00016D4F">
      <w:pPr>
        <w:rPr>
          <w:rFonts w:asciiTheme="minorHAnsi" w:hAnsiTheme="minorHAnsi" w:cstheme="minorHAnsi"/>
        </w:rPr>
      </w:pPr>
      <w:bookmarkStart w:id="54" w:name="lt_pId111"/>
      <w:r w:rsidRPr="00293F4B">
        <w:rPr>
          <w:rFonts w:asciiTheme="minorHAnsi" w:hAnsiTheme="minorHAnsi" w:cstheme="minorHAnsi"/>
        </w:rPr>
        <w:t xml:space="preserve">A la suite des trois séries </w:t>
      </w:r>
      <w:r w:rsidRPr="00293F4B">
        <w:rPr>
          <w:rFonts w:asciiTheme="minorHAnsi" w:hAnsiTheme="minorHAnsi"/>
        </w:rPr>
        <w:t xml:space="preserve">de </w:t>
      </w:r>
      <w:r w:rsidRPr="00293F4B">
        <w:rPr>
          <w:rFonts w:asciiTheme="minorHAnsi" w:hAnsiTheme="minorHAnsi"/>
          <w:bCs/>
          <w:iCs/>
        </w:rPr>
        <w:t xml:space="preserve">tests </w:t>
      </w:r>
      <w:r w:rsidRPr="00293F4B">
        <w:rPr>
          <w:rFonts w:asciiTheme="minorHAnsi" w:hAnsiTheme="minorHAnsi" w:cstheme="minorHAnsi"/>
        </w:rPr>
        <w:t>UIT visant à évaluer la qualité de fonctionnement</w:t>
      </w:r>
      <w:r w:rsidRPr="00293F4B">
        <w:t xml:space="preserve"> des téléphones mobiles dans le cas de communications à bande étroite ou à large bande avec des terminaux mains libres à bord de véhicules, qui se sont tenues en</w:t>
      </w:r>
      <w:r w:rsidRPr="00293F4B">
        <w:rPr>
          <w:rFonts w:asciiTheme="minorHAnsi" w:hAnsiTheme="minorHAnsi" w:cstheme="minorHAnsi"/>
        </w:rPr>
        <w:t xml:space="preserve"> </w:t>
      </w:r>
      <w:hyperlink r:id="rId44" w:history="1">
        <w:r w:rsidRPr="00293F4B">
          <w:rPr>
            <w:rStyle w:val="Hyperlink"/>
            <w:rFonts w:asciiTheme="minorHAnsi" w:hAnsiTheme="minorHAnsi" w:cstheme="minorHAnsi"/>
            <w:spacing w:val="4"/>
          </w:rPr>
          <w:t>mai 2014</w:t>
        </w:r>
      </w:hyperlink>
      <w:r w:rsidRPr="00293F4B">
        <w:rPr>
          <w:rFonts w:asciiTheme="minorHAnsi" w:hAnsiTheme="minorHAnsi" w:cstheme="minorHAnsi"/>
          <w:spacing w:val="4"/>
        </w:rPr>
        <w:t xml:space="preserve">, </w:t>
      </w:r>
      <w:hyperlink r:id="rId45" w:history="1">
        <w:r w:rsidRPr="00293F4B">
          <w:rPr>
            <w:rStyle w:val="Hyperlink"/>
            <w:rFonts w:asciiTheme="minorHAnsi" w:hAnsiTheme="minorHAnsi" w:cstheme="minorHAnsi"/>
            <w:spacing w:val="4"/>
          </w:rPr>
          <w:t>mai 2016</w:t>
        </w:r>
      </w:hyperlink>
      <w:r w:rsidRPr="00293F4B">
        <w:rPr>
          <w:rFonts w:asciiTheme="minorHAnsi" w:hAnsiTheme="minorHAnsi" w:cstheme="minorHAnsi"/>
          <w:spacing w:val="4"/>
        </w:rPr>
        <w:t xml:space="preserve"> et </w:t>
      </w:r>
      <w:hyperlink r:id="rId46" w:history="1">
        <w:r w:rsidRPr="00293F4B">
          <w:rPr>
            <w:rStyle w:val="Hyperlink"/>
            <w:rFonts w:asciiTheme="minorHAnsi" w:hAnsiTheme="minorHAnsi" w:cstheme="minorHAnsi"/>
            <w:spacing w:val="4"/>
          </w:rPr>
          <w:t>novembre 2016</w:t>
        </w:r>
      </w:hyperlink>
      <w:r w:rsidRPr="00293F4B">
        <w:rPr>
          <w:rFonts w:asciiTheme="minorHAnsi" w:hAnsiTheme="minorHAnsi" w:cstheme="minorHAnsi"/>
          <w:spacing w:val="4"/>
        </w:rPr>
        <w:t>,</w:t>
      </w:r>
      <w:r w:rsidRPr="00293F4B">
        <w:t xml:space="preserve"> </w:t>
      </w:r>
      <w:r w:rsidRPr="00293F4B">
        <w:rPr>
          <w:rFonts w:asciiTheme="minorHAnsi" w:hAnsiTheme="minorHAnsi" w:cstheme="minorHAnsi"/>
          <w:spacing w:val="4"/>
        </w:rPr>
        <w:t xml:space="preserve">l'UIT organisera le 10 mars 2017 une table ronde </w:t>
      </w:r>
      <w:r w:rsidRPr="00293F4B">
        <w:rPr>
          <w:rFonts w:asciiTheme="minorHAnsi" w:hAnsiTheme="minorHAnsi" w:cstheme="minorHAnsi"/>
        </w:rPr>
        <w:t>(</w:t>
      </w:r>
      <w:hyperlink r:id="rId47" w:history="1">
        <w:r w:rsidRPr="00293F4B">
          <w:rPr>
            <w:rStyle w:val="Hyperlink"/>
            <w:rFonts w:asciiTheme="minorHAnsi" w:hAnsiTheme="minorHAnsi" w:cstheme="minorHAnsi"/>
          </w:rPr>
          <w:t>page</w:t>
        </w:r>
        <w:r w:rsidRPr="00293F4B">
          <w:rPr>
            <w:rStyle w:val="Hyperlink"/>
          </w:rPr>
          <w:t xml:space="preserve"> web</w:t>
        </w:r>
      </w:hyperlink>
      <w:r w:rsidRPr="00293F4B">
        <w:rPr>
          <w:rFonts w:asciiTheme="minorHAnsi" w:hAnsiTheme="minorHAnsi" w:cstheme="minorHAnsi"/>
        </w:rPr>
        <w:t>) au cours de laquelle des méthodes possibles seront examinées pour traiter ces questions, notamment la possibilité de créer un logo spécial qui pourra apparaître sur l'écran d'un terminal</w:t>
      </w:r>
      <w:r w:rsidRPr="00293F4B">
        <w:t xml:space="preserve"> mains libres</w:t>
      </w:r>
      <w:r w:rsidRPr="00293F4B">
        <w:rPr>
          <w:rFonts w:asciiTheme="minorHAnsi" w:hAnsiTheme="minorHAnsi" w:cstheme="minorHAnsi"/>
        </w:rPr>
        <w:t xml:space="preserve"> </w:t>
      </w:r>
      <w:r w:rsidRPr="00293F4B">
        <w:t xml:space="preserve">à bord d'un véhicule lors de la connexion d'un téléphone </w:t>
      </w:r>
      <w:r w:rsidR="00016D4F" w:rsidRPr="00293F4B">
        <w:t>figurant sur la "</w:t>
      </w:r>
      <w:r w:rsidRPr="00293F4B">
        <w:t>liste blanche</w:t>
      </w:r>
      <w:r w:rsidR="00016D4F" w:rsidRPr="00293F4B">
        <w:t>"</w:t>
      </w:r>
      <w:r w:rsidRPr="00293F4B">
        <w:t>.</w:t>
      </w:r>
      <w:bookmarkEnd w:id="54"/>
      <w:r w:rsidRPr="00293F4B">
        <w:rPr>
          <w:rFonts w:asciiTheme="minorHAnsi" w:hAnsiTheme="minorHAnsi" w:cstheme="minorHAnsi"/>
        </w:rPr>
        <w:t xml:space="preserve"> </w:t>
      </w:r>
    </w:p>
    <w:p w:rsidR="00374429" w:rsidRPr="00293F4B" w:rsidRDefault="00374429" w:rsidP="00016D4F">
      <w:pPr>
        <w:rPr>
          <w:rFonts w:asciiTheme="minorHAnsi" w:hAnsiTheme="minorHAnsi" w:cstheme="minorHAnsi"/>
        </w:rPr>
      </w:pPr>
      <w:bookmarkStart w:id="55" w:name="lt_pId112"/>
      <w:r w:rsidRPr="00293F4B">
        <w:t xml:space="preserve">Les meilleurs systèmes mains libres </w:t>
      </w:r>
      <w:r w:rsidR="00016D4F" w:rsidRPr="00293F4B">
        <w:t>figurent dans la "</w:t>
      </w:r>
      <w:hyperlink r:id="rId48" w:history="1">
        <w:r w:rsidRPr="00BD6514">
          <w:rPr>
            <w:rStyle w:val="Hyperlink"/>
          </w:rPr>
          <w:t>liste bl</w:t>
        </w:r>
        <w:r w:rsidRPr="00BD6514">
          <w:rPr>
            <w:rStyle w:val="Hyperlink"/>
          </w:rPr>
          <w:t>a</w:t>
        </w:r>
        <w:r w:rsidRPr="00BD6514">
          <w:rPr>
            <w:rStyle w:val="Hyperlink"/>
          </w:rPr>
          <w:t>nche</w:t>
        </w:r>
        <w:bookmarkEnd w:id="55"/>
      </w:hyperlink>
      <w:r w:rsidR="00016D4F" w:rsidRPr="00293F4B">
        <w:t>".</w:t>
      </w:r>
    </w:p>
    <w:p w:rsidR="00374429" w:rsidRPr="00293F4B" w:rsidRDefault="00374429" w:rsidP="00016D4F">
      <w:pPr>
        <w:pStyle w:val="Heading2"/>
        <w:rPr>
          <w:i/>
          <w:iCs/>
          <w:color w:val="800000"/>
          <w:sz w:val="22"/>
        </w:rPr>
      </w:pPr>
      <w:r w:rsidRPr="00293F4B">
        <w:rPr>
          <w:i/>
          <w:iCs/>
        </w:rPr>
        <w:t>2.3</w:t>
      </w:r>
      <w:r w:rsidRPr="00293F4B">
        <w:rPr>
          <w:i/>
          <w:iCs/>
        </w:rPr>
        <w:tab/>
      </w:r>
      <w:bookmarkStart w:id="56" w:name="lt_pId114"/>
      <w:r w:rsidRPr="00293F4B">
        <w:rPr>
          <w:i/>
          <w:iCs/>
        </w:rPr>
        <w:t xml:space="preserve">Pilier 3 – renforcement des </w:t>
      </w:r>
      <w:bookmarkEnd w:id="56"/>
      <w:r w:rsidR="00016D4F" w:rsidRPr="00293F4B">
        <w:rPr>
          <w:i/>
          <w:iCs/>
        </w:rPr>
        <w:t>capacités</w:t>
      </w:r>
      <w:r w:rsidRPr="00293F4B">
        <w:rPr>
          <w:i/>
          <w:iCs/>
        </w:rPr>
        <w:t xml:space="preserve"> </w:t>
      </w:r>
    </w:p>
    <w:p w:rsidR="00374429" w:rsidRPr="00293F4B" w:rsidRDefault="00016D4F" w:rsidP="00374429">
      <w:pPr>
        <w:pStyle w:val="NormalWeb"/>
        <w:adjustRightInd w:val="0"/>
        <w:snapToGrid w:val="0"/>
        <w:spacing w:before="120" w:beforeAutospacing="0" w:after="120" w:afterAutospacing="0"/>
        <w:jc w:val="both"/>
        <w:rPr>
          <w:rFonts w:asciiTheme="minorHAnsi" w:hAnsiTheme="minorHAnsi" w:cstheme="minorHAnsi"/>
          <w:lang w:val="fr-FR"/>
        </w:rPr>
      </w:pPr>
      <w:bookmarkStart w:id="57" w:name="lt_pId115"/>
      <w:r w:rsidRPr="00293F4B">
        <w:rPr>
          <w:rFonts w:asciiTheme="minorHAnsi" w:hAnsiTheme="minorHAnsi" w:cstheme="minorHAnsi"/>
          <w:lang w:val="fr-FR"/>
        </w:rPr>
        <w:t>a)</w:t>
      </w:r>
      <w:r w:rsidRPr="00293F4B">
        <w:rPr>
          <w:rFonts w:asciiTheme="minorHAnsi" w:hAnsiTheme="minorHAnsi" w:cstheme="minorHAnsi"/>
          <w:lang w:val="fr-FR"/>
        </w:rPr>
        <w:tab/>
      </w:r>
      <w:r w:rsidR="00374429" w:rsidRPr="00293F4B">
        <w:rPr>
          <w:rFonts w:asciiTheme="minorHAnsi" w:hAnsiTheme="minorHAnsi" w:cstheme="minorHAnsi"/>
          <w:lang w:val="fr-FR"/>
        </w:rPr>
        <w:t xml:space="preserve">L'UIT organise des activités de </w:t>
      </w:r>
      <w:hyperlink r:id="rId49" w:history="1">
        <w:r w:rsidR="00374429" w:rsidRPr="00BD6514">
          <w:rPr>
            <w:rStyle w:val="Hyperlink"/>
            <w:rFonts w:asciiTheme="minorHAnsi" w:hAnsiTheme="minorHAnsi" w:cstheme="minorHAnsi"/>
            <w:lang w:val="fr-FR"/>
          </w:rPr>
          <w:t>renforcement de</w:t>
        </w:r>
        <w:r w:rsidR="00374429" w:rsidRPr="00BD6514">
          <w:rPr>
            <w:rStyle w:val="Hyperlink"/>
            <w:rFonts w:asciiTheme="minorHAnsi" w:hAnsiTheme="minorHAnsi" w:cstheme="minorHAnsi"/>
            <w:lang w:val="fr-FR"/>
          </w:rPr>
          <w:t>s</w:t>
        </w:r>
        <w:r w:rsidR="00374429" w:rsidRPr="00BD6514">
          <w:rPr>
            <w:rStyle w:val="Hyperlink"/>
            <w:rFonts w:asciiTheme="minorHAnsi" w:hAnsiTheme="minorHAnsi" w:cstheme="minorHAnsi"/>
            <w:lang w:val="fr-FR"/>
          </w:rPr>
          <w:t xml:space="preserve"> </w:t>
        </w:r>
        <w:r w:rsidRPr="00BD6514">
          <w:rPr>
            <w:rStyle w:val="Hyperlink"/>
            <w:rFonts w:asciiTheme="minorHAnsi" w:hAnsiTheme="minorHAnsi" w:cstheme="minorHAnsi"/>
            <w:lang w:val="fr-FR"/>
          </w:rPr>
          <w:t>c</w:t>
        </w:r>
        <w:r w:rsidRPr="00BD6514">
          <w:rPr>
            <w:rStyle w:val="Hyperlink"/>
            <w:rFonts w:asciiTheme="minorHAnsi" w:hAnsiTheme="minorHAnsi" w:cstheme="minorHAnsi"/>
            <w:lang w:val="fr-FR"/>
          </w:rPr>
          <w:t>a</w:t>
        </w:r>
        <w:r w:rsidRPr="00BD6514">
          <w:rPr>
            <w:rStyle w:val="Hyperlink"/>
            <w:rFonts w:asciiTheme="minorHAnsi" w:hAnsiTheme="minorHAnsi" w:cstheme="minorHAnsi"/>
            <w:lang w:val="fr-FR"/>
          </w:rPr>
          <w:t>pacités</w:t>
        </w:r>
      </w:hyperlink>
      <w:r w:rsidR="00374429" w:rsidRPr="00293F4B">
        <w:rPr>
          <w:rFonts w:asciiTheme="minorHAnsi" w:hAnsiTheme="minorHAnsi" w:cstheme="minorHAnsi"/>
          <w:lang w:val="fr-FR"/>
        </w:rPr>
        <w:t xml:space="preserve"> des ressources humaines dans les </w:t>
      </w:r>
      <w:r w:rsidRPr="00293F4B">
        <w:rPr>
          <w:rFonts w:asciiTheme="minorHAnsi" w:hAnsiTheme="minorHAnsi" w:cstheme="minorHAnsi"/>
          <w:lang w:val="fr-FR"/>
        </w:rPr>
        <w:t>régions</w:t>
      </w:r>
      <w:r w:rsidR="00374429" w:rsidRPr="00293F4B">
        <w:rPr>
          <w:rFonts w:asciiTheme="minorHAnsi" w:hAnsiTheme="minorHAnsi" w:cstheme="minorHAnsi"/>
          <w:lang w:val="fr-FR"/>
        </w:rPr>
        <w:t xml:space="preserve"> en ce qui concerne la conformité et l'</w:t>
      </w:r>
      <w:bookmarkEnd w:id="57"/>
      <w:r w:rsidRPr="00293F4B">
        <w:rPr>
          <w:rFonts w:asciiTheme="minorHAnsi" w:hAnsiTheme="minorHAnsi" w:cstheme="minorHAnsi"/>
          <w:lang w:val="fr-FR"/>
        </w:rPr>
        <w:t>interopérabilité</w:t>
      </w:r>
      <w:r w:rsidR="00374429" w:rsidRPr="00293F4B">
        <w:rPr>
          <w:rFonts w:asciiTheme="minorHAnsi" w:hAnsiTheme="minorHAnsi" w:cstheme="minorHAnsi"/>
          <w:lang w:val="fr-FR"/>
        </w:rPr>
        <w:t xml:space="preserve"> (C&amp;I)</w:t>
      </w:r>
      <w:bookmarkStart w:id="58" w:name="lt_pId116"/>
      <w:r w:rsidR="00374429" w:rsidRPr="00293F4B">
        <w:rPr>
          <w:rFonts w:asciiTheme="minorHAnsi" w:hAnsiTheme="minorHAnsi" w:cstheme="minorHAnsi"/>
          <w:lang w:val="fr-FR"/>
        </w:rPr>
        <w:t>. Les cours de formation sont organisés en collaboration avec les organisations régionales et internationales concernées, afin de préciser des éléments fondamentaux tels que l'accréditation, la certification et les accords de reconnaissance mutuelle, et d'étudier la possibilité d'instaurer une collaboration et de partager des infrastructures C&amp;I (processus d'homologation, rapports de test, etc.).</w:t>
      </w:r>
      <w:bookmarkEnd w:id="58"/>
    </w:p>
    <w:p w:rsidR="00374429" w:rsidRPr="00293F4B" w:rsidRDefault="00374429" w:rsidP="001821B6">
      <w:pPr>
        <w:rPr>
          <w:rFonts w:cstheme="minorHAnsi"/>
        </w:rPr>
      </w:pPr>
      <w:bookmarkStart w:id="59" w:name="lt_pId117"/>
      <w:r w:rsidRPr="00293F4B">
        <w:t>En 2016, des cours de formation sur la conformité et l'interopérabilité ont été organ</w:t>
      </w:r>
      <w:r w:rsidR="00016D4F" w:rsidRPr="00293F4B">
        <w:t>isés dans les régions suivantes</w:t>
      </w:r>
      <w:r w:rsidRPr="00293F4B">
        <w:t>: 1) région des Etats arabes, (Tunis (Tunisie), avril 2016), 2) région Amériques, (Campinas (Brésil), juin 2016), 3) région Afrique, (Tunis (Tunisie), mai 2016); 4) région de la CEI, (Moscou (Fédération de Russie), mars 2016) et 5) région Asie-pacifique,</w:t>
      </w:r>
      <w:bookmarkEnd w:id="59"/>
      <w:r w:rsidRPr="00293F4B">
        <w:t xml:space="preserve"> </w:t>
      </w:r>
      <w:bookmarkStart w:id="60" w:name="lt_pId122"/>
      <w:r w:rsidRPr="00293F4B">
        <w:rPr>
          <w:rFonts w:cstheme="minorHAnsi"/>
        </w:rPr>
        <w:t xml:space="preserve">(Chongqing, </w:t>
      </w:r>
      <w:r w:rsidR="00BD6514">
        <w:rPr>
          <w:rFonts w:cstheme="minorHAnsi"/>
        </w:rPr>
        <w:t>(</w:t>
      </w:r>
      <w:r w:rsidRPr="00293F4B">
        <w:rPr>
          <w:rFonts w:cstheme="minorHAnsi"/>
        </w:rPr>
        <w:t>Chine</w:t>
      </w:r>
      <w:r w:rsidR="00BD6514">
        <w:rPr>
          <w:rFonts w:cstheme="minorHAnsi"/>
        </w:rPr>
        <w:t>)</w:t>
      </w:r>
      <w:r w:rsidRPr="00293F4B">
        <w:rPr>
          <w:rFonts w:cstheme="minorHAnsi"/>
        </w:rPr>
        <w:t>, octobre 2016).</w:t>
      </w:r>
      <w:bookmarkEnd w:id="60"/>
      <w:r w:rsidR="00016D4F" w:rsidRPr="00293F4B">
        <w:t xml:space="preserve"> </w:t>
      </w:r>
      <w:r w:rsidRPr="00293F4B">
        <w:t>Un cours de formation individualisé sur les tests de conformité a été organisé pour le</w:t>
      </w:r>
      <w:r w:rsidRPr="00293F4B">
        <w:rPr>
          <w:rFonts w:cstheme="minorHAnsi"/>
        </w:rPr>
        <w:t xml:space="preserve"> </w:t>
      </w:r>
      <w:bookmarkStart w:id="61" w:name="lt_pId123"/>
      <w:r w:rsidRPr="00293F4B">
        <w:rPr>
          <w:rFonts w:cstheme="minorHAnsi"/>
        </w:rPr>
        <w:t xml:space="preserve">Ghana (Turin, </w:t>
      </w:r>
      <w:r w:rsidR="00BD6514">
        <w:rPr>
          <w:rFonts w:cstheme="minorHAnsi"/>
        </w:rPr>
        <w:t>(</w:t>
      </w:r>
      <w:r w:rsidRPr="00293F4B">
        <w:rPr>
          <w:rFonts w:cstheme="minorHAnsi"/>
        </w:rPr>
        <w:t>Italie</w:t>
      </w:r>
      <w:r w:rsidR="00BD6514">
        <w:rPr>
          <w:rFonts w:cstheme="minorHAnsi"/>
        </w:rPr>
        <w:t>)</w:t>
      </w:r>
      <w:r w:rsidRPr="00293F4B">
        <w:rPr>
          <w:rFonts w:cstheme="minorHAnsi"/>
        </w:rPr>
        <w:t>, Octobre 2016).</w:t>
      </w:r>
      <w:bookmarkStart w:id="62" w:name="lt_pId124"/>
      <w:bookmarkEnd w:id="61"/>
      <w:r w:rsidR="001821B6" w:rsidRPr="00293F4B">
        <w:rPr>
          <w:rFonts w:cstheme="minorHAnsi"/>
        </w:rPr>
        <w:t xml:space="preserve"> </w:t>
      </w:r>
      <w:r w:rsidRPr="00293F4B">
        <w:rPr>
          <w:rFonts w:cstheme="minorHAnsi"/>
        </w:rPr>
        <w:t>Ces formations portaient sur les équipements de test, l'étalonnage et le montage des tests. Des informations sur les thèmes suivants ont ét</w:t>
      </w:r>
      <w:r w:rsidR="00016D4F" w:rsidRPr="00293F4B">
        <w:rPr>
          <w:rFonts w:cstheme="minorHAnsi"/>
        </w:rPr>
        <w:t>é communiquées aux participants</w:t>
      </w:r>
      <w:r w:rsidRPr="00293F4B">
        <w:rPr>
          <w:rFonts w:cstheme="minorHAnsi"/>
        </w:rPr>
        <w:t xml:space="preserve">: nouvelles approches et nouvelles directives, surveillance du marché et bonnes pratiques </w:t>
      </w:r>
      <w:r w:rsidR="00293F4B" w:rsidRPr="00293F4B">
        <w:rPr>
          <w:rFonts w:cstheme="minorHAnsi"/>
        </w:rPr>
        <w:t>à</w:t>
      </w:r>
      <w:r w:rsidRPr="00293F4B">
        <w:rPr>
          <w:rFonts w:cstheme="minorHAnsi"/>
        </w:rPr>
        <w:t xml:space="preserve"> suivre pour évaluer le marché</w:t>
      </w:r>
      <w:bookmarkEnd w:id="62"/>
      <w:r w:rsidRPr="00293F4B">
        <w:rPr>
          <w:rFonts w:cstheme="minorHAnsi"/>
        </w:rPr>
        <w:t xml:space="preserve">; </w:t>
      </w:r>
      <w:bookmarkStart w:id="63" w:name="lt_pId128"/>
      <w:r w:rsidRPr="00293F4B">
        <w:rPr>
          <w:rFonts w:cstheme="minorHAnsi"/>
        </w:rPr>
        <w:t>réseaux mobiles 3G et 4G et notions de base concernant la compatibilité électromagnétique;</w:t>
      </w:r>
      <w:bookmarkEnd w:id="63"/>
      <w:r w:rsidRPr="00293F4B">
        <w:rPr>
          <w:rFonts w:cstheme="minorHAnsi"/>
        </w:rPr>
        <w:t xml:space="preserve"> </w:t>
      </w:r>
      <w:bookmarkStart w:id="64" w:name="lt_pId129"/>
      <w:r w:rsidRPr="00293F4B">
        <w:rPr>
          <w:rFonts w:cstheme="minorHAnsi"/>
        </w:rPr>
        <w:t xml:space="preserve">normes internationales applicables à l'homologation des équipements </w:t>
      </w:r>
      <w:r w:rsidRPr="00293F4B">
        <w:rPr>
          <w:rFonts w:cstheme="minorHAnsi"/>
          <w:iCs/>
        </w:rPr>
        <w:t>TIC;</w:t>
      </w:r>
      <w:bookmarkEnd w:id="64"/>
      <w:r w:rsidRPr="00293F4B">
        <w:rPr>
          <w:rFonts w:cstheme="minorHAnsi"/>
        </w:rPr>
        <w:t xml:space="preserve"> </w:t>
      </w:r>
      <w:bookmarkStart w:id="65" w:name="lt_pId130"/>
      <w:r w:rsidRPr="00293F4B">
        <w:rPr>
          <w:rFonts w:cstheme="minorHAnsi"/>
        </w:rPr>
        <w:t>mesures pratiques effectuées en laboratoire, rapports par pays</w:t>
      </w:r>
      <w:bookmarkEnd w:id="65"/>
      <w:r w:rsidRPr="00293F4B">
        <w:rPr>
          <w:rFonts w:cstheme="minorHAnsi"/>
        </w:rPr>
        <w:t xml:space="preserve"> </w:t>
      </w:r>
      <w:bookmarkStart w:id="66" w:name="lt_pId131"/>
      <w:r w:rsidRPr="00293F4B">
        <w:rPr>
          <w:rFonts w:cstheme="minorHAnsi"/>
        </w:rPr>
        <w:t>et programmes C&amp;I en place</w:t>
      </w:r>
      <w:bookmarkEnd w:id="66"/>
      <w:r w:rsidR="00016D4F" w:rsidRPr="00293F4B">
        <w:rPr>
          <w:rFonts w:cstheme="minorHAnsi"/>
        </w:rPr>
        <w:t>.</w:t>
      </w:r>
    </w:p>
    <w:p w:rsidR="00374429" w:rsidRPr="00293F4B" w:rsidRDefault="00374429" w:rsidP="001821B6">
      <w:bookmarkStart w:id="67" w:name="lt_pId132"/>
      <w:r w:rsidRPr="00293F4B">
        <w:t xml:space="preserve">Les </w:t>
      </w:r>
      <w:r w:rsidR="001821B6" w:rsidRPr="00293F4B">
        <w:t>réunions</w:t>
      </w:r>
      <w:r w:rsidRPr="00293F4B">
        <w:t xml:space="preserve"> de formation sur la conformité et l'interopérabilité qu'il est prévu d'organiser en 2017 seront consacrées à de nouveaux aspects et à des approches financièrement abordables pour assurer la conformité et l'interopérabilité, par exemple le recours à des procédures novatrices pour améliorer les programmes C&amp;I et les services de laboratoire virtuel</w:t>
      </w:r>
      <w:bookmarkEnd w:id="67"/>
      <w:r w:rsidR="001821B6" w:rsidRPr="00293F4B">
        <w:t>.</w:t>
      </w:r>
    </w:p>
    <w:p w:rsidR="00374429" w:rsidRPr="00293F4B" w:rsidRDefault="00374429" w:rsidP="001821B6">
      <w:pPr>
        <w:rPr>
          <w:spacing w:val="-2"/>
        </w:rPr>
      </w:pPr>
      <w:r w:rsidRPr="00293F4B">
        <w:t xml:space="preserve">Conformément à la Résolution 177 (Rév. Busan, 2014) de la Conférence de plénipotentiaires, le secrétariat de l'UIT élabore actuellement un programme de formation C&amp;I </w:t>
      </w:r>
      <w:r w:rsidRPr="00293F4B">
        <w:rPr>
          <w:spacing w:val="-2"/>
        </w:rPr>
        <w:t xml:space="preserve">(CITP) </w:t>
      </w:r>
      <w:r w:rsidRPr="00293F4B">
        <w:t xml:space="preserve">en s'appuyant sur l'environnement de </w:t>
      </w:r>
      <w:hyperlink r:id="rId50" w:history="1">
        <w:r w:rsidRPr="00293F4B">
          <w:rPr>
            <w:rStyle w:val="Hyperlink"/>
            <w:rFonts w:asciiTheme="minorHAnsi" w:hAnsiTheme="minorHAnsi"/>
          </w:rPr>
          <w:t>l'Académie de l'UIT</w:t>
        </w:r>
      </w:hyperlink>
      <w:r w:rsidRPr="00293F4B">
        <w:t xml:space="preserve"> ainsi que sur les formations et lignes directrices existantes en matière de C&amp;I. Le programme CITP</w:t>
      </w:r>
      <w:r w:rsidRPr="00293F4B">
        <w:rPr>
          <w:spacing w:val="-2"/>
        </w:rPr>
        <w:t xml:space="preserve"> </w:t>
      </w:r>
      <w:r w:rsidRPr="00293F4B">
        <w:t xml:space="preserve">est conforme au cadre </w:t>
      </w:r>
      <w:bookmarkStart w:id="68" w:name="lt_pId134"/>
      <w:r w:rsidRPr="00293F4B">
        <w:rPr>
          <w:spacing w:val="-2"/>
        </w:rPr>
        <w:t>des programmes de formation organisés antérieurement avec succès par l'UIT, par exemple les cours de formation régionaux sur les programmes et les domaines de tests C&amp;I</w:t>
      </w:r>
      <w:bookmarkStart w:id="69" w:name="lt_pId135"/>
      <w:bookmarkEnd w:id="68"/>
      <w:r w:rsidRPr="00293F4B">
        <w:rPr>
          <w:spacing w:val="-2"/>
        </w:rPr>
        <w:t>. Le matériel didactique est fondé sur les publications de l'UIT relatives à la</w:t>
      </w:r>
      <w:r w:rsidRPr="00293F4B">
        <w:t xml:space="preserve"> conformité et l'interopérabilité, par exemple les lignes directrices et les </w:t>
      </w:r>
      <w:r w:rsidRPr="00293F4B">
        <w:rPr>
          <w:spacing w:val="-2"/>
        </w:rPr>
        <w:t xml:space="preserve">Recommandations ainsi que le matériel didactique utilisé à l'occasion d'ateliers précédents. Enfin, le programme CITP est conforme aux mécanismes d'assurance qualité de </w:t>
      </w:r>
      <w:r w:rsidRPr="00293F4B">
        <w:t>l'Académie de l'UIT</w:t>
      </w:r>
      <w:bookmarkEnd w:id="69"/>
      <w:r w:rsidR="001821B6" w:rsidRPr="00293F4B">
        <w:t>.</w:t>
      </w:r>
    </w:p>
    <w:p w:rsidR="00374429" w:rsidRPr="00293F4B" w:rsidRDefault="00374429" w:rsidP="001821B6">
      <w:pPr>
        <w:pStyle w:val="Heading2"/>
        <w:rPr>
          <w:rFonts w:cstheme="minorHAnsi"/>
          <w:bCs/>
          <w:i/>
          <w:iCs/>
          <w:color w:val="800000"/>
          <w:sz w:val="22"/>
        </w:rPr>
      </w:pPr>
      <w:r w:rsidRPr="00293F4B">
        <w:rPr>
          <w:rFonts w:asciiTheme="minorHAnsi" w:hAnsiTheme="minorHAnsi" w:cstheme="minorHAnsi"/>
          <w:bCs/>
          <w:i/>
          <w:iCs/>
        </w:rPr>
        <w:lastRenderedPageBreak/>
        <w:t>2.4</w:t>
      </w:r>
      <w:r w:rsidRPr="00293F4B">
        <w:rPr>
          <w:rFonts w:asciiTheme="minorHAnsi" w:hAnsiTheme="minorHAnsi" w:cstheme="minorHAnsi"/>
          <w:bCs/>
          <w:i/>
          <w:iCs/>
        </w:rPr>
        <w:tab/>
      </w:r>
      <w:bookmarkStart w:id="70" w:name="lt_pId138"/>
      <w:r w:rsidRPr="00293F4B">
        <w:rPr>
          <w:rFonts w:asciiTheme="minorHAnsi" w:hAnsiTheme="minorHAnsi" w:cstheme="minorHAnsi"/>
          <w:bCs/>
          <w:i/>
          <w:iCs/>
          <w:spacing w:val="2"/>
        </w:rPr>
        <w:t>Pilier 4 – Assistance en vue de l'</w:t>
      </w:r>
      <w:r w:rsidRPr="00293F4B">
        <w:rPr>
          <w:i/>
          <w:iCs/>
        </w:rPr>
        <w:t>établissement de centres de test et de programmes C&amp;I dans les pays en développement</w:t>
      </w:r>
      <w:bookmarkEnd w:id="70"/>
      <w:r w:rsidRPr="00293F4B">
        <w:rPr>
          <w:rFonts w:asciiTheme="minorHAnsi" w:hAnsiTheme="minorHAnsi" w:cstheme="minorHAnsi"/>
          <w:bCs/>
          <w:i/>
          <w:iCs/>
          <w:spacing w:val="2"/>
        </w:rPr>
        <w:t xml:space="preserve"> </w:t>
      </w:r>
    </w:p>
    <w:p w:rsidR="00374429" w:rsidRPr="00293F4B" w:rsidRDefault="00374429" w:rsidP="001821B6">
      <w:bookmarkStart w:id="71" w:name="lt_pId139"/>
      <w:r w:rsidRPr="00293F4B">
        <w:rPr>
          <w:rFonts w:cstheme="minorHAnsi"/>
          <w:i/>
          <w:iCs/>
        </w:rPr>
        <w:t>a)</w:t>
      </w:r>
      <w:bookmarkEnd w:id="71"/>
      <w:r w:rsidRPr="00293F4B">
        <w:rPr>
          <w:rFonts w:cstheme="minorHAnsi"/>
          <w:i/>
          <w:iCs/>
        </w:rPr>
        <w:tab/>
      </w:r>
      <w:bookmarkStart w:id="72" w:name="lt_pId140"/>
      <w:r w:rsidRPr="00293F4B">
        <w:t>Afin de tenir compte de programmes particuliers nationaux ou régionaux relatifs à la mise en oeuvre et à l'examen des procédures d'homologation des produits TIC, l'UIT a fourni une assistance à des pays en développement</w:t>
      </w:r>
      <w:bookmarkEnd w:id="72"/>
      <w:r w:rsidR="001821B6" w:rsidRPr="00293F4B">
        <w:t>.</w:t>
      </w:r>
    </w:p>
    <w:p w:rsidR="00374429" w:rsidRPr="00293F4B" w:rsidRDefault="00374429" w:rsidP="001821B6">
      <w:pPr>
        <w:rPr>
          <w:rStyle w:val="Emphasis"/>
          <w:rFonts w:asciiTheme="minorHAnsi" w:hAnsiTheme="minorHAnsi"/>
        </w:rPr>
      </w:pPr>
      <w:r w:rsidRPr="00293F4B">
        <w:t xml:space="preserve">En 2016, les </w:t>
      </w:r>
      <w:hyperlink r:id="rId51" w:history="1">
        <w:r w:rsidRPr="00293F4B">
          <w:rPr>
            <w:rStyle w:val="Hyperlink"/>
          </w:rPr>
          <w:t>études d'évaluation C&amp;I</w:t>
        </w:r>
      </w:hyperlink>
      <w:r w:rsidRPr="00293F4B">
        <w:t xml:space="preserve"> destinées à promouvoir la mise en place d'un programme C&amp;I commun, par le biais de l'élaboration d'accords de reconnaissance mutuelle </w:t>
      </w:r>
      <w:r w:rsidRPr="00293F4B">
        <w:rPr>
          <w:rFonts w:eastAsia="Malgun Gothic"/>
          <w:lang w:eastAsia="ko-KR"/>
        </w:rPr>
        <w:t>(</w:t>
      </w:r>
      <w:r w:rsidR="00293F4B" w:rsidRPr="00293F4B">
        <w:rPr>
          <w:rFonts w:eastAsia="Malgun Gothic"/>
          <w:lang w:eastAsia="ko-KR"/>
        </w:rPr>
        <w:t>MRA)</w:t>
      </w:r>
      <w:r w:rsidRPr="00293F4B">
        <w:rPr>
          <w:rFonts w:eastAsia="Malgun Gothic"/>
          <w:lang w:eastAsia="ko-KR"/>
        </w:rPr>
        <w:t xml:space="preserve"> </w:t>
      </w:r>
      <w:r w:rsidRPr="00293F4B">
        <w:t xml:space="preserve">ou la construction de laboratoires, ont bénéficié d'un suivi pour la région du </w:t>
      </w:r>
      <w:r w:rsidRPr="00293F4B">
        <w:rPr>
          <w:rFonts w:eastAsia="SimSun" w:cs="Calibri"/>
        </w:rPr>
        <w:t>Maghreb</w:t>
      </w:r>
      <w:r w:rsidRPr="00293F4B">
        <w:t xml:space="preserve"> (5 pays) et pour la COMTELCA (7pays). </w:t>
      </w:r>
      <w:r w:rsidRPr="00293F4B">
        <w:rPr>
          <w:b/>
          <w:bCs/>
        </w:rPr>
        <w:t>Les conclusions et les recommandations issues de ces études d'évaluation C&amp;I</w:t>
      </w:r>
      <w:r w:rsidRPr="00293F4B">
        <w:rPr>
          <w:rFonts w:eastAsia="SimSun" w:cs="Calibri"/>
          <w:b/>
          <w:bCs/>
        </w:rPr>
        <w:t xml:space="preserve"> </w:t>
      </w:r>
      <w:bookmarkStart w:id="73" w:name="lt_pId142"/>
      <w:r w:rsidRPr="00293F4B">
        <w:rPr>
          <w:rStyle w:val="Emphasis"/>
          <w:rFonts w:asciiTheme="minorHAnsi" w:hAnsiTheme="minorHAnsi"/>
        </w:rPr>
        <w:t>menées par</w:t>
      </w:r>
      <w:r w:rsidRPr="00293F4B">
        <w:rPr>
          <w:b/>
          <w:bCs/>
        </w:rPr>
        <w:t xml:space="preserve"> l'UIT peuvent être téléchargées</w:t>
      </w:r>
      <w:bookmarkEnd w:id="73"/>
      <w:r w:rsidR="001821B6" w:rsidRPr="00293F4B">
        <w:rPr>
          <w:b/>
          <w:bCs/>
        </w:rPr>
        <w:t>.</w:t>
      </w:r>
    </w:p>
    <w:p w:rsidR="00374429" w:rsidRPr="00293F4B" w:rsidRDefault="00374429" w:rsidP="001821B6">
      <w:pPr>
        <w:rPr>
          <w:rFonts w:eastAsia="SimSun" w:cs="Calibri"/>
          <w:szCs w:val="24"/>
          <w:lang w:eastAsia="zh-CN"/>
        </w:rPr>
      </w:pPr>
      <w:r w:rsidRPr="00293F4B">
        <w:rPr>
          <w:spacing w:val="-3"/>
        </w:rPr>
        <w:t xml:space="preserve">Des études d'évaluation analogues portant sur la réglementation, les institutions, les laboratoires et les procédures d'homologation des produits TIC seront menées </w:t>
      </w:r>
      <w:r w:rsidRPr="00293F4B">
        <w:rPr>
          <w:color w:val="000000"/>
          <w:spacing w:val="-3"/>
        </w:rPr>
        <w:t xml:space="preserve">en 2017 </w:t>
      </w:r>
      <w:r w:rsidRPr="00293F4B">
        <w:rPr>
          <w:spacing w:val="-3"/>
        </w:rPr>
        <w:t>pour la Communauté économique des Etats d'Afrique centrale (CEEAC) et la région Amérique du sud.</w:t>
      </w:r>
    </w:p>
    <w:p w:rsidR="00374429" w:rsidRPr="00293F4B" w:rsidRDefault="00374429" w:rsidP="001821B6">
      <w:pPr>
        <w:rPr>
          <w:rFonts w:eastAsia="SimSun" w:cs="Calibri"/>
        </w:rPr>
      </w:pPr>
      <w:bookmarkStart w:id="74" w:name="lt_pId144"/>
      <w:r w:rsidRPr="00293F4B">
        <w:rPr>
          <w:rFonts w:eastAsia="SimSun" w:cs="Calibri"/>
        </w:rPr>
        <w:t>A la suite d'activités</w:t>
      </w:r>
      <w:r w:rsidRPr="00293F4B">
        <w:rPr>
          <w:rFonts w:cstheme="minorHAnsi"/>
          <w:spacing w:val="-2"/>
        </w:rPr>
        <w:t xml:space="preserve"> liées à la</w:t>
      </w:r>
      <w:r w:rsidRPr="00293F4B">
        <w:rPr>
          <w:rFonts w:cstheme="minorHAnsi"/>
        </w:rPr>
        <w:t xml:space="preserve"> conformité </w:t>
      </w:r>
      <w:r w:rsidRPr="00293F4B">
        <w:t xml:space="preserve">et l'interopérabilité menées en Amérique centrale, un projet pilote innovant portant sur l'étude des services de laboratoire virtuel, ainsi que le texte pilote correspondant, ont été </w:t>
      </w:r>
      <w:r w:rsidR="001821B6" w:rsidRPr="00293F4B">
        <w:t>présentés</w:t>
      </w:r>
      <w:r w:rsidRPr="00293F4B">
        <w:t xml:space="preserve"> à l'occasion du deuxième </w:t>
      </w:r>
      <w:hyperlink r:id="rId52" w:history="1">
        <w:r w:rsidRPr="00293F4B">
          <w:rPr>
            <w:rStyle w:val="Hyperlink"/>
          </w:rPr>
          <w:t>atelier</w:t>
        </w:r>
      </w:hyperlink>
      <w:r w:rsidRPr="00293F4B">
        <w:rPr>
          <w:rFonts w:cstheme="minorHAnsi"/>
          <w:spacing w:val="-2"/>
        </w:rPr>
        <w:t xml:space="preserve"> sur la</w:t>
      </w:r>
      <w:r w:rsidRPr="00293F4B">
        <w:rPr>
          <w:rFonts w:cstheme="minorHAnsi"/>
        </w:rPr>
        <w:t xml:space="preserve"> conformité </w:t>
      </w:r>
      <w:r w:rsidRPr="00293F4B">
        <w:t>et l'interopérabilité</w:t>
      </w:r>
      <w:r w:rsidRPr="00293F4B">
        <w:rPr>
          <w:rFonts w:eastAsia="SimSun" w:cs="Calibri"/>
        </w:rPr>
        <w:t xml:space="preserve"> a l'intention des pays membres de la COMTELCA, qui a été organisé les 5 et </w:t>
      </w:r>
      <w:r w:rsidR="001821B6" w:rsidRPr="00293F4B">
        <w:rPr>
          <w:rFonts w:eastAsia="SimSun" w:cs="Calibri"/>
        </w:rPr>
        <w:t>6 décembre 2016 à San Salvador(</w:t>
      </w:r>
      <w:r w:rsidRPr="00293F4B">
        <w:rPr>
          <w:rFonts w:eastAsia="SimSun" w:cs="Calibri"/>
        </w:rPr>
        <w:t>El Salvador).</w:t>
      </w:r>
      <w:bookmarkEnd w:id="74"/>
    </w:p>
    <w:bookmarkStart w:id="75" w:name="lt_pId145"/>
    <w:p w:rsidR="00374429" w:rsidRPr="00293F4B" w:rsidRDefault="001821B6" w:rsidP="001821B6">
      <w:pPr>
        <w:rPr>
          <w:rFonts w:eastAsia="SimSun"/>
        </w:rPr>
      </w:pPr>
      <w:r w:rsidRPr="00293F4B">
        <w:fldChar w:fldCharType="begin"/>
      </w:r>
      <w:r w:rsidRPr="00293F4B">
        <w:instrText xml:space="preserve"> HYPERLINK "http://www.itu.int/en/ITU-D/Regional-Presence/ArabStates/Pages/CI-2016.aspx" </w:instrText>
      </w:r>
      <w:r w:rsidRPr="00293F4B">
        <w:fldChar w:fldCharType="separate"/>
      </w:r>
      <w:r w:rsidR="00374429" w:rsidRPr="00293F4B">
        <w:rPr>
          <w:rStyle w:val="Hyperlink"/>
        </w:rPr>
        <w:t xml:space="preserve">Au cours de la réunion d'experts UIT-UMA sur </w:t>
      </w:r>
      <w:r w:rsidR="00374429" w:rsidRPr="00293F4B">
        <w:rPr>
          <w:rStyle w:val="Hyperlink"/>
          <w:rFonts w:cstheme="minorHAnsi"/>
          <w:spacing w:val="-2"/>
        </w:rPr>
        <w:t>la</w:t>
      </w:r>
      <w:r w:rsidR="00374429" w:rsidRPr="00293F4B">
        <w:rPr>
          <w:rStyle w:val="Hyperlink"/>
          <w:rFonts w:cstheme="minorHAnsi"/>
        </w:rPr>
        <w:t xml:space="preserve"> conformité </w:t>
      </w:r>
      <w:r w:rsidR="00374429" w:rsidRPr="00293F4B">
        <w:rPr>
          <w:rStyle w:val="Hyperlink"/>
        </w:rPr>
        <w:t>et l'interopérabilité</w:t>
      </w:r>
      <w:r w:rsidRPr="00293F4B">
        <w:fldChar w:fldCharType="end"/>
      </w:r>
      <w:r w:rsidR="00374429" w:rsidRPr="00293F4B">
        <w:t xml:space="preserve"> pour les pays du Maghreb </w:t>
      </w:r>
      <w:r w:rsidR="00374429" w:rsidRPr="00293F4B">
        <w:rPr>
          <w:rFonts w:eastAsia="SimSun"/>
        </w:rPr>
        <w:t>qui s'est tenue à Rabat (Maroc) les 14 et 15 décembre 2016, les participants ont examiné un projet de document qui sera présenté à la réunion du Conseil des ministres des communications du Maghreb.</w:t>
      </w:r>
      <w:bookmarkStart w:id="76" w:name="lt_pId146"/>
      <w:bookmarkEnd w:id="75"/>
      <w:r w:rsidR="00374429" w:rsidRPr="00293F4B">
        <w:rPr>
          <w:rFonts w:eastAsia="SimSun"/>
        </w:rPr>
        <w:t xml:space="preserve"> Ce projet de document contient une proposition d'accord de reconnaissance mutuelle de l'</w:t>
      </w:r>
      <w:hyperlink r:id="rId53" w:history="1">
        <w:r w:rsidR="00374429" w:rsidRPr="00293F4B">
          <w:rPr>
            <w:rStyle w:val="Hyperlink"/>
            <w:rFonts w:asciiTheme="minorHAnsi" w:eastAsia="SimSun" w:hAnsiTheme="minorHAnsi" w:cs="Calibri"/>
          </w:rPr>
          <w:t xml:space="preserve">UMA concernant l'évaluation de la conformité des équipements de télécommunication </w:t>
        </w:r>
      </w:hyperlink>
      <w:bookmarkStart w:id="77" w:name="lt_pId147"/>
      <w:bookmarkEnd w:id="76"/>
      <w:r w:rsidR="00374429" w:rsidRPr="00293F4B">
        <w:rPr>
          <w:rFonts w:cstheme="minorHAnsi"/>
        </w:rPr>
        <w:t>(UMA:</w:t>
      </w:r>
      <w:bookmarkEnd w:id="77"/>
      <w:r w:rsidR="00374429" w:rsidRPr="00293F4B">
        <w:rPr>
          <w:rFonts w:cstheme="minorHAnsi"/>
        </w:rPr>
        <w:t xml:space="preserve"> Union du Maghreb arabe</w:t>
      </w:r>
      <w:bookmarkStart w:id="78" w:name="lt_pId148"/>
      <w:r w:rsidR="00374429" w:rsidRPr="00293F4B">
        <w:rPr>
          <w:rFonts w:cstheme="minorHAnsi"/>
        </w:rPr>
        <w:t>)</w:t>
      </w:r>
      <w:bookmarkEnd w:id="78"/>
      <w:r w:rsidRPr="00293F4B">
        <w:rPr>
          <w:rFonts w:cstheme="minorHAnsi"/>
        </w:rPr>
        <w:t>.</w:t>
      </w:r>
    </w:p>
    <w:p w:rsidR="00374429" w:rsidRPr="00293F4B" w:rsidRDefault="00374429" w:rsidP="001821B6">
      <w:pPr>
        <w:rPr>
          <w:rFonts w:cstheme="minorHAnsi"/>
        </w:rPr>
      </w:pPr>
      <w:bookmarkStart w:id="79" w:name="lt_pId149"/>
      <w:r w:rsidRPr="00293F4B">
        <w:rPr>
          <w:rFonts w:cstheme="minorHAnsi"/>
          <w:i/>
          <w:iCs/>
        </w:rPr>
        <w:t>b)</w:t>
      </w:r>
      <w:bookmarkEnd w:id="79"/>
      <w:r w:rsidRPr="00293F4B">
        <w:rPr>
          <w:rFonts w:cstheme="minorHAnsi"/>
          <w:i/>
          <w:iCs/>
        </w:rPr>
        <w:tab/>
      </w:r>
      <w:bookmarkStart w:id="80" w:name="lt_pId150"/>
      <w:r w:rsidRPr="00293F4B">
        <w:rPr>
          <w:rFonts w:cstheme="minorHAnsi"/>
        </w:rPr>
        <w:t xml:space="preserve">Un </w:t>
      </w:r>
      <w:hyperlink r:id="rId54" w:history="1">
        <w:r w:rsidRPr="00293F4B">
          <w:rPr>
            <w:rStyle w:val="Hyperlink"/>
            <w:rFonts w:cstheme="minorHAnsi"/>
          </w:rPr>
          <w:t>ensemble complet de lignes directrices relatives à</w:t>
        </w:r>
        <w:r w:rsidRPr="00293F4B">
          <w:rPr>
            <w:rStyle w:val="Hyperlink"/>
            <w:rFonts w:cstheme="minorHAnsi"/>
            <w:spacing w:val="-2"/>
          </w:rPr>
          <w:t xml:space="preserve"> la</w:t>
        </w:r>
        <w:r w:rsidRPr="00293F4B">
          <w:rPr>
            <w:rStyle w:val="Hyperlink"/>
            <w:rFonts w:cstheme="minorHAnsi"/>
          </w:rPr>
          <w:t xml:space="preserve"> conformité </w:t>
        </w:r>
        <w:r w:rsidRPr="00293F4B">
          <w:rPr>
            <w:rStyle w:val="Hyperlink"/>
          </w:rPr>
          <w:t>et à l'interopérabilité</w:t>
        </w:r>
      </w:hyperlink>
      <w:r w:rsidRPr="00293F4B">
        <w:t>, portant sur des sujets aussi divers que les programmes</w:t>
      </w:r>
      <w:bookmarkEnd w:id="80"/>
      <w:r w:rsidRPr="00293F4B">
        <w:rPr>
          <w:rFonts w:cstheme="minorHAnsi"/>
          <w:i/>
          <w:iCs/>
        </w:rPr>
        <w:t xml:space="preserve"> </w:t>
      </w:r>
      <w:bookmarkStart w:id="81" w:name="lt_pId151"/>
      <w:r w:rsidRPr="00293F4B">
        <w:t>C&amp;I, l'élaboration d'accords de reconnaissance mutuelle et les services de laboratoire de</w:t>
      </w:r>
      <w:bookmarkStart w:id="82" w:name="lt_pId153"/>
      <w:bookmarkEnd w:id="81"/>
      <w:r w:rsidRPr="00293F4B">
        <w:t xml:space="preserve"> test, est mis à la disposition des membres de l'UIT</w:t>
      </w:r>
      <w:bookmarkEnd w:id="82"/>
      <w:r w:rsidR="001821B6" w:rsidRPr="00293F4B">
        <w:t>.</w:t>
      </w:r>
    </w:p>
    <w:p w:rsidR="00374429" w:rsidRPr="00293F4B" w:rsidRDefault="00374429" w:rsidP="001821B6">
      <w:bookmarkStart w:id="83" w:name="lt_pId154"/>
      <w:r w:rsidRPr="00293F4B">
        <w:rPr>
          <w:rFonts w:cstheme="minorHAnsi"/>
          <w:i/>
          <w:iCs/>
        </w:rPr>
        <w:t>c)</w:t>
      </w:r>
      <w:bookmarkEnd w:id="83"/>
      <w:r w:rsidRPr="00293F4B">
        <w:rPr>
          <w:rFonts w:cstheme="minorHAnsi"/>
          <w:i/>
          <w:iCs/>
        </w:rPr>
        <w:tab/>
      </w:r>
      <w:bookmarkStart w:id="84" w:name="lt_pId155"/>
      <w:r w:rsidRPr="00293F4B">
        <w:t>La question de l'élaboration d'accords de reconnaissance mutuelle(MRA) visant à promouvoir l'intégration régionale et les programmes communs C&amp;I a été examinée aux niveaux régional et sous</w:t>
      </w:r>
      <w:r w:rsidRPr="00293F4B">
        <w:noBreakHyphen/>
        <w:t>régional, à l'occasion de toutes les manifestations susmentionnées. Le document qui a servi de base a</w:t>
      </w:r>
      <w:r w:rsidR="001821B6" w:rsidRPr="00293F4B">
        <w:t>ux discussions était le suivant</w:t>
      </w:r>
      <w:r w:rsidRPr="00293F4B">
        <w:t>: "</w:t>
      </w:r>
      <w:hyperlink r:id="rId55" w:history="1">
        <w:r w:rsidRPr="00293F4B">
          <w:rPr>
            <w:rStyle w:val="Hyperlink"/>
            <w:rFonts w:asciiTheme="minorHAnsi" w:hAnsiTheme="minorHAnsi"/>
          </w:rPr>
          <w:t>Lignes directrices relatives à l'élaboration</w:t>
        </w:r>
        <w:r w:rsidR="00293F4B" w:rsidRPr="00293F4B">
          <w:rPr>
            <w:rStyle w:val="Hyperlink"/>
            <w:rFonts w:asciiTheme="minorHAnsi" w:hAnsiTheme="minorHAnsi"/>
          </w:rPr>
          <w:t>, à</w:t>
        </w:r>
        <w:r w:rsidRPr="00293F4B">
          <w:rPr>
            <w:rStyle w:val="Hyperlink"/>
            <w:rFonts w:asciiTheme="minorHAnsi" w:hAnsiTheme="minorHAnsi"/>
          </w:rPr>
          <w:t xml:space="preserve"> la mise en oeuvre et à la gestion d'arrangements/accords de reconnaissance mutuelle (MRA) sur l'évaluation de la conformité</w:t>
        </w:r>
      </w:hyperlink>
      <w:r w:rsidRPr="00293F4B">
        <w:t>".</w:t>
      </w:r>
      <w:bookmarkEnd w:id="84"/>
    </w:p>
    <w:p w:rsidR="00374429" w:rsidRPr="00293F4B" w:rsidRDefault="00374429" w:rsidP="001821B6">
      <w:pPr>
        <w:rPr>
          <w:rFonts w:cstheme="minorHAnsi"/>
        </w:rPr>
      </w:pPr>
      <w:bookmarkStart w:id="85" w:name="lt_pId157"/>
      <w:r w:rsidRPr="00293F4B">
        <w:rPr>
          <w:rFonts w:cstheme="minorHAnsi"/>
        </w:rPr>
        <w:t xml:space="preserve">La CE 2 de l'UIT-D chargée d'examiner la </w:t>
      </w:r>
      <w:hyperlink r:id="rId56" w:history="1">
        <w:r w:rsidRPr="00293F4B">
          <w:rPr>
            <w:rStyle w:val="Hyperlink"/>
            <w:rFonts w:asciiTheme="minorHAnsi" w:hAnsiTheme="minorHAnsi" w:cstheme="minorHAnsi"/>
          </w:rPr>
          <w:t>Question 4</w:t>
        </w:r>
      </w:hyperlink>
      <w:r w:rsidRPr="00293F4B">
        <w:rPr>
          <w:rFonts w:cstheme="minorHAnsi"/>
        </w:rPr>
        <w:t>,</w:t>
      </w:r>
      <w:r w:rsidR="001821B6" w:rsidRPr="00293F4B">
        <w:rPr>
          <w:rFonts w:cstheme="minorHAnsi"/>
        </w:rPr>
        <w:t xml:space="preserve"> </w:t>
      </w:r>
      <w:r w:rsidRPr="00293F4B">
        <w:rPr>
          <w:rFonts w:cstheme="minorHAnsi"/>
        </w:rPr>
        <w:t xml:space="preserve">"Assistance aux pays en développement pour la mise en oeuvre de programmes de conformité </w:t>
      </w:r>
      <w:r w:rsidRPr="00293F4B">
        <w:t>et d'interopérabilité</w:t>
      </w:r>
      <w:r w:rsidRPr="00293F4B">
        <w:rPr>
          <w:rFonts w:cstheme="minorHAnsi"/>
        </w:rPr>
        <w:t xml:space="preserve">", créée par la CMDT-14, a tenu sa dernière réunion en avril 2017. Le rapport final est disponible </w:t>
      </w:r>
      <w:hyperlink r:id="rId57" w:history="1">
        <w:r w:rsidRPr="00293F4B">
          <w:rPr>
            <w:rStyle w:val="Hyperlink"/>
            <w:rFonts w:cstheme="minorHAnsi"/>
          </w:rPr>
          <w:t>ici</w:t>
        </w:r>
        <w:bookmarkEnd w:id="85"/>
      </w:hyperlink>
      <w:r w:rsidR="001821B6" w:rsidRPr="00293F4B">
        <w:rPr>
          <w:rFonts w:cstheme="minorHAnsi"/>
        </w:rPr>
        <w:t>.</w:t>
      </w:r>
    </w:p>
    <w:p w:rsidR="00374429" w:rsidRPr="00293F4B" w:rsidRDefault="00374429" w:rsidP="004E068A">
      <w:pPr>
        <w:pStyle w:val="Heading2"/>
        <w:rPr>
          <w:i/>
          <w:iCs/>
        </w:rPr>
      </w:pPr>
      <w:r w:rsidRPr="00293F4B">
        <w:rPr>
          <w:i/>
          <w:iCs/>
        </w:rPr>
        <w:t>2.5</w:t>
      </w:r>
      <w:r w:rsidRPr="00293F4B">
        <w:rPr>
          <w:i/>
          <w:iCs/>
        </w:rPr>
        <w:tab/>
      </w:r>
      <w:bookmarkStart w:id="86" w:name="lt_pId160"/>
      <w:r w:rsidRPr="00293F4B">
        <w:rPr>
          <w:i/>
          <w:iCs/>
        </w:rPr>
        <w:t>Piliers 1 à 4</w:t>
      </w:r>
      <w:bookmarkEnd w:id="86"/>
      <w:r w:rsidRPr="00293F4B">
        <w:rPr>
          <w:i/>
          <w:iCs/>
          <w:color w:val="800000"/>
          <w:sz w:val="22"/>
        </w:rPr>
        <w:t xml:space="preserve"> </w:t>
      </w:r>
    </w:p>
    <w:p w:rsidR="00374429" w:rsidRPr="00293F4B" w:rsidRDefault="00374429" w:rsidP="00BD6514">
      <w:bookmarkStart w:id="87" w:name="lt_pId161"/>
      <w:r w:rsidRPr="00293F4B">
        <w:rPr>
          <w:i/>
          <w:iCs/>
        </w:rPr>
        <w:t>a)</w:t>
      </w:r>
      <w:r w:rsidRPr="00293F4B">
        <w:rPr>
          <w:i/>
          <w:iCs/>
        </w:rPr>
        <w:tab/>
      </w:r>
      <w:r w:rsidRPr="00293F4B">
        <w:t xml:space="preserve">L'UIT a signé des mémorandums d'accord portant sur la </w:t>
      </w:r>
      <w:r w:rsidR="004E068A" w:rsidRPr="00293F4B">
        <w:t>mise en oeuvre du Programme C&amp;I.</w:t>
      </w:r>
    </w:p>
    <w:p w:rsidR="00374429" w:rsidRPr="00293F4B" w:rsidRDefault="00374429" w:rsidP="00BD6514">
      <w:r w:rsidRPr="00293F4B">
        <w:rPr>
          <w:i/>
          <w:iCs/>
        </w:rPr>
        <w:t>b)</w:t>
      </w:r>
      <w:r w:rsidRPr="00293F4B">
        <w:tab/>
        <w:t xml:space="preserve">Le </w:t>
      </w:r>
      <w:r w:rsidR="00330079" w:rsidRPr="00293F4B">
        <w:t>S</w:t>
      </w:r>
      <w:r w:rsidRPr="00293F4B">
        <w:t xml:space="preserve">ecrétariat de l'UIT a fait part des progrès réalisés en ce qui concerne le Programme C&amp;I de l'UIT et a examiné la possibilité d'établir une collaboration avec les organismes internationaux </w:t>
      </w:r>
      <w:r w:rsidRPr="00293F4B">
        <w:lastRenderedPageBreak/>
        <w:t>s'occupant de l'évaluation de la conformité, par exemple la CEI, l'ISO, l'</w:t>
      </w:r>
      <w:r w:rsidRPr="00293F4B">
        <w:rPr>
          <w:rFonts w:cstheme="minorHAnsi"/>
        </w:rPr>
        <w:t>ISO/CASCO, l'ILAC, l'IAF et DCMAS.</w:t>
      </w:r>
    </w:p>
    <w:p w:rsidR="00374429" w:rsidRPr="00293F4B" w:rsidRDefault="00374429" w:rsidP="00374429">
      <w:pPr>
        <w:tabs>
          <w:tab w:val="clear" w:pos="567"/>
          <w:tab w:val="left" w:pos="709"/>
        </w:tabs>
        <w:rPr>
          <w:rFonts w:asciiTheme="minorHAnsi" w:hAnsiTheme="minorHAnsi"/>
        </w:rPr>
      </w:pPr>
      <w:r w:rsidRPr="00293F4B">
        <w:rPr>
          <w:rFonts w:asciiTheme="minorHAnsi" w:hAnsiTheme="minorHAnsi"/>
          <w:i/>
          <w:iCs/>
        </w:rPr>
        <w:t>c)</w:t>
      </w:r>
      <w:r w:rsidRPr="00293F4B">
        <w:rPr>
          <w:rFonts w:asciiTheme="minorHAnsi" w:hAnsiTheme="minorHAnsi"/>
          <w:i/>
          <w:iCs/>
        </w:rPr>
        <w:tab/>
      </w:r>
      <w:r w:rsidRPr="00293F4B">
        <w:rPr>
          <w:rFonts w:asciiTheme="minorHAnsi" w:hAnsiTheme="minorHAnsi"/>
        </w:rPr>
        <w:t xml:space="preserve">Le </w:t>
      </w:r>
      <w:hyperlink r:id="rId58" w:history="1">
        <w:r w:rsidRPr="00293F4B">
          <w:rPr>
            <w:rStyle w:val="Hyperlink"/>
            <w:rFonts w:asciiTheme="minorHAnsi" w:hAnsiTheme="minorHAnsi" w:cstheme="minorHAnsi"/>
            <w:szCs w:val="24"/>
          </w:rPr>
          <w:t>portail de l'UIT sur la conformité et l'interopérabilité</w:t>
        </w:r>
      </w:hyperlink>
      <w:r w:rsidRPr="00293F4B">
        <w:rPr>
          <w:rFonts w:asciiTheme="minorHAnsi" w:hAnsiTheme="minorHAnsi"/>
        </w:rPr>
        <w:t xml:space="preserve"> est régulièrement mis à jour.</w:t>
      </w:r>
    </w:p>
    <w:bookmarkEnd w:id="87"/>
    <w:p w:rsidR="004E068A" w:rsidRDefault="004E068A" w:rsidP="0032202E">
      <w:pPr>
        <w:pStyle w:val="Reasons"/>
      </w:pPr>
    </w:p>
    <w:p w:rsidR="00BD6514" w:rsidRDefault="00BD6514" w:rsidP="0032202E">
      <w:pPr>
        <w:pStyle w:val="Reasons"/>
      </w:pPr>
    </w:p>
    <w:p w:rsidR="00BD6514" w:rsidRPr="00293F4B" w:rsidRDefault="00BD6514" w:rsidP="0032202E">
      <w:pPr>
        <w:pStyle w:val="Reasons"/>
      </w:pPr>
    </w:p>
    <w:p w:rsidR="004E068A" w:rsidRPr="00293F4B" w:rsidRDefault="004E068A">
      <w:pPr>
        <w:jc w:val="center"/>
      </w:pPr>
      <w:r w:rsidRPr="00293F4B">
        <w:t>______________</w:t>
      </w:r>
    </w:p>
    <w:sectPr w:rsidR="004E068A" w:rsidRPr="00293F4B" w:rsidSect="005C3890">
      <w:headerReference w:type="even" r:id="rId59"/>
      <w:headerReference w:type="default" r:id="rId60"/>
      <w:footerReference w:type="even" r:id="rId61"/>
      <w:footerReference w:type="default" r:id="rId62"/>
      <w:footerReference w:type="first" r:id="rId6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764" w:rsidRDefault="00616764">
      <w:r>
        <w:separator/>
      </w:r>
    </w:p>
  </w:endnote>
  <w:endnote w:type="continuationSeparator" w:id="0">
    <w:p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64" w:rsidRDefault="00BD6514">
    <w:pPr>
      <w:pStyle w:val="Footer"/>
    </w:pPr>
    <w:r>
      <w:fldChar w:fldCharType="begin"/>
    </w:r>
    <w:r>
      <w:instrText xml:space="preserve"> FILENAME \p \* MERGEFORMAT </w:instrText>
    </w:r>
    <w:r>
      <w:fldChar w:fldCharType="separate"/>
    </w:r>
    <w:r w:rsidR="00D0687E">
      <w:t>P:\FRA\SG\CONSEIL\C17\000\024F.docx</w:t>
    </w:r>
    <w:r>
      <w:fldChar w:fldCharType="end"/>
    </w:r>
    <w:r w:rsidR="00616764">
      <w:tab/>
    </w:r>
    <w:r w:rsidR="00616764">
      <w:fldChar w:fldCharType="begin"/>
    </w:r>
    <w:r w:rsidR="00616764">
      <w:instrText xml:space="preserve"> savedate \@ dd.MM.yy </w:instrText>
    </w:r>
    <w:r w:rsidR="00616764">
      <w:fldChar w:fldCharType="separate"/>
    </w:r>
    <w:r w:rsidR="009E2E1C">
      <w:t>10.04.17</w:t>
    </w:r>
    <w:r w:rsidR="00616764">
      <w:fldChar w:fldCharType="end"/>
    </w:r>
    <w:r w:rsidR="00616764">
      <w:tab/>
    </w:r>
    <w:r w:rsidR="00616764">
      <w:fldChar w:fldCharType="begin"/>
    </w:r>
    <w:r w:rsidR="00616764">
      <w:instrText xml:space="preserve"> printdate \@ dd.MM.yy </w:instrText>
    </w:r>
    <w:r w:rsidR="00616764">
      <w:fldChar w:fldCharType="separate"/>
    </w:r>
    <w:r w:rsidR="00D0687E">
      <w:t>10.04.17</w:t>
    </w:r>
    <w:r w:rsidR="006167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64" w:rsidRPr="004E068A" w:rsidRDefault="00BD6514" w:rsidP="004E068A">
    <w:pPr>
      <w:pStyle w:val="Footer"/>
    </w:pPr>
    <w:r>
      <w:fldChar w:fldCharType="begin"/>
    </w:r>
    <w:r>
      <w:instrText xml:space="preserve"> FILENAME \p  \* MERGEFORMAT </w:instrText>
    </w:r>
    <w:r>
      <w:fldChar w:fldCharType="separate"/>
    </w:r>
    <w:r w:rsidR="00D0687E">
      <w:t>P:\FRA\SG\CONSEIL\C17\000\024F.docx</w:t>
    </w:r>
    <w:r>
      <w:fldChar w:fldCharType="end"/>
    </w:r>
    <w:r w:rsidR="004E068A">
      <w:t xml:space="preserve"> (409474)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64" w:rsidRDefault="0061676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764" w:rsidRDefault="00616764">
      <w:r>
        <w:t>____________________</w:t>
      </w:r>
    </w:p>
  </w:footnote>
  <w:footnote w:type="continuationSeparator" w:id="0">
    <w:p w:rsidR="00616764" w:rsidRDefault="00616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64" w:rsidRDefault="00616764">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616764" w:rsidRDefault="00616764">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64" w:rsidRDefault="00616764" w:rsidP="00016D4F">
    <w:pPr>
      <w:pStyle w:val="Header"/>
    </w:pPr>
    <w:r>
      <w:fldChar w:fldCharType="begin"/>
    </w:r>
    <w:r>
      <w:instrText>PAGE</w:instrText>
    </w:r>
    <w:r>
      <w:fldChar w:fldCharType="separate"/>
    </w:r>
    <w:r w:rsidR="00BD6514">
      <w:rPr>
        <w:noProof/>
      </w:rPr>
      <w:t>5</w:t>
    </w:r>
    <w:r>
      <w:rPr>
        <w:noProof/>
      </w:rPr>
      <w:fldChar w:fldCharType="end"/>
    </w:r>
  </w:p>
  <w:p w:rsidR="00616764" w:rsidRDefault="00616764" w:rsidP="0093234A">
    <w:pPr>
      <w:pStyle w:val="Header"/>
    </w:pPr>
    <w:r>
      <w:t>C17</w:t>
    </w:r>
    <w:r w:rsidR="00016D4F">
      <w:t>/24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17"/>
    <w:rsid w:val="00016D4F"/>
    <w:rsid w:val="000B6FF5"/>
    <w:rsid w:val="000D0D0A"/>
    <w:rsid w:val="00103163"/>
    <w:rsid w:val="00115D93"/>
    <w:rsid w:val="001247A8"/>
    <w:rsid w:val="001378C0"/>
    <w:rsid w:val="00172887"/>
    <w:rsid w:val="001821B6"/>
    <w:rsid w:val="0018694A"/>
    <w:rsid w:val="001A3287"/>
    <w:rsid w:val="001A6508"/>
    <w:rsid w:val="001B6708"/>
    <w:rsid w:val="001D4C31"/>
    <w:rsid w:val="001E4D21"/>
    <w:rsid w:val="00207CD1"/>
    <w:rsid w:val="002477A2"/>
    <w:rsid w:val="00263A51"/>
    <w:rsid w:val="00267E02"/>
    <w:rsid w:val="00293F4B"/>
    <w:rsid w:val="002A5D44"/>
    <w:rsid w:val="002B5A4A"/>
    <w:rsid w:val="002E0BC4"/>
    <w:rsid w:val="002F1B76"/>
    <w:rsid w:val="00330079"/>
    <w:rsid w:val="00335BF4"/>
    <w:rsid w:val="00355FF5"/>
    <w:rsid w:val="00361350"/>
    <w:rsid w:val="00374429"/>
    <w:rsid w:val="003D1017"/>
    <w:rsid w:val="003D31EE"/>
    <w:rsid w:val="004038CB"/>
    <w:rsid w:val="0040546F"/>
    <w:rsid w:val="0042404A"/>
    <w:rsid w:val="004340CF"/>
    <w:rsid w:val="0044618F"/>
    <w:rsid w:val="0046769A"/>
    <w:rsid w:val="00475FB3"/>
    <w:rsid w:val="004C37A9"/>
    <w:rsid w:val="004C5555"/>
    <w:rsid w:val="004E068A"/>
    <w:rsid w:val="004F259E"/>
    <w:rsid w:val="00500882"/>
    <w:rsid w:val="00511F1D"/>
    <w:rsid w:val="00520F36"/>
    <w:rsid w:val="00540615"/>
    <w:rsid w:val="00540A6D"/>
    <w:rsid w:val="00571EEA"/>
    <w:rsid w:val="00575417"/>
    <w:rsid w:val="005768E1"/>
    <w:rsid w:val="005C3890"/>
    <w:rsid w:val="005F7BFE"/>
    <w:rsid w:val="00600017"/>
    <w:rsid w:val="00616764"/>
    <w:rsid w:val="006235CA"/>
    <w:rsid w:val="006643AB"/>
    <w:rsid w:val="007210CD"/>
    <w:rsid w:val="00732045"/>
    <w:rsid w:val="007369DB"/>
    <w:rsid w:val="007956C2"/>
    <w:rsid w:val="007A0EAD"/>
    <w:rsid w:val="007A187E"/>
    <w:rsid w:val="007C72C2"/>
    <w:rsid w:val="007D4436"/>
    <w:rsid w:val="007F257A"/>
    <w:rsid w:val="007F3665"/>
    <w:rsid w:val="00800037"/>
    <w:rsid w:val="00811BC5"/>
    <w:rsid w:val="00861D73"/>
    <w:rsid w:val="008A4E87"/>
    <w:rsid w:val="008D76E6"/>
    <w:rsid w:val="0092392D"/>
    <w:rsid w:val="0093234A"/>
    <w:rsid w:val="0095089B"/>
    <w:rsid w:val="009C307F"/>
    <w:rsid w:val="009E2E1C"/>
    <w:rsid w:val="00A2113E"/>
    <w:rsid w:val="00A23A51"/>
    <w:rsid w:val="00A24607"/>
    <w:rsid w:val="00A25CD3"/>
    <w:rsid w:val="00A31CC6"/>
    <w:rsid w:val="00A82767"/>
    <w:rsid w:val="00AA332F"/>
    <w:rsid w:val="00AA7BBB"/>
    <w:rsid w:val="00AB64A8"/>
    <w:rsid w:val="00AC0266"/>
    <w:rsid w:val="00AD24EC"/>
    <w:rsid w:val="00B309F9"/>
    <w:rsid w:val="00B32B60"/>
    <w:rsid w:val="00B61619"/>
    <w:rsid w:val="00BB4545"/>
    <w:rsid w:val="00BD5873"/>
    <w:rsid w:val="00BD6514"/>
    <w:rsid w:val="00C04BE3"/>
    <w:rsid w:val="00C25D29"/>
    <w:rsid w:val="00C27A7C"/>
    <w:rsid w:val="00CA08ED"/>
    <w:rsid w:val="00CA3F29"/>
    <w:rsid w:val="00CF183B"/>
    <w:rsid w:val="00D0687E"/>
    <w:rsid w:val="00D375CD"/>
    <w:rsid w:val="00D553A2"/>
    <w:rsid w:val="00D774D3"/>
    <w:rsid w:val="00D904E8"/>
    <w:rsid w:val="00DA08C3"/>
    <w:rsid w:val="00DB5A3E"/>
    <w:rsid w:val="00DC22AA"/>
    <w:rsid w:val="00DF74DD"/>
    <w:rsid w:val="00E25AD0"/>
    <w:rsid w:val="00E26684"/>
    <w:rsid w:val="00E443EC"/>
    <w:rsid w:val="00E873EE"/>
    <w:rsid w:val="00EB6350"/>
    <w:rsid w:val="00F15B57"/>
    <w:rsid w:val="00F427DB"/>
    <w:rsid w:val="00F84662"/>
    <w:rsid w:val="00FA0D1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822143-A5BD-4A6E-90AD-AEB2F9C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9"/>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uiPriority w:val="99"/>
    <w:rsid w:val="00374429"/>
    <w:rPr>
      <w:rFonts w:ascii="Calibri" w:hAnsi="Calibri"/>
      <w:b/>
      <w:sz w:val="28"/>
      <w:lang w:val="fr-FR" w:eastAsia="en-US"/>
    </w:rPr>
  </w:style>
  <w:style w:type="character" w:customStyle="1" w:styleId="Heading2Char">
    <w:name w:val="Heading 2 Char"/>
    <w:basedOn w:val="DefaultParagraphFont"/>
    <w:link w:val="Heading2"/>
    <w:rsid w:val="00374429"/>
    <w:rPr>
      <w:rFonts w:ascii="Calibri" w:hAnsi="Calibri"/>
      <w:b/>
      <w:sz w:val="24"/>
      <w:lang w:val="fr-FR" w:eastAsia="en-US"/>
    </w:rPr>
  </w:style>
  <w:style w:type="character" w:styleId="Emphasis">
    <w:name w:val="Emphasis"/>
    <w:basedOn w:val="DefaultParagraphFont"/>
    <w:uiPriority w:val="20"/>
    <w:qFormat/>
    <w:rsid w:val="00374429"/>
    <w:rPr>
      <w:rFonts w:ascii="Times New Roman" w:hAnsi="Times New Roman" w:cs="Times New Roman" w:hint="default"/>
      <w:b/>
      <w:bCs/>
      <w:i w:val="0"/>
      <w:iCs w:val="0"/>
    </w:rPr>
  </w:style>
  <w:style w:type="character" w:customStyle="1" w:styleId="NormalWebChar">
    <w:name w:val="Normal (Web) Char"/>
    <w:basedOn w:val="DefaultParagraphFont"/>
    <w:link w:val="NormalWeb"/>
    <w:uiPriority w:val="99"/>
    <w:semiHidden/>
    <w:locked/>
    <w:rsid w:val="00374429"/>
    <w:rPr>
      <w:rFonts w:ascii="Times New Roman" w:hAnsi="Times New Roman"/>
      <w:sz w:val="24"/>
      <w:szCs w:val="24"/>
    </w:rPr>
  </w:style>
  <w:style w:type="paragraph" w:styleId="NormalWeb">
    <w:name w:val="Normal (Web)"/>
    <w:basedOn w:val="Normal"/>
    <w:link w:val="NormalWebChar"/>
    <w:uiPriority w:val="99"/>
    <w:semiHidden/>
    <w:unhideWhenUsed/>
    <w:rsid w:val="003744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ListParagraph">
    <w:name w:val="List Paragraph"/>
    <w:basedOn w:val="Normal"/>
    <w:uiPriority w:val="34"/>
    <w:qFormat/>
    <w:rsid w:val="00374429"/>
    <w:pPr>
      <w:tabs>
        <w:tab w:val="clear" w:pos="567"/>
        <w:tab w:val="clear" w:pos="1134"/>
        <w:tab w:val="clear" w:pos="1701"/>
        <w:tab w:val="clear" w:pos="2268"/>
        <w:tab w:val="clear" w:pos="2835"/>
        <w:tab w:val="left" w:pos="794"/>
        <w:tab w:val="left" w:pos="1191"/>
        <w:tab w:val="left" w:pos="1588"/>
        <w:tab w:val="left" w:pos="1985"/>
      </w:tabs>
      <w:ind w:left="720"/>
      <w:contextualSpacing/>
      <w:textAlignment w:val="auto"/>
    </w:pPr>
    <w:rPr>
      <w:rFonts w:ascii="Times New Roman" w:eastAsiaTheme="minorEastAsia"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0-CL-C-0035/fr" TargetMode="External"/><Relationship Id="rId18" Type="http://schemas.openxmlformats.org/officeDocument/2006/relationships/hyperlink" Target="http://www.itu.int/md/meetingdoc.asp?lang=en&amp;parent=S15-CL-C-0024" TargetMode="External"/><Relationship Id="rId26" Type="http://schemas.openxmlformats.org/officeDocument/2006/relationships/hyperlink" Target="http://www.itu.int/go/pilot-projects" TargetMode="External"/><Relationship Id="rId39" Type="http://schemas.openxmlformats.org/officeDocument/2006/relationships/hyperlink" Target="https://www.itu.int/en/ITU-T/C-I/Pages/HFT-mobile-tests/test_event_3.aspx" TargetMode="External"/><Relationship Id="rId21" Type="http://schemas.openxmlformats.org/officeDocument/2006/relationships/hyperlink" Target="http://www.itu.int/fr/ITU-T/C-I/Pages/default.aspx" TargetMode="External"/><Relationship Id="rId34" Type="http://schemas.openxmlformats.org/officeDocument/2006/relationships/hyperlink" Target="https://www.itu.int/md/meetingdoc.asp?lang=en&amp;parent=T17-SG11-170206-TD-GEN-0050" TargetMode="External"/><Relationship Id="rId42" Type="http://schemas.openxmlformats.org/officeDocument/2006/relationships/hyperlink" Target="http://www.itu.int/itu-t/recommendations/rec.aspx?rec=12458" TargetMode="External"/><Relationship Id="rId47" Type="http://schemas.openxmlformats.org/officeDocument/2006/relationships/hyperlink" Target="https://www.itu.int/en/ITU-T/C-I/Pages/HFT-mobile-tests/roundtable_march17.aspx" TargetMode="External"/><Relationship Id="rId50" Type="http://schemas.openxmlformats.org/officeDocument/2006/relationships/hyperlink" Target="https://academy.itu.int/index.php?lang=en" TargetMode="External"/><Relationship Id="rId55" Type="http://schemas.openxmlformats.org/officeDocument/2006/relationships/hyperlink" Target="http://www.itu.int/en/ITU-D/Technology/Documents/ConformanceInteroperability/GuidelinesMRAs_E.pdf" TargetMode="External"/><Relationship Id="rId63"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itu.int/md/S13-CL-C-0024/fr" TargetMode="External"/><Relationship Id="rId20" Type="http://schemas.openxmlformats.org/officeDocument/2006/relationships/hyperlink" Target="http://www.itu.int/fr/ITU-T/C-I/Pages/default.aspx" TargetMode="External"/><Relationship Id="rId29" Type="http://schemas.openxmlformats.org/officeDocument/2006/relationships/hyperlink" Target="https://www.itu.int/en/ITU-T/C-I/Pages/IM/Internet-speed.aspx" TargetMode="External"/><Relationship Id="rId41" Type="http://schemas.openxmlformats.org/officeDocument/2006/relationships/hyperlink" Target="http://www.itu.int/en/ITU-T/C-I/interop/Pages/IPTV201701.aspx" TargetMode="External"/><Relationship Id="rId54" Type="http://schemas.openxmlformats.org/officeDocument/2006/relationships/hyperlink" Target="http://www.itu.int/en/ITU-D/Technology/Pages/PublicationsandDeliverables.aspx"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S-R.62-2012" TargetMode="External"/><Relationship Id="rId24" Type="http://schemas.openxmlformats.org/officeDocument/2006/relationships/hyperlink" Target="http://www.itu.int/net/itu-t/cdb/ConformityDB.aspx" TargetMode="External"/><Relationship Id="rId32" Type="http://schemas.openxmlformats.org/officeDocument/2006/relationships/hyperlink" Target="https://www.itu.int/md/T13-SG11-160627-TD-GEN-1306/fr" TargetMode="External"/><Relationship Id="rId37" Type="http://schemas.openxmlformats.org/officeDocument/2006/relationships/hyperlink" Target="https://www.itu.int/md/T13-SG11-160627-TD-GEN-1199/fr" TargetMode="External"/><Relationship Id="rId40" Type="http://schemas.openxmlformats.org/officeDocument/2006/relationships/hyperlink" Target="https://www.itu.int/en/ITU-T/C-I/Pages/SIP/IMS.aspx" TargetMode="External"/><Relationship Id="rId45" Type="http://schemas.openxmlformats.org/officeDocument/2006/relationships/hyperlink" Target="https://www.itu.int/en/ITU-T/C-I/Pages/HFT-mobile-tests/test_event_2.aspx" TargetMode="External"/><Relationship Id="rId53" Type="http://schemas.openxmlformats.org/officeDocument/2006/relationships/hyperlink" Target="http://www.itu.int/en/ITU-D/Regional-Presence/ArabStates/Documents/events/2016/CI/UMA%20Meeting/UMA%20MRA_E.pdf" TargetMode="External"/><Relationship Id="rId58" Type="http://schemas.openxmlformats.org/officeDocument/2006/relationships/hyperlink" Target="http://www.itu.int/net/ITU-T/C-I/" TargetMode="External"/><Relationship Id="rId5" Type="http://schemas.openxmlformats.org/officeDocument/2006/relationships/footnotes" Target="footnotes.xml"/><Relationship Id="rId15" Type="http://schemas.openxmlformats.org/officeDocument/2006/relationships/hyperlink" Target="http://www.itu.int/md/S12-CL-C-0048/fr" TargetMode="External"/><Relationship Id="rId23" Type="http://schemas.openxmlformats.org/officeDocument/2006/relationships/hyperlink" Target="https://www.itu.int/md/dologin_md.asp?lang=en&amp;id=S13-CL-C-0024!R1!MSW-E" TargetMode="External"/><Relationship Id="rId28" Type="http://schemas.openxmlformats.org/officeDocument/2006/relationships/hyperlink" Target="https://www.itu.int/md/T13-SG11-151202-TD-GEN-0913/en" TargetMode="External"/><Relationship Id="rId36" Type="http://schemas.openxmlformats.org/officeDocument/2006/relationships/hyperlink" Target="https://www.itu.int/en/ITU-T/Workshops-and-Seminars/20160628/Pages/default.aspx" TargetMode="External"/><Relationship Id="rId49" Type="http://schemas.openxmlformats.org/officeDocument/2006/relationships/hyperlink" Target="http://www.itu.int/en/ITU-D/Technology/Pages/Events.aspx" TargetMode="External"/><Relationship Id="rId57" Type="http://schemas.openxmlformats.org/officeDocument/2006/relationships/hyperlink" Target="https://www.itu.int/md/D14-SG02-C-0416/fr" TargetMode="External"/><Relationship Id="rId61" Type="http://schemas.openxmlformats.org/officeDocument/2006/relationships/footer" Target="footer1.xml"/><Relationship Id="rId10" Type="http://schemas.openxmlformats.org/officeDocument/2006/relationships/hyperlink" Target="http://www.itu.int/ITU-D/tech/NGN/ConformanceInterop/WTDC10_Res47.pdf" TargetMode="External"/><Relationship Id="rId19" Type="http://schemas.openxmlformats.org/officeDocument/2006/relationships/hyperlink" Target="https://www.itu.int/md/meetingdoc.asp?lang=en&amp;parent=S16-CL-C-0024" TargetMode="External"/><Relationship Id="rId31" Type="http://schemas.openxmlformats.org/officeDocument/2006/relationships/hyperlink" Target="http://www.itu.int/en/ITU-T/Workshops-and-Seminars/conformity-interoperability/20150112/Pages/default.aspx" TargetMode="External"/><Relationship Id="rId44" Type="http://schemas.openxmlformats.org/officeDocument/2006/relationships/hyperlink" Target="https://www.itu.int/en/ITU-T/C-I/Pages/test_event_Feb14.aspx" TargetMode="External"/><Relationship Id="rId52" Type="http://schemas.openxmlformats.org/officeDocument/2006/relationships/hyperlink" Target="http://www.itu.int/en/ITU-D/Regional-Presence/Americas/Pages/EVENTS/2016/15556.aspx"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wtsa12/Documents/resolutions/Resolution%2076.pdf" TargetMode="External"/><Relationship Id="rId14" Type="http://schemas.openxmlformats.org/officeDocument/2006/relationships/hyperlink" Target="http://www.itu.int/md/S11-CL-C-0038/fr" TargetMode="External"/><Relationship Id="rId22" Type="http://schemas.openxmlformats.org/officeDocument/2006/relationships/hyperlink" Target="http://www.itu.int/en/ITU-D/Technology/Pages/ConformanceandInteroperability.aspx" TargetMode="External"/><Relationship Id="rId27" Type="http://schemas.openxmlformats.org/officeDocument/2006/relationships/hyperlink" Target="http://www.itu.int/en/ITU-T/C-I/Pages/CI-reference.aspx" TargetMode="External"/><Relationship Id="rId30" Type="http://schemas.openxmlformats.org/officeDocument/2006/relationships/hyperlink" Target="http://www.itu.int/ITU-T/workprog/wp_item.aspx?isn=10782" TargetMode="External"/><Relationship Id="rId35" Type="http://schemas.openxmlformats.org/officeDocument/2006/relationships/hyperlink" Target="https://www.itu.int/en/ITU-T/studygroups/2017-2020/11/Pages/CASC.aspx" TargetMode="External"/><Relationship Id="rId43" Type="http://schemas.openxmlformats.org/officeDocument/2006/relationships/hyperlink" Target="http://www.itu.int/pub/T-TUT-IPTV-2015-H721" TargetMode="External"/><Relationship Id="rId48" Type="http://schemas.openxmlformats.org/officeDocument/2006/relationships/hyperlink" Target="https://www.itu.int/en/ITU-T/C-I/Pages/HFT-mobile-tests/HFT_testing.aspx" TargetMode="External"/><Relationship Id="rId56" Type="http://schemas.openxmlformats.org/officeDocument/2006/relationships/hyperlink" Target="http://www.itu.int/net4/ITU-D/CDS/sg/rgqlist.asp?lg=1&amp;sp=2014&amp;rgq=D14-SG02-RGQ04.2&amp;stg=2" TargetMode="External"/><Relationship Id="rId64" Type="http://schemas.openxmlformats.org/officeDocument/2006/relationships/fontTable" Target="fontTable.xml"/><Relationship Id="rId8" Type="http://schemas.openxmlformats.org/officeDocument/2006/relationships/hyperlink" Target="http://www.itu.int/pub/S-CONF-PLEN-2015" TargetMode="External"/><Relationship Id="rId51" Type="http://schemas.openxmlformats.org/officeDocument/2006/relationships/hyperlink" Target="http://www.itu.int/en/ITU-D/Technology/Pages/CI_AssessmentStudyRegional.aspx" TargetMode="External"/><Relationship Id="rId3" Type="http://schemas.openxmlformats.org/officeDocument/2006/relationships/settings" Target="settings.xml"/><Relationship Id="rId12" Type="http://schemas.openxmlformats.org/officeDocument/2006/relationships/hyperlink" Target="http://www.itu.int/md/S09-CL-C-0028/fr" TargetMode="External"/><Relationship Id="rId17" Type="http://schemas.openxmlformats.org/officeDocument/2006/relationships/hyperlink" Target="http://www.itu.int/md/S14-CL-C-0024/fr" TargetMode="External"/><Relationship Id="rId25" Type="http://schemas.openxmlformats.org/officeDocument/2006/relationships/hyperlink" Target="http://www.itu.int/net/itu-t/cdb/ConformityDB.aspx" TargetMode="External"/><Relationship Id="rId33" Type="http://schemas.openxmlformats.org/officeDocument/2006/relationships/hyperlink" Target="http://www.iecee.org/dyn/www/f?p=106:46:11161765169405::::FSP_ORG_ID:19407" TargetMode="External"/><Relationship Id="rId38" Type="http://schemas.openxmlformats.org/officeDocument/2006/relationships/hyperlink" Target="https://www.itu.int/en/ITU-T/C-I/Pages/HFT-mobile-tests/test_event_3.aspx" TargetMode="External"/><Relationship Id="rId46" Type="http://schemas.openxmlformats.org/officeDocument/2006/relationships/hyperlink" Target="https://www.itu.int/en/ITU-T/C-I/Pages/HFT-mobile-tests/test_event_3.aspx" TargetMode="External"/><Relationship Id="rId5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66</TotalTime>
  <Pages>7</Pages>
  <Words>3039</Words>
  <Characters>20852</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23844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Jones, Jacqueline</cp:lastModifiedBy>
  <cp:revision>25</cp:revision>
  <cp:lastPrinted>2017-04-10T14:07:00Z</cp:lastPrinted>
  <dcterms:created xsi:type="dcterms:W3CDTF">2017-04-10T13:10:00Z</dcterms:created>
  <dcterms:modified xsi:type="dcterms:W3CDTF">2017-04-10T15:29:00Z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