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60BC4" w:rsidTr="00C65D0A">
        <w:trPr>
          <w:cantSplit/>
        </w:trPr>
        <w:tc>
          <w:tcPr>
            <w:tcW w:w="2693" w:type="dxa"/>
            <w:tcBorders>
              <w:left w:val="nil"/>
              <w:bottom w:val="single" w:sz="4" w:space="0" w:color="auto"/>
            </w:tcBorders>
          </w:tcPr>
          <w:p w:rsidR="00EB6A81" w:rsidRPr="00560BC4" w:rsidRDefault="00CD30E0" w:rsidP="00EF7BF8">
            <w:pPr>
              <w:pStyle w:val="Heading3"/>
              <w:spacing w:before="240"/>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Бразили"/>
            <w:bookmarkStart w:id="10" w:name="_Toc262718004"/>
            <w:bookmarkStart w:id="11" w:name="_Toc262720016"/>
            <w:bookmarkStart w:id="12" w:name="_Toc262721843"/>
            <w:r w:rsidRPr="00560BC4">
              <w:rPr>
                <w:rFonts w:ascii="Trebuchet MS" w:hAnsi="Trebuchet MS"/>
                <w:i/>
                <w:iCs/>
                <w:lang w:val="ru-RU"/>
              </w:rPr>
              <w:t xml:space="preserve">ВОПРОС </w:t>
            </w:r>
            <w:r w:rsidR="00D400DF" w:rsidRPr="00560BC4">
              <w:rPr>
                <w:rFonts w:ascii="Trebuchet MS" w:hAnsi="Trebuchet MS"/>
                <w:i/>
                <w:iCs/>
                <w:lang w:val="ru-RU"/>
              </w:rPr>
              <w:t>1</w:t>
            </w:r>
            <w:r w:rsidR="00EF7BF8">
              <w:rPr>
                <w:rFonts w:ascii="Trebuchet MS" w:hAnsi="Trebuchet MS"/>
                <w:i/>
                <w:iCs/>
                <w:lang w:val="en-US"/>
              </w:rPr>
              <w:t>0</w:t>
            </w:r>
            <w:r w:rsidR="00D400DF" w:rsidRPr="00560BC4">
              <w:rPr>
                <w:rFonts w:ascii="Trebuchet MS" w:hAnsi="Trebuchet MS"/>
                <w:i/>
                <w:iCs/>
                <w:lang w:val="ru-RU"/>
              </w:rPr>
              <w:t>-</w:t>
            </w:r>
            <w:r w:rsidR="00EF7BF8">
              <w:rPr>
                <w:rFonts w:ascii="Trebuchet MS" w:hAnsi="Trebuchet MS"/>
                <w:i/>
                <w:iCs/>
                <w:lang w:val="en-US"/>
              </w:rPr>
              <w:t>2</w:t>
            </w:r>
            <w:r w:rsidR="00EB6A81" w:rsidRPr="00560BC4">
              <w:rPr>
                <w:rFonts w:ascii="Trebuchet MS" w:hAnsi="Trebuchet MS"/>
                <w:i/>
                <w:iCs/>
                <w:lang w:val="ru-RU"/>
              </w:rPr>
              <w:t>/</w:t>
            </w:r>
            <w:bookmarkEnd w:id="0"/>
            <w:bookmarkEnd w:id="1"/>
            <w:bookmarkEnd w:id="2"/>
            <w:bookmarkEnd w:id="3"/>
            <w:bookmarkEnd w:id="4"/>
            <w:bookmarkEnd w:id="5"/>
            <w:bookmarkEnd w:id="6"/>
            <w:bookmarkEnd w:id="7"/>
            <w:r w:rsidR="0002731C">
              <w:rPr>
                <w:rFonts w:ascii="Trebuchet MS" w:hAnsi="Trebuchet MS"/>
                <w:i/>
                <w:iCs/>
                <w:lang w:val="ru-RU"/>
              </w:rPr>
              <w:t>1</w:t>
            </w:r>
            <w:bookmarkEnd w:id="8"/>
            <w:bookmarkEnd w:id="10"/>
            <w:bookmarkEnd w:id="11"/>
            <w:bookmarkEnd w:id="12"/>
          </w:p>
        </w:tc>
      </w:tr>
      <w:tr w:rsidR="002A62A0" w:rsidRPr="00560BC4" w:rsidTr="00C65D0A">
        <w:trPr>
          <w:cantSplit/>
          <w:trHeight w:val="895"/>
        </w:trPr>
        <w:tc>
          <w:tcPr>
            <w:tcW w:w="2693" w:type="dxa"/>
            <w:tcBorders>
              <w:top w:val="single" w:sz="4" w:space="0" w:color="auto"/>
              <w:left w:val="nil"/>
            </w:tcBorders>
          </w:tcPr>
          <w:p w:rsidR="002A62A0" w:rsidRPr="00560BC4"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3" w:name="_Toc258417509"/>
            <w:bookmarkStart w:id="14" w:name="_Toc258502880"/>
            <w:bookmarkStart w:id="15" w:name="_Toc261271993"/>
            <w:bookmarkStart w:id="16" w:name="_Toc262718005"/>
            <w:bookmarkStart w:id="17" w:name="_Toc262720017"/>
            <w:bookmarkStart w:id="18" w:name="_Toc262721844"/>
            <w:r w:rsidRPr="00560BC4">
              <w:rPr>
                <w:rFonts w:ascii="Trebuchet MS" w:hAnsi="Trebuchet MS" w:cs="Arial"/>
                <w:b w:val="0"/>
                <w:bCs/>
                <w:i/>
                <w:iCs/>
                <w:lang w:val="ru-RU"/>
              </w:rPr>
              <w:t>Заключительный отчет</w:t>
            </w:r>
            <w:bookmarkEnd w:id="13"/>
            <w:bookmarkEnd w:id="14"/>
            <w:bookmarkEnd w:id="15"/>
            <w:bookmarkEnd w:id="16"/>
            <w:bookmarkEnd w:id="17"/>
            <w:bookmarkEnd w:id="18"/>
          </w:p>
          <w:p w:rsidR="002A62A0" w:rsidRPr="00560BC4" w:rsidRDefault="002A62A0" w:rsidP="0006325B">
            <w:pPr>
              <w:pStyle w:val="Heading3"/>
              <w:ind w:left="0"/>
              <w:jc w:val="left"/>
              <w:rPr>
                <w:rFonts w:ascii="Trebuchet MS" w:hAnsi="Trebuchet MS" w:cs="Arial"/>
                <w:i/>
                <w:iCs/>
                <w:lang w:val="ru-RU"/>
              </w:rPr>
            </w:pPr>
          </w:p>
        </w:tc>
      </w:tr>
    </w:tbl>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pStyle w:val="Normalaftertitle"/>
        <w:spacing w:before="120"/>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FE7C82" w:rsidRDefault="00CD30E0" w:rsidP="0002731C">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FE7C82">
        <w:rPr>
          <w:rFonts w:ascii="Trebuchet MS" w:hAnsi="Trebuchet MS" w:cs="Arial"/>
          <w:b/>
          <w:bCs/>
          <w:color w:val="FFFFFF"/>
          <w:spacing w:val="-10"/>
          <w:sz w:val="28"/>
          <w:szCs w:val="28"/>
          <w:lang w:val="ru-RU"/>
        </w:rPr>
        <w:t>МСЭ</w:t>
      </w:r>
      <w:r w:rsidR="00F8454D" w:rsidRPr="00FE7C82">
        <w:rPr>
          <w:rFonts w:ascii="Trebuchet MS" w:hAnsi="Trebuchet MS" w:cs="Arial"/>
          <w:b/>
          <w:bCs/>
          <w:color w:val="FFFFFF"/>
          <w:spacing w:val="-10"/>
          <w:sz w:val="28"/>
          <w:szCs w:val="28"/>
          <w:lang w:val="ru-RU"/>
        </w:rPr>
        <w:t>-D</w:t>
      </w:r>
      <w:r w:rsidR="00FE7C82">
        <w:rPr>
          <w:rFonts w:ascii="Trebuchet MS" w:hAnsi="Trebuchet MS" w:cs="Arial"/>
          <w:b/>
          <w:bCs/>
          <w:color w:val="FFFFFF"/>
          <w:spacing w:val="-6"/>
          <w:sz w:val="28"/>
          <w:szCs w:val="28"/>
          <w:lang w:val="ru-RU"/>
        </w:rPr>
        <w:t xml:space="preserve"> </w:t>
      </w:r>
      <w:r w:rsidR="0002731C">
        <w:rPr>
          <w:rFonts w:ascii="Trebuchet MS" w:hAnsi="Trebuchet MS" w:cs="Arial"/>
          <w:b/>
          <w:bCs/>
          <w:color w:val="FFFFFF"/>
          <w:spacing w:val="-6"/>
          <w:sz w:val="28"/>
          <w:szCs w:val="28"/>
          <w:lang w:val="ru-RU"/>
        </w:rPr>
        <w:t>1</w:t>
      </w:r>
      <w:r w:rsidR="009D270D" w:rsidRPr="00FE7C82">
        <w:rPr>
          <w:rFonts w:ascii="Trebuchet MS" w:hAnsi="Trebuchet MS" w:cs="Arial"/>
          <w:b/>
          <w:bCs/>
          <w:color w:val="FFFFFF"/>
          <w:spacing w:val="-6"/>
          <w:sz w:val="28"/>
          <w:szCs w:val="28"/>
          <w:lang w:val="ru-RU"/>
        </w:rPr>
        <w:t>-я Исследовательская комиссия</w:t>
      </w:r>
      <w:r w:rsidR="00FE7C82">
        <w:rPr>
          <w:rFonts w:ascii="Trebuchet MS" w:hAnsi="Trebuchet MS" w:cs="Arial"/>
          <w:b/>
          <w:bCs/>
          <w:color w:val="FFFFFF"/>
          <w:spacing w:val="-6"/>
          <w:sz w:val="28"/>
          <w:szCs w:val="28"/>
          <w:lang w:val="ru-RU"/>
        </w:rPr>
        <w:t xml:space="preserve">  </w:t>
      </w:r>
      <w:r w:rsidR="009D270D" w:rsidRPr="00FE7C82">
        <w:rPr>
          <w:rFonts w:ascii="Trebuchet MS" w:hAnsi="Trebuchet MS" w:cs="Arial"/>
          <w:b/>
          <w:bCs/>
          <w:color w:val="FFFFFF"/>
          <w:spacing w:val="-6"/>
          <w:szCs w:val="22"/>
          <w:lang w:val="ru-RU"/>
        </w:rPr>
        <w:t xml:space="preserve">4-й </w:t>
      </w:r>
      <w:r w:rsidR="009D270D" w:rsidRPr="00FE7C82">
        <w:rPr>
          <w:rFonts w:ascii="Trebuchet MS" w:hAnsi="Trebuchet MS" w:cs="Arial"/>
          <w:b/>
          <w:bCs/>
          <w:color w:val="FFFFFF"/>
          <w:spacing w:val="-4"/>
          <w:szCs w:val="22"/>
          <w:lang w:val="ru-RU"/>
        </w:rPr>
        <w:t>Исследовательский период</w:t>
      </w:r>
      <w:r w:rsidR="009D270D" w:rsidRPr="00FE7C82">
        <w:rPr>
          <w:rFonts w:ascii="Trebuchet MS" w:hAnsi="Trebuchet MS" w:cs="Arial"/>
          <w:b/>
          <w:bCs/>
          <w:color w:val="FFFFFF"/>
          <w:spacing w:val="-6"/>
          <w:szCs w:val="22"/>
          <w:lang w:val="ru-RU"/>
        </w:rPr>
        <w:t xml:space="preserve"> </w:t>
      </w:r>
      <w:r w:rsidRPr="00FE7C82">
        <w:rPr>
          <w:rFonts w:ascii="Trebuchet MS" w:hAnsi="Trebuchet MS" w:cs="Arial"/>
          <w:b/>
          <w:bCs/>
          <w:color w:val="FFFFFF"/>
          <w:spacing w:val="-6"/>
          <w:szCs w:val="22"/>
          <w:lang w:val="ru-RU"/>
        </w:rPr>
        <w:t>(2006−2010 гг.)</w:t>
      </w:r>
    </w:p>
    <w:p w:rsidR="00EB6A81" w:rsidRPr="009D270D" w:rsidRDefault="00EB6A81" w:rsidP="00EB6A81">
      <w:pPr>
        <w:ind w:right="2520"/>
        <w:jc w:val="right"/>
        <w:rPr>
          <w:rFonts w:ascii="Arial" w:hAnsi="Arial" w:cs="Arial"/>
          <w:sz w:val="25"/>
          <w:szCs w:val="25"/>
          <w:lang w:val="ru-RU"/>
        </w:rPr>
      </w:pPr>
    </w:p>
    <w:p w:rsidR="00EB6A81" w:rsidRPr="00560BC4" w:rsidRDefault="00EB6A81" w:rsidP="00EB6A81">
      <w:pPr>
        <w:ind w:right="2520"/>
        <w:jc w:val="right"/>
        <w:rPr>
          <w:rFonts w:ascii="Arial" w:hAnsi="Arial" w:cs="Arial"/>
          <w:lang w:val="ru-RU"/>
        </w:rPr>
      </w:pPr>
    </w:p>
    <w:p w:rsidR="00EB6A81" w:rsidRPr="00560BC4" w:rsidRDefault="00EB6A81" w:rsidP="00EB6A81">
      <w:pPr>
        <w:ind w:right="2520"/>
        <w:jc w:val="right"/>
        <w:rPr>
          <w:rFonts w:ascii="Arial" w:hAnsi="Arial" w:cs="Arial"/>
          <w:lang w:val="ru-RU"/>
        </w:rPr>
      </w:pPr>
    </w:p>
    <w:p w:rsidR="00C65D0A" w:rsidRPr="00560BC4" w:rsidRDefault="00CD30E0" w:rsidP="00EF7BF8">
      <w:pPr>
        <w:spacing w:line="600" w:lineRule="exact"/>
        <w:ind w:right="2517"/>
        <w:jc w:val="right"/>
        <w:rPr>
          <w:rFonts w:ascii="Trebuchet MS" w:hAnsi="Trebuchet MS" w:cs="Tahoma"/>
          <w:b/>
          <w:i/>
          <w:iCs/>
          <w:sz w:val="44"/>
          <w:szCs w:val="44"/>
          <w:lang w:val="ru-RU"/>
        </w:rPr>
      </w:pPr>
      <w:r w:rsidRPr="00560BC4">
        <w:rPr>
          <w:rFonts w:ascii="Trebuchet MS" w:hAnsi="Trebuchet MS" w:cs="Tahoma"/>
          <w:b/>
          <w:i/>
          <w:iCs/>
          <w:sz w:val="44"/>
          <w:szCs w:val="44"/>
          <w:lang w:val="ru-RU"/>
        </w:rPr>
        <w:t>ВОПРОС</w:t>
      </w:r>
      <w:r w:rsidR="00C65D0A" w:rsidRPr="00560BC4">
        <w:rPr>
          <w:rFonts w:ascii="Trebuchet MS" w:hAnsi="Trebuchet MS" w:cs="Tahoma"/>
          <w:b/>
          <w:i/>
          <w:iCs/>
          <w:sz w:val="44"/>
          <w:szCs w:val="44"/>
          <w:lang w:val="ru-RU"/>
        </w:rPr>
        <w:t xml:space="preserve"> 1</w:t>
      </w:r>
      <w:r w:rsidR="00EF7BF8">
        <w:rPr>
          <w:rFonts w:ascii="Trebuchet MS" w:hAnsi="Trebuchet MS" w:cs="Tahoma"/>
          <w:b/>
          <w:i/>
          <w:iCs/>
          <w:sz w:val="44"/>
          <w:szCs w:val="44"/>
          <w:lang w:val="en-US"/>
        </w:rPr>
        <w:t>0</w:t>
      </w:r>
      <w:r w:rsidR="00C65D0A" w:rsidRPr="00560BC4">
        <w:rPr>
          <w:rFonts w:ascii="Trebuchet MS" w:hAnsi="Trebuchet MS" w:cs="Tahoma"/>
          <w:b/>
          <w:i/>
          <w:iCs/>
          <w:sz w:val="44"/>
          <w:szCs w:val="44"/>
          <w:lang w:val="ru-RU"/>
        </w:rPr>
        <w:t>-</w:t>
      </w:r>
      <w:r w:rsidR="00EF7BF8">
        <w:rPr>
          <w:rFonts w:ascii="Trebuchet MS" w:hAnsi="Trebuchet MS" w:cs="Tahoma"/>
          <w:b/>
          <w:i/>
          <w:iCs/>
          <w:sz w:val="44"/>
          <w:szCs w:val="44"/>
          <w:lang w:val="en-US"/>
        </w:rPr>
        <w:t>2</w:t>
      </w:r>
      <w:r w:rsidR="00C65D0A" w:rsidRPr="00560BC4">
        <w:rPr>
          <w:rFonts w:ascii="Trebuchet MS" w:hAnsi="Trebuchet MS" w:cs="Tahoma"/>
          <w:b/>
          <w:i/>
          <w:iCs/>
          <w:sz w:val="44"/>
          <w:szCs w:val="44"/>
          <w:lang w:val="ru-RU"/>
        </w:rPr>
        <w:t>/</w:t>
      </w:r>
      <w:r w:rsidR="0002731C">
        <w:rPr>
          <w:rFonts w:ascii="Trebuchet MS" w:hAnsi="Trebuchet MS" w:cs="Tahoma"/>
          <w:b/>
          <w:i/>
          <w:iCs/>
          <w:sz w:val="44"/>
          <w:szCs w:val="44"/>
          <w:lang w:val="ru-RU"/>
        </w:rPr>
        <w:t>1</w:t>
      </w:r>
      <w:r w:rsidR="00C65D0A" w:rsidRPr="00560BC4">
        <w:rPr>
          <w:rFonts w:ascii="Trebuchet MS" w:hAnsi="Trebuchet MS" w:cs="Tahoma"/>
          <w:b/>
          <w:i/>
          <w:iCs/>
          <w:sz w:val="44"/>
          <w:szCs w:val="44"/>
          <w:lang w:val="ru-RU"/>
        </w:rPr>
        <w:t>:</w:t>
      </w:r>
    </w:p>
    <w:p w:rsidR="00EB6A81" w:rsidRPr="00560BC4" w:rsidRDefault="00EF7BF8" w:rsidP="00F456A5">
      <w:pPr>
        <w:spacing w:line="600" w:lineRule="exact"/>
        <w:ind w:right="2517"/>
        <w:jc w:val="right"/>
        <w:rPr>
          <w:rFonts w:ascii="Trebuchet MS" w:hAnsi="Trebuchet MS" w:cs="Tahoma"/>
          <w:i/>
          <w:iCs/>
          <w:sz w:val="44"/>
          <w:szCs w:val="44"/>
          <w:lang w:val="ru-RU"/>
        </w:rPr>
      </w:pPr>
      <w:r w:rsidRPr="00EF7BF8">
        <w:rPr>
          <w:rFonts w:ascii="Trebuchet MS" w:hAnsi="Trebuchet MS" w:cs="Tahoma"/>
          <w:i/>
          <w:iCs/>
          <w:sz w:val="44"/>
          <w:szCs w:val="44"/>
          <w:lang w:val="ru-RU"/>
        </w:rPr>
        <w:t xml:space="preserve">Регламентарные аспекты </w:t>
      </w:r>
      <w:proofErr w:type="spellStart"/>
      <w:r w:rsidRPr="00EF7BF8">
        <w:rPr>
          <w:rFonts w:ascii="Trebuchet MS" w:hAnsi="Trebuchet MS" w:cs="Tahoma"/>
          <w:i/>
          <w:iCs/>
          <w:sz w:val="44"/>
          <w:szCs w:val="44"/>
          <w:lang w:val="ru-RU"/>
        </w:rPr>
        <w:t>конвергирующих</w:t>
      </w:r>
      <w:proofErr w:type="spellEnd"/>
      <w:r w:rsidRPr="00EF7BF8">
        <w:rPr>
          <w:rFonts w:ascii="Trebuchet MS" w:hAnsi="Trebuchet MS" w:cs="Tahoma"/>
          <w:i/>
          <w:iCs/>
          <w:sz w:val="44"/>
          <w:szCs w:val="44"/>
          <w:lang w:val="ru-RU"/>
        </w:rPr>
        <w:t xml:space="preserve"> услуг на меняющихся рынках, включая последствия для лицензирования и санкционирования</w:t>
      </w:r>
    </w:p>
    <w:p w:rsidR="00EB6A81" w:rsidRPr="00560BC4" w:rsidRDefault="00EB6A81" w:rsidP="00B04C99">
      <w:pPr>
        <w:rPr>
          <w:lang w:val="ru-RU"/>
        </w:rPr>
      </w:pPr>
    </w:p>
    <w:p w:rsidR="00EB6A81" w:rsidRPr="00560BC4" w:rsidRDefault="00EB6A81" w:rsidP="00EB6A81">
      <w:pPr>
        <w:rPr>
          <w:rFonts w:ascii="FrugalSans Th" w:hAnsi="FrugalSans Th"/>
          <w:i/>
          <w:iCs/>
          <w:lang w:val="ru-RU"/>
        </w:rPr>
      </w:pPr>
    </w:p>
    <w:p w:rsidR="00EB6A81" w:rsidRPr="00560BC4" w:rsidRDefault="00EB6A8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E83FA2" w:rsidRPr="00560BC4" w:rsidRDefault="00E83FA2" w:rsidP="00EB6A81">
      <w:pPr>
        <w:jc w:val="right"/>
        <w:rPr>
          <w:bCs/>
          <w:lang w:val="ru-RU"/>
        </w:rPr>
      </w:pPr>
    </w:p>
    <w:p w:rsidR="00B27BCC" w:rsidRPr="00560BC4" w:rsidRDefault="00B27BCC" w:rsidP="00E83FA2">
      <w:pPr>
        <w:pStyle w:val="Heading1"/>
        <w:jc w:val="center"/>
        <w:rPr>
          <w:lang w:val="ru-RU"/>
        </w:rPr>
        <w:sectPr w:rsidR="00B27BCC" w:rsidRPr="00560BC4"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60BC4" w:rsidRDefault="00B27BCC" w:rsidP="00B27BCC">
      <w:pPr>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60BC4" w:rsidTr="00115571">
        <w:trPr>
          <w:trHeight w:val="1145"/>
          <w:jc w:val="center"/>
        </w:trPr>
        <w:tc>
          <w:tcPr>
            <w:tcW w:w="9620" w:type="dxa"/>
            <w:shd w:val="clear" w:color="auto" w:fill="FFFFFF"/>
          </w:tcPr>
          <w:p w:rsidR="00CD30E0" w:rsidRPr="00560BC4" w:rsidRDefault="00CD30E0" w:rsidP="00CD30E0">
            <w:pPr>
              <w:rPr>
                <w:bCs/>
                <w:lang w:val="ru-RU"/>
              </w:rPr>
            </w:pPr>
            <w:r w:rsidRPr="00560BC4">
              <w:rPr>
                <w:b/>
                <w:lang w:val="ru-RU"/>
              </w:rPr>
              <w:t>ЗАЯВЛЕНИЕ ОБ ОГРАНИЧЕННОЙ ОТВЕТСТВЕННОСТИ</w:t>
            </w:r>
          </w:p>
          <w:p w:rsidR="00B27BCC" w:rsidRPr="00ED6921" w:rsidRDefault="00CD30E0" w:rsidP="00CD30E0">
            <w:pPr>
              <w:pStyle w:val="Normalaftertitle"/>
              <w:spacing w:before="160" w:after="160"/>
              <w:rPr>
                <w:b/>
                <w:lang w:val="ru-RU"/>
              </w:rPr>
            </w:pPr>
            <w:r w:rsidRPr="00ED6921">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60BC4" w:rsidRDefault="00B27BCC" w:rsidP="00B27BCC">
      <w:pPr>
        <w:rPr>
          <w:lang w:val="ru-RU"/>
        </w:rPr>
      </w:pPr>
    </w:p>
    <w:p w:rsidR="00747593" w:rsidRPr="00560BC4" w:rsidRDefault="00747593" w:rsidP="00747593">
      <w:pPr>
        <w:pStyle w:val="FigureNotitle"/>
        <w:rPr>
          <w:sz w:val="28"/>
          <w:lang w:val="ru-RU"/>
        </w:rPr>
        <w:sectPr w:rsidR="00747593" w:rsidRPr="00560BC4" w:rsidSect="00F37F01">
          <w:headerReference w:type="even" r:id="rId13"/>
          <w:pgSz w:w="11907" w:h="16840" w:code="9"/>
          <w:pgMar w:top="1418" w:right="1134" w:bottom="1418" w:left="1134" w:header="720" w:footer="720" w:gutter="0"/>
          <w:paperSrc w:first="15" w:other="15"/>
          <w:pgNumType w:fmt="lowerRoman"/>
          <w:cols w:space="720"/>
          <w:vAlign w:val="both"/>
        </w:sectPr>
      </w:pPr>
    </w:p>
    <w:p w:rsidR="00747593" w:rsidRPr="009965E2" w:rsidRDefault="009965E2" w:rsidP="009965E2">
      <w:pPr>
        <w:pStyle w:val="Heading1"/>
        <w:spacing w:after="360"/>
        <w:jc w:val="center"/>
        <w:rPr>
          <w:lang w:val="ru-RU"/>
        </w:rPr>
      </w:pPr>
      <w:bookmarkStart w:id="19" w:name="_Toc258502882"/>
      <w:bookmarkStart w:id="20" w:name="_Toc262718006"/>
      <w:bookmarkStart w:id="21" w:name="_Toc262720018"/>
      <w:bookmarkStart w:id="22" w:name="_Toc262721845"/>
      <w:r w:rsidRPr="009965E2">
        <w:rPr>
          <w:lang w:val="ru-RU"/>
        </w:rPr>
        <w:lastRenderedPageBreak/>
        <w:t>КРАТКОЕ СОДЕРЖАНИЕ</w:t>
      </w:r>
      <w:bookmarkEnd w:id="19"/>
      <w:bookmarkEnd w:id="20"/>
      <w:bookmarkEnd w:id="21"/>
      <w:bookmarkEnd w:id="22"/>
    </w:p>
    <w:p w:rsidR="00747593" w:rsidRPr="00560BC4" w:rsidRDefault="00F10CFB" w:rsidP="0002731C">
      <w:pPr>
        <w:rPr>
          <w:lang w:val="ru-RU"/>
        </w:rPr>
      </w:pPr>
      <w:r w:rsidRPr="00B15914">
        <w:rPr>
          <w:lang w:val="ru-RU"/>
        </w:rPr>
        <w:t>Настоящий вклад представляется в качестве заключительного отчета по Вопросу 10-2/1. Его основу в значительной степени составляют вклады, представленные Группе Докладчика по Вопросу 10</w:t>
      </w:r>
      <w:r w:rsidRPr="00B15914">
        <w:rPr>
          <w:lang w:val="ru-RU"/>
        </w:rPr>
        <w:noBreakHyphen/>
        <w:t xml:space="preserve">2/1, а также Документ 1/123 </w:t>
      </w:r>
      <w:proofErr w:type="spellStart"/>
      <w:r w:rsidRPr="00B15914">
        <w:rPr>
          <w:lang w:val="ru-RU"/>
        </w:rPr>
        <w:t>ИК</w:t>
      </w:r>
      <w:proofErr w:type="gramStart"/>
      <w:r w:rsidRPr="00B15914">
        <w:rPr>
          <w:lang w:val="ru-RU"/>
        </w:rPr>
        <w:t>1</w:t>
      </w:r>
      <w:proofErr w:type="spellEnd"/>
      <w:proofErr w:type="gramEnd"/>
      <w:r w:rsidRPr="00B15914">
        <w:rPr>
          <w:lang w:val="ru-RU"/>
        </w:rPr>
        <w:t xml:space="preserve"> МСЭ-D и информация о лицензировании, содержащаяся во Всемирной базе данных МСЭ по регулированию в области электросвязи. Руководящие указания и принципы были сформулированы и согласованы в ходе собрания Группы До</w:t>
      </w:r>
      <w:r>
        <w:rPr>
          <w:lang w:val="ru-RU"/>
        </w:rPr>
        <w:t xml:space="preserve">кладчика, состоявшегося в </w:t>
      </w:r>
      <w:proofErr w:type="spellStart"/>
      <w:r>
        <w:rPr>
          <w:lang w:val="ru-RU"/>
        </w:rPr>
        <w:t>марте</w:t>
      </w:r>
      <w:r w:rsidRPr="00B15914">
        <w:rPr>
          <w:lang w:val="ru-RU"/>
        </w:rPr>
        <w:noBreakHyphen/>
        <w:t>апреле</w:t>
      </w:r>
      <w:proofErr w:type="spellEnd"/>
      <w:r w:rsidRPr="00B15914">
        <w:rPr>
          <w:lang w:val="ru-RU"/>
        </w:rPr>
        <w:t xml:space="preserve"> 2009 года.</w:t>
      </w: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pStyle w:val="Heading1"/>
        <w:jc w:val="center"/>
        <w:rPr>
          <w:lang w:val="ru-RU"/>
        </w:rPr>
        <w:sectPr w:rsidR="00747593" w:rsidRPr="00560BC4" w:rsidSect="00F37F0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E83FA2" w:rsidRPr="00560BC4" w:rsidRDefault="00B647D7" w:rsidP="0008342F">
      <w:pPr>
        <w:pStyle w:val="Figure"/>
        <w:keepNext w:val="0"/>
        <w:keepLines w:val="0"/>
        <w:spacing w:before="120" w:after="0"/>
        <w:rPr>
          <w:b/>
          <w:bCs/>
          <w:szCs w:val="22"/>
          <w:lang w:val="ru-RU"/>
        </w:rPr>
      </w:pPr>
      <w:r w:rsidRPr="00560BC4">
        <w:rPr>
          <w:b/>
          <w:bCs/>
          <w:szCs w:val="22"/>
          <w:lang w:val="ru-RU"/>
        </w:rPr>
        <w:lastRenderedPageBreak/>
        <w:t>СОДЕРЖАНИЕ</w:t>
      </w:r>
    </w:p>
    <w:p w:rsidR="00096FCD" w:rsidRPr="0002731C" w:rsidRDefault="0008342F" w:rsidP="00B647D7">
      <w:pPr>
        <w:pStyle w:val="Recdate"/>
        <w:keepLines w:val="0"/>
        <w:tabs>
          <w:tab w:val="right" w:pos="9639"/>
        </w:tabs>
        <w:jc w:val="left"/>
        <w:rPr>
          <w:bCs/>
          <w:i w:val="0"/>
          <w:iCs/>
          <w:lang w:val="ru-RU"/>
        </w:rPr>
      </w:pPr>
      <w:r w:rsidRPr="00560BC4">
        <w:rPr>
          <w:iCs/>
          <w:lang w:val="ru-RU"/>
        </w:rPr>
        <w:tab/>
      </w:r>
      <w:r w:rsidR="00B647D7" w:rsidRPr="00D06597">
        <w:rPr>
          <w:b/>
          <w:iCs/>
          <w:lang w:val="ru-RU"/>
        </w:rPr>
        <w:t>Стр</w:t>
      </w:r>
      <w:r w:rsidR="00B647D7" w:rsidRPr="0002731C">
        <w:rPr>
          <w:bCs/>
          <w:iCs/>
          <w:lang w:val="ru-RU"/>
        </w:rPr>
        <w:t>.</w:t>
      </w:r>
    </w:p>
    <w:p w:rsidR="00531E61" w:rsidRDefault="00996C94" w:rsidP="00531E61">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sidRPr="00996C94">
        <w:rPr>
          <w:rStyle w:val="Hyperlink"/>
          <w:noProof/>
        </w:rPr>
        <w:fldChar w:fldCharType="begin"/>
      </w:r>
      <w:r w:rsidR="00F72398" w:rsidRPr="001D7091">
        <w:rPr>
          <w:rStyle w:val="Hyperlink"/>
          <w:noProof/>
        </w:rPr>
        <w:instrText xml:space="preserve"> TOC \o "1-3" \h \z \u </w:instrText>
      </w:r>
      <w:r w:rsidRPr="00996C94">
        <w:rPr>
          <w:rStyle w:val="Hyperlink"/>
          <w:noProof/>
        </w:rPr>
        <w:fldChar w:fldCharType="separate"/>
      </w:r>
      <w:hyperlink w:anchor="_Toc262721846" w:history="1">
        <w:r w:rsidR="00531E61" w:rsidRPr="00CF0406">
          <w:rPr>
            <w:rStyle w:val="Hyperlink"/>
            <w:noProof/>
          </w:rPr>
          <w:t>1</w:t>
        </w:r>
        <w:r w:rsidR="00531E61">
          <w:rPr>
            <w:rFonts w:asciiTheme="minorHAnsi" w:eastAsiaTheme="minorEastAsia" w:hAnsiTheme="minorHAnsi" w:cstheme="minorBidi"/>
            <w:noProof/>
            <w:szCs w:val="22"/>
            <w:lang w:eastAsia="zh-CN"/>
          </w:rPr>
          <w:tab/>
        </w:r>
        <w:r w:rsidR="00531E61" w:rsidRPr="00CF0406">
          <w:rPr>
            <w:rStyle w:val="Hyperlink"/>
            <w:noProof/>
            <w:lang w:val="ru-RU"/>
          </w:rPr>
          <w:t>Введение</w:t>
        </w:r>
        <w:r w:rsidR="00531E61">
          <w:rPr>
            <w:noProof/>
            <w:webHidden/>
          </w:rPr>
          <w:tab/>
        </w:r>
        <w:r w:rsidR="00531E61">
          <w:rPr>
            <w:noProof/>
            <w:webHidden/>
            <w:lang w:val="ru-RU"/>
          </w:rPr>
          <w:tab/>
        </w:r>
        <w:r w:rsidR="00531E61">
          <w:rPr>
            <w:noProof/>
            <w:webHidden/>
          </w:rPr>
          <w:fldChar w:fldCharType="begin"/>
        </w:r>
        <w:r w:rsidR="00531E61">
          <w:rPr>
            <w:noProof/>
            <w:webHidden/>
          </w:rPr>
          <w:instrText xml:space="preserve"> PAGEREF _Toc262721846 \h </w:instrText>
        </w:r>
        <w:r w:rsidR="00531E61">
          <w:rPr>
            <w:noProof/>
            <w:webHidden/>
          </w:rPr>
        </w:r>
        <w:r w:rsidR="00531E61">
          <w:rPr>
            <w:noProof/>
            <w:webHidden/>
          </w:rPr>
          <w:fldChar w:fldCharType="separate"/>
        </w:r>
        <w:r w:rsidR="00531E61">
          <w:rPr>
            <w:noProof/>
            <w:webHidden/>
          </w:rPr>
          <w:t>1</w:t>
        </w:r>
        <w:r w:rsidR="00531E61">
          <w:rPr>
            <w:noProof/>
            <w:webHidden/>
          </w:rPr>
          <w:fldChar w:fldCharType="end"/>
        </w:r>
      </w:hyperlink>
    </w:p>
    <w:p w:rsidR="00531E61" w:rsidRDefault="00531E61" w:rsidP="00531E61">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47" w:history="1">
        <w:r w:rsidRPr="00CF0406">
          <w:rPr>
            <w:rStyle w:val="Hyperlink"/>
            <w:noProof/>
            <w:lang w:val="ru-RU"/>
          </w:rPr>
          <w:t>2</w:t>
        </w:r>
        <w:r>
          <w:rPr>
            <w:rFonts w:asciiTheme="minorHAnsi" w:eastAsiaTheme="minorEastAsia" w:hAnsiTheme="minorHAnsi" w:cstheme="minorBidi"/>
            <w:noProof/>
            <w:szCs w:val="22"/>
            <w:lang w:eastAsia="zh-CN"/>
          </w:rPr>
          <w:tab/>
        </w:r>
        <w:r w:rsidRPr="00CF0406">
          <w:rPr>
            <w:rStyle w:val="Hyperlink"/>
            <w:noProof/>
            <w:lang w:val="ru-RU"/>
          </w:rPr>
          <w:t>Подходы к предоставлению разрешений</w:t>
        </w:r>
        <w:r>
          <w:rPr>
            <w:noProof/>
            <w:webHidden/>
          </w:rPr>
          <w:tab/>
        </w:r>
        <w:r>
          <w:rPr>
            <w:noProof/>
            <w:webHidden/>
            <w:lang w:val="ru-RU"/>
          </w:rPr>
          <w:tab/>
        </w:r>
        <w:r>
          <w:rPr>
            <w:noProof/>
            <w:webHidden/>
          </w:rPr>
          <w:fldChar w:fldCharType="begin"/>
        </w:r>
        <w:r>
          <w:rPr>
            <w:noProof/>
            <w:webHidden/>
          </w:rPr>
          <w:instrText xml:space="preserve"> PAGEREF _Toc262721847 \h </w:instrText>
        </w:r>
        <w:r>
          <w:rPr>
            <w:noProof/>
            <w:webHidden/>
          </w:rPr>
        </w:r>
        <w:r>
          <w:rPr>
            <w:noProof/>
            <w:webHidden/>
          </w:rPr>
          <w:fldChar w:fldCharType="separate"/>
        </w:r>
        <w:r>
          <w:rPr>
            <w:noProof/>
            <w:webHidden/>
          </w:rPr>
          <w:t>3</w:t>
        </w:r>
        <w:r>
          <w:rPr>
            <w:noProof/>
            <w:webHidden/>
          </w:rPr>
          <w:fldChar w:fldCharType="end"/>
        </w:r>
      </w:hyperlink>
    </w:p>
    <w:p w:rsidR="00531E61" w:rsidRDefault="00531E61" w:rsidP="00531E61">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48" w:history="1">
        <w:r w:rsidRPr="00CF0406">
          <w:rPr>
            <w:rStyle w:val="Hyperlink"/>
            <w:noProof/>
            <w:lang w:val="ru-RU"/>
          </w:rPr>
          <w:t>3</w:t>
        </w:r>
        <w:r>
          <w:rPr>
            <w:rFonts w:asciiTheme="minorHAnsi" w:eastAsiaTheme="minorEastAsia" w:hAnsiTheme="minorHAnsi" w:cstheme="minorBidi"/>
            <w:noProof/>
            <w:szCs w:val="22"/>
            <w:lang w:eastAsia="zh-CN"/>
          </w:rPr>
          <w:tab/>
        </w:r>
        <w:r w:rsidRPr="00CF0406">
          <w:rPr>
            <w:rStyle w:val="Hyperlink"/>
            <w:noProof/>
            <w:lang w:val="ru-RU"/>
          </w:rPr>
          <w:t>Обзор законодательных рамок</w:t>
        </w:r>
        <w:r>
          <w:rPr>
            <w:noProof/>
            <w:webHidden/>
          </w:rPr>
          <w:tab/>
        </w:r>
        <w:r>
          <w:rPr>
            <w:noProof/>
            <w:webHidden/>
            <w:lang w:val="ru-RU"/>
          </w:rPr>
          <w:tab/>
        </w:r>
        <w:r>
          <w:rPr>
            <w:noProof/>
            <w:webHidden/>
          </w:rPr>
          <w:fldChar w:fldCharType="begin"/>
        </w:r>
        <w:r>
          <w:rPr>
            <w:noProof/>
            <w:webHidden/>
          </w:rPr>
          <w:instrText xml:space="preserve"> PAGEREF _Toc262721848 \h </w:instrText>
        </w:r>
        <w:r>
          <w:rPr>
            <w:noProof/>
            <w:webHidden/>
          </w:rPr>
        </w:r>
        <w:r>
          <w:rPr>
            <w:noProof/>
            <w:webHidden/>
          </w:rPr>
          <w:fldChar w:fldCharType="separate"/>
        </w:r>
        <w:r>
          <w:rPr>
            <w:noProof/>
            <w:webHidden/>
          </w:rPr>
          <w:t>4</w:t>
        </w:r>
        <w:r>
          <w:rPr>
            <w:noProof/>
            <w:webHidden/>
          </w:rPr>
          <w:fldChar w:fldCharType="end"/>
        </w:r>
      </w:hyperlink>
    </w:p>
    <w:p w:rsidR="00531E61" w:rsidRDefault="00531E61" w:rsidP="00531E61">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49" w:history="1">
        <w:r w:rsidRPr="00CF0406">
          <w:rPr>
            <w:rStyle w:val="Hyperlink"/>
            <w:noProof/>
            <w:lang w:val="ru-RU"/>
          </w:rPr>
          <w:t>3.1</w:t>
        </w:r>
        <w:r>
          <w:rPr>
            <w:rFonts w:asciiTheme="minorHAnsi" w:eastAsiaTheme="minorEastAsia" w:hAnsiTheme="minorHAnsi" w:cstheme="minorBidi"/>
            <w:noProof/>
            <w:szCs w:val="22"/>
            <w:lang w:eastAsia="zh-CN"/>
          </w:rPr>
          <w:tab/>
        </w:r>
        <w:r w:rsidRPr="00CF0406">
          <w:rPr>
            <w:rStyle w:val="Hyperlink"/>
            <w:noProof/>
            <w:lang w:val="ru-RU"/>
          </w:rPr>
          <w:t>Упрощение лицензий</w:t>
        </w:r>
        <w:r>
          <w:rPr>
            <w:noProof/>
            <w:webHidden/>
          </w:rPr>
          <w:tab/>
        </w:r>
        <w:r>
          <w:rPr>
            <w:noProof/>
            <w:webHidden/>
            <w:lang w:val="ru-RU"/>
          </w:rPr>
          <w:tab/>
        </w:r>
        <w:r>
          <w:rPr>
            <w:noProof/>
            <w:webHidden/>
          </w:rPr>
          <w:fldChar w:fldCharType="begin"/>
        </w:r>
        <w:r>
          <w:rPr>
            <w:noProof/>
            <w:webHidden/>
          </w:rPr>
          <w:instrText xml:space="preserve"> PAGEREF _Toc262721849 \h </w:instrText>
        </w:r>
        <w:r>
          <w:rPr>
            <w:noProof/>
            <w:webHidden/>
          </w:rPr>
        </w:r>
        <w:r>
          <w:rPr>
            <w:noProof/>
            <w:webHidden/>
          </w:rPr>
          <w:fldChar w:fldCharType="separate"/>
        </w:r>
        <w:r>
          <w:rPr>
            <w:noProof/>
            <w:webHidden/>
          </w:rPr>
          <w:t>4</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0" w:history="1">
        <w:r w:rsidRPr="00CF0406">
          <w:rPr>
            <w:rStyle w:val="Hyperlink"/>
            <w:noProof/>
            <w:lang w:val="ru-RU"/>
          </w:rPr>
          <w:t>3.1.1</w:t>
        </w:r>
        <w:r>
          <w:rPr>
            <w:rFonts w:asciiTheme="minorHAnsi" w:eastAsiaTheme="minorEastAsia" w:hAnsiTheme="minorHAnsi" w:cstheme="minorBidi"/>
            <w:noProof/>
            <w:szCs w:val="22"/>
            <w:lang w:eastAsia="zh-CN"/>
          </w:rPr>
          <w:tab/>
        </w:r>
        <w:r w:rsidRPr="00CF0406">
          <w:rPr>
            <w:rStyle w:val="Hyperlink"/>
            <w:noProof/>
            <w:lang w:val="ru-RU"/>
          </w:rPr>
          <w:t>Объединение лицензий</w:t>
        </w:r>
        <w:r>
          <w:rPr>
            <w:noProof/>
            <w:webHidden/>
          </w:rPr>
          <w:tab/>
        </w:r>
        <w:r>
          <w:rPr>
            <w:noProof/>
            <w:webHidden/>
            <w:lang w:val="ru-RU"/>
          </w:rPr>
          <w:tab/>
        </w:r>
        <w:r>
          <w:rPr>
            <w:noProof/>
            <w:webHidden/>
          </w:rPr>
          <w:fldChar w:fldCharType="begin"/>
        </w:r>
        <w:r>
          <w:rPr>
            <w:noProof/>
            <w:webHidden/>
          </w:rPr>
          <w:instrText xml:space="preserve"> PAGEREF _Toc262721850 \h </w:instrText>
        </w:r>
        <w:r>
          <w:rPr>
            <w:noProof/>
            <w:webHidden/>
          </w:rPr>
        </w:r>
        <w:r>
          <w:rPr>
            <w:noProof/>
            <w:webHidden/>
          </w:rPr>
          <w:fldChar w:fldCharType="separate"/>
        </w:r>
        <w:r>
          <w:rPr>
            <w:noProof/>
            <w:webHidden/>
          </w:rPr>
          <w:t>4</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1" w:history="1">
        <w:r w:rsidRPr="00CF0406">
          <w:rPr>
            <w:rStyle w:val="Hyperlink"/>
            <w:noProof/>
            <w:lang w:val="ru-RU"/>
          </w:rPr>
          <w:t>3.1.2</w:t>
        </w:r>
        <w:r>
          <w:rPr>
            <w:rFonts w:asciiTheme="minorHAnsi" w:eastAsiaTheme="minorEastAsia" w:hAnsiTheme="minorHAnsi" w:cstheme="minorBidi"/>
            <w:noProof/>
            <w:szCs w:val="22"/>
            <w:lang w:eastAsia="zh-CN"/>
          </w:rPr>
          <w:tab/>
        </w:r>
        <w:r w:rsidRPr="00CF0406">
          <w:rPr>
            <w:rStyle w:val="Hyperlink"/>
            <w:noProof/>
            <w:lang w:val="ru-RU"/>
          </w:rPr>
          <w:t>Единая лицензия</w:t>
        </w:r>
        <w:r>
          <w:rPr>
            <w:noProof/>
            <w:webHidden/>
          </w:rPr>
          <w:tab/>
        </w:r>
        <w:r>
          <w:rPr>
            <w:noProof/>
            <w:webHidden/>
            <w:lang w:val="ru-RU"/>
          </w:rPr>
          <w:tab/>
        </w:r>
        <w:r>
          <w:rPr>
            <w:noProof/>
            <w:webHidden/>
          </w:rPr>
          <w:fldChar w:fldCharType="begin"/>
        </w:r>
        <w:r>
          <w:rPr>
            <w:noProof/>
            <w:webHidden/>
          </w:rPr>
          <w:instrText xml:space="preserve"> PAGEREF _Toc262721851 \h </w:instrText>
        </w:r>
        <w:r>
          <w:rPr>
            <w:noProof/>
            <w:webHidden/>
          </w:rPr>
        </w:r>
        <w:r>
          <w:rPr>
            <w:noProof/>
            <w:webHidden/>
          </w:rPr>
          <w:fldChar w:fldCharType="separate"/>
        </w:r>
        <w:r>
          <w:rPr>
            <w:noProof/>
            <w:webHidden/>
          </w:rPr>
          <w:t>6</w:t>
        </w:r>
        <w:r>
          <w:rPr>
            <w:noProof/>
            <w:webHidden/>
          </w:rPr>
          <w:fldChar w:fldCharType="end"/>
        </w:r>
      </w:hyperlink>
    </w:p>
    <w:p w:rsidR="00531E61" w:rsidRDefault="00531E61" w:rsidP="00531E61">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2" w:history="1">
        <w:r w:rsidRPr="00CF0406">
          <w:rPr>
            <w:rStyle w:val="Hyperlink"/>
            <w:noProof/>
            <w:lang w:val="ru-RU"/>
          </w:rPr>
          <w:t>3.2</w:t>
        </w:r>
        <w:r>
          <w:rPr>
            <w:rFonts w:asciiTheme="minorHAnsi" w:eastAsiaTheme="minorEastAsia" w:hAnsiTheme="minorHAnsi" w:cstheme="minorBidi"/>
            <w:noProof/>
            <w:szCs w:val="22"/>
            <w:lang w:eastAsia="zh-CN"/>
          </w:rPr>
          <w:tab/>
        </w:r>
        <w:r w:rsidRPr="00CF0406">
          <w:rPr>
            <w:rStyle w:val="Hyperlink"/>
            <w:noProof/>
            <w:lang w:val="ru-RU"/>
          </w:rPr>
          <w:t>Сокращение и упразднение административных и формальных требований для получения лицензий</w:t>
        </w:r>
        <w:r>
          <w:rPr>
            <w:noProof/>
            <w:webHidden/>
          </w:rPr>
          <w:tab/>
        </w:r>
        <w:r>
          <w:rPr>
            <w:noProof/>
            <w:webHidden/>
            <w:lang w:val="ru-RU"/>
          </w:rPr>
          <w:tab/>
        </w:r>
        <w:r>
          <w:rPr>
            <w:noProof/>
            <w:webHidden/>
          </w:rPr>
          <w:fldChar w:fldCharType="begin"/>
        </w:r>
        <w:r>
          <w:rPr>
            <w:noProof/>
            <w:webHidden/>
          </w:rPr>
          <w:instrText xml:space="preserve"> PAGEREF _Toc262721852 \h </w:instrText>
        </w:r>
        <w:r>
          <w:rPr>
            <w:noProof/>
            <w:webHidden/>
          </w:rPr>
        </w:r>
        <w:r>
          <w:rPr>
            <w:noProof/>
            <w:webHidden/>
          </w:rPr>
          <w:fldChar w:fldCharType="separate"/>
        </w:r>
        <w:r>
          <w:rPr>
            <w:noProof/>
            <w:webHidden/>
          </w:rPr>
          <w:t>7</w:t>
        </w:r>
        <w:r>
          <w:rPr>
            <w:noProof/>
            <w:webHidden/>
          </w:rPr>
          <w:fldChar w:fldCharType="end"/>
        </w:r>
      </w:hyperlink>
    </w:p>
    <w:p w:rsidR="00531E61" w:rsidRDefault="00531E61" w:rsidP="00531E61">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3" w:history="1">
        <w:r w:rsidRPr="00CF0406">
          <w:rPr>
            <w:rStyle w:val="Hyperlink"/>
            <w:noProof/>
            <w:lang w:val="ru-RU"/>
          </w:rPr>
          <w:t>4</w:t>
        </w:r>
        <w:r>
          <w:rPr>
            <w:rFonts w:asciiTheme="minorHAnsi" w:eastAsiaTheme="minorEastAsia" w:hAnsiTheme="minorHAnsi" w:cstheme="minorBidi"/>
            <w:noProof/>
            <w:szCs w:val="22"/>
            <w:lang w:eastAsia="zh-CN"/>
          </w:rPr>
          <w:tab/>
        </w:r>
        <w:r w:rsidRPr="00CF0406">
          <w:rPr>
            <w:rStyle w:val="Hyperlink"/>
            <w:noProof/>
            <w:lang w:val="ru-RU"/>
          </w:rPr>
          <w:t>Оценка опыта работы регуляторных органов в области электросвязи и конкуренции</w:t>
        </w:r>
        <w:r>
          <w:rPr>
            <w:noProof/>
            <w:webHidden/>
          </w:rPr>
          <w:tab/>
        </w:r>
        <w:r>
          <w:rPr>
            <w:noProof/>
            <w:webHidden/>
            <w:lang w:val="ru-RU"/>
          </w:rPr>
          <w:tab/>
        </w:r>
        <w:r>
          <w:rPr>
            <w:noProof/>
            <w:webHidden/>
          </w:rPr>
          <w:fldChar w:fldCharType="begin"/>
        </w:r>
        <w:r>
          <w:rPr>
            <w:noProof/>
            <w:webHidden/>
          </w:rPr>
          <w:instrText xml:space="preserve"> PAGEREF _Toc262721853 \h </w:instrText>
        </w:r>
        <w:r>
          <w:rPr>
            <w:noProof/>
            <w:webHidden/>
          </w:rPr>
        </w:r>
        <w:r>
          <w:rPr>
            <w:noProof/>
            <w:webHidden/>
          </w:rPr>
          <w:fldChar w:fldCharType="separate"/>
        </w:r>
        <w:r>
          <w:rPr>
            <w:noProof/>
            <w:webHidden/>
          </w:rPr>
          <w:t>9</w:t>
        </w:r>
        <w:r>
          <w:rPr>
            <w:noProof/>
            <w:webHidden/>
          </w:rPr>
          <w:fldChar w:fldCharType="end"/>
        </w:r>
      </w:hyperlink>
    </w:p>
    <w:p w:rsidR="00531E61" w:rsidRDefault="00531E61" w:rsidP="00531E61">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4" w:history="1">
        <w:r w:rsidRPr="00CF0406">
          <w:rPr>
            <w:rStyle w:val="Hyperlink"/>
            <w:noProof/>
            <w:lang w:val="ru-RU"/>
          </w:rPr>
          <w:t>4.1</w:t>
        </w:r>
        <w:r>
          <w:rPr>
            <w:rFonts w:asciiTheme="minorHAnsi" w:eastAsiaTheme="minorEastAsia" w:hAnsiTheme="minorHAnsi" w:cstheme="minorBidi"/>
            <w:noProof/>
            <w:szCs w:val="22"/>
            <w:lang w:eastAsia="zh-CN"/>
          </w:rPr>
          <w:tab/>
        </w:r>
        <w:r w:rsidRPr="00CF0406">
          <w:rPr>
            <w:rStyle w:val="Hyperlink"/>
            <w:noProof/>
            <w:lang w:val="ru-RU"/>
          </w:rPr>
          <w:t>Опыт лицензирования в условиях конвергенции</w:t>
        </w:r>
        <w:r>
          <w:rPr>
            <w:noProof/>
            <w:webHidden/>
          </w:rPr>
          <w:tab/>
        </w:r>
        <w:r>
          <w:rPr>
            <w:noProof/>
            <w:webHidden/>
            <w:lang w:val="ru-RU"/>
          </w:rPr>
          <w:tab/>
        </w:r>
        <w:r>
          <w:rPr>
            <w:noProof/>
            <w:webHidden/>
          </w:rPr>
          <w:fldChar w:fldCharType="begin"/>
        </w:r>
        <w:r>
          <w:rPr>
            <w:noProof/>
            <w:webHidden/>
          </w:rPr>
          <w:instrText xml:space="preserve"> PAGEREF _Toc262721854 \h </w:instrText>
        </w:r>
        <w:r>
          <w:rPr>
            <w:noProof/>
            <w:webHidden/>
          </w:rPr>
        </w:r>
        <w:r>
          <w:rPr>
            <w:noProof/>
            <w:webHidden/>
          </w:rPr>
          <w:fldChar w:fldCharType="separate"/>
        </w:r>
        <w:r>
          <w:rPr>
            <w:noProof/>
            <w:webHidden/>
          </w:rPr>
          <w:t>9</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5" w:history="1">
        <w:r w:rsidRPr="00CF0406">
          <w:rPr>
            <w:rStyle w:val="Hyperlink"/>
            <w:noProof/>
            <w:lang w:val="ru-RU"/>
          </w:rPr>
          <w:t>4.1.1</w:t>
        </w:r>
        <w:r>
          <w:rPr>
            <w:rFonts w:asciiTheme="minorHAnsi" w:eastAsiaTheme="minorEastAsia" w:hAnsiTheme="minorHAnsi" w:cstheme="minorBidi"/>
            <w:noProof/>
            <w:szCs w:val="22"/>
            <w:lang w:eastAsia="zh-CN"/>
          </w:rPr>
          <w:tab/>
        </w:r>
        <w:r w:rsidRPr="00CF0406">
          <w:rPr>
            <w:rStyle w:val="Hyperlink"/>
            <w:noProof/>
            <w:lang w:val="ru-RU"/>
          </w:rPr>
          <w:t>Демократическая Республика Конго</w:t>
        </w:r>
        <w:r>
          <w:rPr>
            <w:noProof/>
            <w:webHidden/>
          </w:rPr>
          <w:tab/>
        </w:r>
        <w:r>
          <w:rPr>
            <w:noProof/>
            <w:webHidden/>
            <w:lang w:val="ru-RU"/>
          </w:rPr>
          <w:tab/>
        </w:r>
        <w:r>
          <w:rPr>
            <w:noProof/>
            <w:webHidden/>
          </w:rPr>
          <w:fldChar w:fldCharType="begin"/>
        </w:r>
        <w:r>
          <w:rPr>
            <w:noProof/>
            <w:webHidden/>
          </w:rPr>
          <w:instrText xml:space="preserve"> PAGEREF _Toc262721855 \h </w:instrText>
        </w:r>
        <w:r>
          <w:rPr>
            <w:noProof/>
            <w:webHidden/>
          </w:rPr>
        </w:r>
        <w:r>
          <w:rPr>
            <w:noProof/>
            <w:webHidden/>
          </w:rPr>
          <w:fldChar w:fldCharType="separate"/>
        </w:r>
        <w:r>
          <w:rPr>
            <w:noProof/>
            <w:webHidden/>
          </w:rPr>
          <w:t>9</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6" w:history="1">
        <w:r w:rsidRPr="00CF0406">
          <w:rPr>
            <w:rStyle w:val="Hyperlink"/>
            <w:noProof/>
            <w:lang w:val="ru-RU"/>
          </w:rPr>
          <w:t>4.1.2</w:t>
        </w:r>
        <w:r>
          <w:rPr>
            <w:rFonts w:asciiTheme="minorHAnsi" w:eastAsiaTheme="minorEastAsia" w:hAnsiTheme="minorHAnsi" w:cstheme="minorBidi"/>
            <w:noProof/>
            <w:szCs w:val="22"/>
            <w:lang w:eastAsia="zh-CN"/>
          </w:rPr>
          <w:tab/>
        </w:r>
        <w:r w:rsidRPr="00CF0406">
          <w:rPr>
            <w:rStyle w:val="Hyperlink"/>
            <w:noProof/>
            <w:lang w:val="ru-RU"/>
          </w:rPr>
          <w:t>Республика Гвинея</w:t>
        </w:r>
        <w:r>
          <w:rPr>
            <w:noProof/>
            <w:webHidden/>
          </w:rPr>
          <w:tab/>
        </w:r>
        <w:r>
          <w:rPr>
            <w:noProof/>
            <w:webHidden/>
            <w:lang w:val="ru-RU"/>
          </w:rPr>
          <w:tab/>
        </w:r>
        <w:r>
          <w:rPr>
            <w:noProof/>
            <w:webHidden/>
          </w:rPr>
          <w:fldChar w:fldCharType="begin"/>
        </w:r>
        <w:r>
          <w:rPr>
            <w:noProof/>
            <w:webHidden/>
          </w:rPr>
          <w:instrText xml:space="preserve"> PAGEREF _Toc262721856 \h </w:instrText>
        </w:r>
        <w:r>
          <w:rPr>
            <w:noProof/>
            <w:webHidden/>
          </w:rPr>
        </w:r>
        <w:r>
          <w:rPr>
            <w:noProof/>
            <w:webHidden/>
          </w:rPr>
          <w:fldChar w:fldCharType="separate"/>
        </w:r>
        <w:r>
          <w:rPr>
            <w:noProof/>
            <w:webHidden/>
          </w:rPr>
          <w:t>10</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7" w:history="1">
        <w:r w:rsidRPr="00CF0406">
          <w:rPr>
            <w:rStyle w:val="Hyperlink"/>
            <w:noProof/>
            <w:lang w:val="ru-RU"/>
          </w:rPr>
          <w:t>4.1.3</w:t>
        </w:r>
        <w:r>
          <w:rPr>
            <w:rFonts w:asciiTheme="minorHAnsi" w:eastAsiaTheme="minorEastAsia" w:hAnsiTheme="minorHAnsi" w:cstheme="minorBidi"/>
            <w:noProof/>
            <w:szCs w:val="22"/>
            <w:lang w:eastAsia="zh-CN"/>
          </w:rPr>
          <w:tab/>
        </w:r>
        <w:r w:rsidRPr="00CF0406">
          <w:rPr>
            <w:rStyle w:val="Hyperlink"/>
            <w:noProof/>
            <w:lang w:val="ru-RU"/>
          </w:rPr>
          <w:t>Республика Корея</w:t>
        </w:r>
        <w:r>
          <w:rPr>
            <w:noProof/>
            <w:webHidden/>
          </w:rPr>
          <w:tab/>
        </w:r>
        <w:r>
          <w:rPr>
            <w:noProof/>
            <w:webHidden/>
            <w:lang w:val="ru-RU"/>
          </w:rPr>
          <w:tab/>
        </w:r>
        <w:r>
          <w:rPr>
            <w:noProof/>
            <w:webHidden/>
          </w:rPr>
          <w:fldChar w:fldCharType="begin"/>
        </w:r>
        <w:r>
          <w:rPr>
            <w:noProof/>
            <w:webHidden/>
          </w:rPr>
          <w:instrText xml:space="preserve"> PAGEREF _Toc262721857 \h </w:instrText>
        </w:r>
        <w:r>
          <w:rPr>
            <w:noProof/>
            <w:webHidden/>
          </w:rPr>
        </w:r>
        <w:r>
          <w:rPr>
            <w:noProof/>
            <w:webHidden/>
          </w:rPr>
          <w:fldChar w:fldCharType="separate"/>
        </w:r>
        <w:r>
          <w:rPr>
            <w:noProof/>
            <w:webHidden/>
          </w:rPr>
          <w:t>10</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8" w:history="1">
        <w:r w:rsidRPr="00CF0406">
          <w:rPr>
            <w:rStyle w:val="Hyperlink"/>
            <w:noProof/>
            <w:lang w:val="ru-RU"/>
          </w:rPr>
          <w:t>4.1.4</w:t>
        </w:r>
        <w:r>
          <w:rPr>
            <w:rFonts w:asciiTheme="minorHAnsi" w:eastAsiaTheme="minorEastAsia" w:hAnsiTheme="minorHAnsi" w:cstheme="minorBidi"/>
            <w:noProof/>
            <w:szCs w:val="22"/>
            <w:lang w:eastAsia="zh-CN"/>
          </w:rPr>
          <w:tab/>
        </w:r>
        <w:r w:rsidRPr="00CF0406">
          <w:rPr>
            <w:rStyle w:val="Hyperlink"/>
            <w:noProof/>
            <w:lang w:val="ru-RU"/>
          </w:rPr>
          <w:t>Лихтенштейн</w:t>
        </w:r>
        <w:r>
          <w:rPr>
            <w:noProof/>
            <w:webHidden/>
          </w:rPr>
          <w:tab/>
        </w:r>
        <w:r>
          <w:rPr>
            <w:noProof/>
            <w:webHidden/>
            <w:lang w:val="ru-RU"/>
          </w:rPr>
          <w:tab/>
        </w:r>
        <w:r>
          <w:rPr>
            <w:noProof/>
            <w:webHidden/>
          </w:rPr>
          <w:fldChar w:fldCharType="begin"/>
        </w:r>
        <w:r>
          <w:rPr>
            <w:noProof/>
            <w:webHidden/>
          </w:rPr>
          <w:instrText xml:space="preserve"> PAGEREF _Toc262721858 \h </w:instrText>
        </w:r>
        <w:r>
          <w:rPr>
            <w:noProof/>
            <w:webHidden/>
          </w:rPr>
        </w:r>
        <w:r>
          <w:rPr>
            <w:noProof/>
            <w:webHidden/>
          </w:rPr>
          <w:fldChar w:fldCharType="separate"/>
        </w:r>
        <w:r>
          <w:rPr>
            <w:noProof/>
            <w:webHidden/>
          </w:rPr>
          <w:t>12</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59" w:history="1">
        <w:r w:rsidRPr="00CF0406">
          <w:rPr>
            <w:rStyle w:val="Hyperlink"/>
            <w:noProof/>
            <w:lang w:val="ru-RU"/>
          </w:rPr>
          <w:t>4.1.5</w:t>
        </w:r>
        <w:r>
          <w:rPr>
            <w:rFonts w:asciiTheme="minorHAnsi" w:eastAsiaTheme="minorEastAsia" w:hAnsiTheme="minorHAnsi" w:cstheme="minorBidi"/>
            <w:noProof/>
            <w:szCs w:val="22"/>
            <w:lang w:eastAsia="zh-CN"/>
          </w:rPr>
          <w:tab/>
        </w:r>
        <w:r w:rsidRPr="00CF0406">
          <w:rPr>
            <w:rStyle w:val="Hyperlink"/>
            <w:noProof/>
            <w:lang w:val="ru-RU"/>
          </w:rPr>
          <w:t>Литва</w:t>
        </w:r>
        <w:r>
          <w:rPr>
            <w:noProof/>
            <w:webHidden/>
          </w:rPr>
          <w:tab/>
        </w:r>
        <w:r>
          <w:rPr>
            <w:noProof/>
            <w:webHidden/>
            <w:lang w:val="ru-RU"/>
          </w:rPr>
          <w:tab/>
        </w:r>
        <w:r>
          <w:rPr>
            <w:noProof/>
            <w:webHidden/>
          </w:rPr>
          <w:fldChar w:fldCharType="begin"/>
        </w:r>
        <w:r>
          <w:rPr>
            <w:noProof/>
            <w:webHidden/>
          </w:rPr>
          <w:instrText xml:space="preserve"> PAGEREF _Toc262721859 \h </w:instrText>
        </w:r>
        <w:r>
          <w:rPr>
            <w:noProof/>
            <w:webHidden/>
          </w:rPr>
        </w:r>
        <w:r>
          <w:rPr>
            <w:noProof/>
            <w:webHidden/>
          </w:rPr>
          <w:fldChar w:fldCharType="separate"/>
        </w:r>
        <w:r>
          <w:rPr>
            <w:noProof/>
            <w:webHidden/>
          </w:rPr>
          <w:t>12</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0" w:history="1">
        <w:r w:rsidRPr="00CF0406">
          <w:rPr>
            <w:rStyle w:val="Hyperlink"/>
            <w:noProof/>
            <w:lang w:val="ru-RU"/>
          </w:rPr>
          <w:t>4.1.6</w:t>
        </w:r>
        <w:r>
          <w:rPr>
            <w:rFonts w:asciiTheme="minorHAnsi" w:eastAsiaTheme="minorEastAsia" w:hAnsiTheme="minorHAnsi" w:cstheme="minorBidi"/>
            <w:noProof/>
            <w:szCs w:val="22"/>
            <w:lang w:eastAsia="zh-CN"/>
          </w:rPr>
          <w:tab/>
        </w:r>
        <w:r w:rsidRPr="00CF0406">
          <w:rPr>
            <w:rStyle w:val="Hyperlink"/>
            <w:noProof/>
            <w:lang w:val="ru-RU"/>
          </w:rPr>
          <w:t>Танзания</w:t>
        </w:r>
        <w:r>
          <w:rPr>
            <w:noProof/>
            <w:webHidden/>
          </w:rPr>
          <w:tab/>
        </w:r>
        <w:r>
          <w:rPr>
            <w:noProof/>
            <w:webHidden/>
            <w:lang w:val="ru-RU"/>
          </w:rPr>
          <w:tab/>
        </w:r>
        <w:r>
          <w:rPr>
            <w:noProof/>
            <w:webHidden/>
          </w:rPr>
          <w:fldChar w:fldCharType="begin"/>
        </w:r>
        <w:r>
          <w:rPr>
            <w:noProof/>
            <w:webHidden/>
          </w:rPr>
          <w:instrText xml:space="preserve"> PAGEREF _Toc262721860 \h </w:instrText>
        </w:r>
        <w:r>
          <w:rPr>
            <w:noProof/>
            <w:webHidden/>
          </w:rPr>
        </w:r>
        <w:r>
          <w:rPr>
            <w:noProof/>
            <w:webHidden/>
          </w:rPr>
          <w:fldChar w:fldCharType="separate"/>
        </w:r>
        <w:r>
          <w:rPr>
            <w:noProof/>
            <w:webHidden/>
          </w:rPr>
          <w:t>13</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1" w:history="1">
        <w:r w:rsidRPr="00CF0406">
          <w:rPr>
            <w:rStyle w:val="Hyperlink"/>
            <w:noProof/>
          </w:rPr>
          <w:t>4.1.7</w:t>
        </w:r>
        <w:r>
          <w:rPr>
            <w:rFonts w:asciiTheme="minorHAnsi" w:eastAsiaTheme="minorEastAsia" w:hAnsiTheme="minorHAnsi" w:cstheme="minorBidi"/>
            <w:noProof/>
            <w:szCs w:val="22"/>
            <w:lang w:eastAsia="zh-CN"/>
          </w:rPr>
          <w:tab/>
        </w:r>
        <w:r w:rsidRPr="00CF0406">
          <w:rPr>
            <w:rStyle w:val="Hyperlink"/>
            <w:noProof/>
          </w:rPr>
          <w:t>Соединенное Королевство</w:t>
        </w:r>
        <w:r>
          <w:rPr>
            <w:noProof/>
            <w:webHidden/>
          </w:rPr>
          <w:tab/>
        </w:r>
        <w:r>
          <w:rPr>
            <w:noProof/>
            <w:webHidden/>
            <w:lang w:val="ru-RU"/>
          </w:rPr>
          <w:tab/>
        </w:r>
        <w:r>
          <w:rPr>
            <w:noProof/>
            <w:webHidden/>
          </w:rPr>
          <w:fldChar w:fldCharType="begin"/>
        </w:r>
        <w:r>
          <w:rPr>
            <w:noProof/>
            <w:webHidden/>
          </w:rPr>
          <w:instrText xml:space="preserve"> PAGEREF _Toc262721861 \h </w:instrText>
        </w:r>
        <w:r>
          <w:rPr>
            <w:noProof/>
            <w:webHidden/>
          </w:rPr>
        </w:r>
        <w:r>
          <w:rPr>
            <w:noProof/>
            <w:webHidden/>
          </w:rPr>
          <w:fldChar w:fldCharType="separate"/>
        </w:r>
        <w:r>
          <w:rPr>
            <w:noProof/>
            <w:webHidden/>
          </w:rPr>
          <w:t>15</w:t>
        </w:r>
        <w:r>
          <w:rPr>
            <w:noProof/>
            <w:webHidden/>
          </w:rPr>
          <w:fldChar w:fldCharType="end"/>
        </w:r>
      </w:hyperlink>
    </w:p>
    <w:p w:rsidR="00531E61" w:rsidRDefault="00531E61" w:rsidP="00531E61">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2" w:history="1">
        <w:r w:rsidRPr="00CF0406">
          <w:rPr>
            <w:rStyle w:val="Hyperlink"/>
            <w:noProof/>
          </w:rPr>
          <w:t>4.2</w:t>
        </w:r>
        <w:r>
          <w:rPr>
            <w:rFonts w:asciiTheme="minorHAnsi" w:eastAsiaTheme="minorEastAsia" w:hAnsiTheme="minorHAnsi" w:cstheme="minorBidi"/>
            <w:noProof/>
            <w:szCs w:val="22"/>
            <w:lang w:eastAsia="zh-CN"/>
          </w:rPr>
          <w:tab/>
        </w:r>
        <w:r w:rsidRPr="00CF0406">
          <w:rPr>
            <w:rStyle w:val="Hyperlink"/>
            <w:noProof/>
          </w:rPr>
          <w:t>Планы на будущее в отношении лицензирования конвергирующих услуг</w:t>
        </w:r>
        <w:r>
          <w:rPr>
            <w:noProof/>
            <w:webHidden/>
          </w:rPr>
          <w:tab/>
        </w:r>
        <w:r>
          <w:rPr>
            <w:noProof/>
            <w:webHidden/>
            <w:lang w:val="ru-RU"/>
          </w:rPr>
          <w:tab/>
        </w:r>
        <w:r>
          <w:rPr>
            <w:noProof/>
            <w:webHidden/>
          </w:rPr>
          <w:fldChar w:fldCharType="begin"/>
        </w:r>
        <w:r>
          <w:rPr>
            <w:noProof/>
            <w:webHidden/>
          </w:rPr>
          <w:instrText xml:space="preserve"> PAGEREF _Toc262721862 \h </w:instrText>
        </w:r>
        <w:r>
          <w:rPr>
            <w:noProof/>
            <w:webHidden/>
          </w:rPr>
        </w:r>
        <w:r>
          <w:rPr>
            <w:noProof/>
            <w:webHidden/>
          </w:rPr>
          <w:fldChar w:fldCharType="separate"/>
        </w:r>
        <w:r>
          <w:rPr>
            <w:noProof/>
            <w:webHidden/>
          </w:rPr>
          <w:t>15</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3" w:history="1">
        <w:r w:rsidRPr="00CF0406">
          <w:rPr>
            <w:rStyle w:val="Hyperlink"/>
            <w:noProof/>
          </w:rPr>
          <w:t>4.2.1</w:t>
        </w:r>
        <w:r>
          <w:rPr>
            <w:rFonts w:asciiTheme="minorHAnsi" w:eastAsiaTheme="minorEastAsia" w:hAnsiTheme="minorHAnsi" w:cstheme="minorBidi"/>
            <w:noProof/>
            <w:szCs w:val="22"/>
            <w:lang w:eastAsia="zh-CN"/>
          </w:rPr>
          <w:tab/>
        </w:r>
        <w:r w:rsidRPr="00CF0406">
          <w:rPr>
            <w:rStyle w:val="Hyperlink"/>
            <w:noProof/>
          </w:rPr>
          <w:t>Бангладеш</w:t>
        </w:r>
        <w:r>
          <w:rPr>
            <w:noProof/>
            <w:webHidden/>
          </w:rPr>
          <w:tab/>
        </w:r>
        <w:r>
          <w:rPr>
            <w:noProof/>
            <w:webHidden/>
            <w:lang w:val="ru-RU"/>
          </w:rPr>
          <w:tab/>
        </w:r>
        <w:r>
          <w:rPr>
            <w:noProof/>
            <w:webHidden/>
          </w:rPr>
          <w:fldChar w:fldCharType="begin"/>
        </w:r>
        <w:r>
          <w:rPr>
            <w:noProof/>
            <w:webHidden/>
          </w:rPr>
          <w:instrText xml:space="preserve"> PAGEREF _Toc262721863 \h </w:instrText>
        </w:r>
        <w:r>
          <w:rPr>
            <w:noProof/>
            <w:webHidden/>
          </w:rPr>
        </w:r>
        <w:r>
          <w:rPr>
            <w:noProof/>
            <w:webHidden/>
          </w:rPr>
          <w:fldChar w:fldCharType="separate"/>
        </w:r>
        <w:r>
          <w:rPr>
            <w:noProof/>
            <w:webHidden/>
          </w:rPr>
          <w:t>15</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4" w:history="1">
        <w:r w:rsidRPr="00CF0406">
          <w:rPr>
            <w:rStyle w:val="Hyperlink"/>
            <w:noProof/>
          </w:rPr>
          <w:t>4.2.2</w:t>
        </w:r>
        <w:r>
          <w:rPr>
            <w:rFonts w:asciiTheme="minorHAnsi" w:eastAsiaTheme="minorEastAsia" w:hAnsiTheme="minorHAnsi" w:cstheme="minorBidi"/>
            <w:noProof/>
            <w:szCs w:val="22"/>
            <w:lang w:eastAsia="zh-CN"/>
          </w:rPr>
          <w:tab/>
        </w:r>
        <w:r w:rsidRPr="00CF0406">
          <w:rPr>
            <w:rStyle w:val="Hyperlink"/>
            <w:noProof/>
          </w:rPr>
          <w:t>Камерун</w:t>
        </w:r>
        <w:r>
          <w:rPr>
            <w:noProof/>
            <w:webHidden/>
          </w:rPr>
          <w:tab/>
        </w:r>
        <w:r>
          <w:rPr>
            <w:noProof/>
            <w:webHidden/>
            <w:lang w:val="ru-RU"/>
          </w:rPr>
          <w:tab/>
        </w:r>
        <w:r>
          <w:rPr>
            <w:noProof/>
            <w:webHidden/>
          </w:rPr>
          <w:fldChar w:fldCharType="begin"/>
        </w:r>
        <w:r>
          <w:rPr>
            <w:noProof/>
            <w:webHidden/>
          </w:rPr>
          <w:instrText xml:space="preserve"> PAGEREF _Toc262721864 \h </w:instrText>
        </w:r>
        <w:r>
          <w:rPr>
            <w:noProof/>
            <w:webHidden/>
          </w:rPr>
        </w:r>
        <w:r>
          <w:rPr>
            <w:noProof/>
            <w:webHidden/>
          </w:rPr>
          <w:fldChar w:fldCharType="separate"/>
        </w:r>
        <w:r>
          <w:rPr>
            <w:noProof/>
            <w:webHidden/>
          </w:rPr>
          <w:t>16</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5" w:history="1">
        <w:r w:rsidRPr="00CF0406">
          <w:rPr>
            <w:rStyle w:val="Hyperlink"/>
            <w:noProof/>
          </w:rPr>
          <w:t>4.2.3</w:t>
        </w:r>
        <w:r>
          <w:rPr>
            <w:rFonts w:asciiTheme="minorHAnsi" w:eastAsiaTheme="minorEastAsia" w:hAnsiTheme="minorHAnsi" w:cstheme="minorBidi"/>
            <w:noProof/>
            <w:szCs w:val="22"/>
            <w:lang w:eastAsia="zh-CN"/>
          </w:rPr>
          <w:tab/>
        </w:r>
        <w:r w:rsidRPr="00CF0406">
          <w:rPr>
            <w:rStyle w:val="Hyperlink"/>
            <w:noProof/>
          </w:rPr>
          <w:t>Китай</w:t>
        </w:r>
        <w:r>
          <w:rPr>
            <w:noProof/>
            <w:webHidden/>
          </w:rPr>
          <w:tab/>
        </w:r>
        <w:r>
          <w:rPr>
            <w:noProof/>
            <w:webHidden/>
            <w:lang w:val="ru-RU"/>
          </w:rPr>
          <w:tab/>
        </w:r>
        <w:r>
          <w:rPr>
            <w:noProof/>
            <w:webHidden/>
          </w:rPr>
          <w:fldChar w:fldCharType="begin"/>
        </w:r>
        <w:r>
          <w:rPr>
            <w:noProof/>
            <w:webHidden/>
          </w:rPr>
          <w:instrText xml:space="preserve"> PAGEREF _Toc262721865 \h </w:instrText>
        </w:r>
        <w:r>
          <w:rPr>
            <w:noProof/>
            <w:webHidden/>
          </w:rPr>
        </w:r>
        <w:r>
          <w:rPr>
            <w:noProof/>
            <w:webHidden/>
          </w:rPr>
          <w:fldChar w:fldCharType="separate"/>
        </w:r>
        <w:r>
          <w:rPr>
            <w:noProof/>
            <w:webHidden/>
          </w:rPr>
          <w:t>16</w:t>
        </w:r>
        <w:r>
          <w:rPr>
            <w:noProof/>
            <w:webHidden/>
          </w:rPr>
          <w:fldChar w:fldCharType="end"/>
        </w:r>
      </w:hyperlink>
    </w:p>
    <w:p w:rsidR="00531E61" w:rsidRDefault="00531E61" w:rsidP="00531E61">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6" w:history="1">
        <w:r w:rsidRPr="00CF0406">
          <w:rPr>
            <w:rStyle w:val="Hyperlink"/>
            <w:noProof/>
          </w:rPr>
          <w:t>4.2.4</w:t>
        </w:r>
        <w:r>
          <w:rPr>
            <w:rFonts w:asciiTheme="minorHAnsi" w:eastAsiaTheme="minorEastAsia" w:hAnsiTheme="minorHAnsi" w:cstheme="minorBidi"/>
            <w:noProof/>
            <w:szCs w:val="22"/>
            <w:lang w:eastAsia="zh-CN"/>
          </w:rPr>
          <w:tab/>
        </w:r>
        <w:r w:rsidRPr="00CF0406">
          <w:rPr>
            <w:rStyle w:val="Hyperlink"/>
            <w:noProof/>
          </w:rPr>
          <w:t>Непал</w:t>
        </w:r>
        <w:r>
          <w:rPr>
            <w:noProof/>
            <w:webHidden/>
          </w:rPr>
          <w:tab/>
        </w:r>
        <w:r>
          <w:rPr>
            <w:noProof/>
            <w:webHidden/>
            <w:lang w:val="ru-RU"/>
          </w:rPr>
          <w:tab/>
        </w:r>
        <w:r>
          <w:rPr>
            <w:noProof/>
            <w:webHidden/>
          </w:rPr>
          <w:fldChar w:fldCharType="begin"/>
        </w:r>
        <w:r>
          <w:rPr>
            <w:noProof/>
            <w:webHidden/>
          </w:rPr>
          <w:instrText xml:space="preserve"> PAGEREF _Toc262721866 \h </w:instrText>
        </w:r>
        <w:r>
          <w:rPr>
            <w:noProof/>
            <w:webHidden/>
          </w:rPr>
        </w:r>
        <w:r>
          <w:rPr>
            <w:noProof/>
            <w:webHidden/>
          </w:rPr>
          <w:fldChar w:fldCharType="separate"/>
        </w:r>
        <w:r>
          <w:rPr>
            <w:noProof/>
            <w:webHidden/>
          </w:rPr>
          <w:t>17</w:t>
        </w:r>
        <w:r>
          <w:rPr>
            <w:noProof/>
            <w:webHidden/>
          </w:rPr>
          <w:fldChar w:fldCharType="end"/>
        </w:r>
      </w:hyperlink>
    </w:p>
    <w:p w:rsidR="00531E61" w:rsidRDefault="00531E61" w:rsidP="00531E61">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21867" w:history="1">
        <w:r w:rsidRPr="00CF0406">
          <w:rPr>
            <w:rStyle w:val="Hyperlink"/>
            <w:noProof/>
          </w:rPr>
          <w:t>5</w:t>
        </w:r>
        <w:r>
          <w:rPr>
            <w:rFonts w:asciiTheme="minorHAnsi" w:eastAsiaTheme="minorEastAsia" w:hAnsiTheme="minorHAnsi" w:cstheme="minorBidi"/>
            <w:noProof/>
            <w:szCs w:val="22"/>
            <w:lang w:eastAsia="zh-CN"/>
          </w:rPr>
          <w:tab/>
        </w:r>
        <w:r w:rsidRPr="00CF0406">
          <w:rPr>
            <w:rStyle w:val="Hyperlink"/>
            <w:noProof/>
          </w:rPr>
          <w:t>Руководящие указания и рекомендации</w:t>
        </w:r>
        <w:r>
          <w:rPr>
            <w:noProof/>
            <w:webHidden/>
          </w:rPr>
          <w:tab/>
        </w:r>
        <w:r>
          <w:rPr>
            <w:noProof/>
            <w:webHidden/>
            <w:lang w:val="ru-RU"/>
          </w:rPr>
          <w:tab/>
        </w:r>
        <w:r>
          <w:rPr>
            <w:noProof/>
            <w:webHidden/>
          </w:rPr>
          <w:fldChar w:fldCharType="begin"/>
        </w:r>
        <w:r>
          <w:rPr>
            <w:noProof/>
            <w:webHidden/>
          </w:rPr>
          <w:instrText xml:space="preserve"> PAGEREF _Toc262721867 \h </w:instrText>
        </w:r>
        <w:r>
          <w:rPr>
            <w:noProof/>
            <w:webHidden/>
          </w:rPr>
        </w:r>
        <w:r>
          <w:rPr>
            <w:noProof/>
            <w:webHidden/>
          </w:rPr>
          <w:fldChar w:fldCharType="separate"/>
        </w:r>
        <w:r>
          <w:rPr>
            <w:noProof/>
            <w:webHidden/>
          </w:rPr>
          <w:t>17</w:t>
        </w:r>
        <w:r>
          <w:rPr>
            <w:noProof/>
            <w:webHidden/>
          </w:rPr>
          <w:fldChar w:fldCharType="end"/>
        </w:r>
      </w:hyperlink>
    </w:p>
    <w:p w:rsidR="00096FCD" w:rsidRPr="00560BC4" w:rsidRDefault="00996C94" w:rsidP="00531E61">
      <w:pPr>
        <w:pStyle w:val="TOC1"/>
        <w:tabs>
          <w:tab w:val="clear" w:pos="8789"/>
          <w:tab w:val="clear" w:pos="9214"/>
          <w:tab w:val="left" w:leader="dot" w:pos="9072"/>
          <w:tab w:val="right" w:pos="9639"/>
        </w:tabs>
        <w:ind w:right="708"/>
        <w:rPr>
          <w:rFonts w:eastAsia="SimSun"/>
          <w:webHidden/>
          <w:sz w:val="24"/>
          <w:lang w:val="ru-RU" w:eastAsia="zh-CN"/>
        </w:rPr>
      </w:pPr>
      <w:r w:rsidRPr="00560BC4">
        <w:rPr>
          <w:lang w:val="ru-RU"/>
        </w:rPr>
        <w:fldChar w:fldCharType="end"/>
      </w:r>
    </w:p>
    <w:p w:rsidR="0010386F" w:rsidRDefault="0010386F"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Pr="0082206D" w:rsidRDefault="0082206D" w:rsidP="00E83FA2">
      <w:pPr>
        <w:rPr>
          <w:lang w:val="en-US"/>
        </w:rPr>
        <w:sectPr w:rsidR="0082206D" w:rsidRPr="0082206D" w:rsidSect="0002731C">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B22BE0" w:rsidRDefault="00182A43" w:rsidP="00522DF3">
      <w:pPr>
        <w:pStyle w:val="FigureNotitle"/>
        <w:spacing w:before="0"/>
        <w:rPr>
          <w:bCs/>
          <w:caps/>
          <w:sz w:val="26"/>
          <w:szCs w:val="26"/>
          <w:lang w:val="ru-RU"/>
        </w:rPr>
      </w:pPr>
      <w:r w:rsidRPr="00560BC4">
        <w:rPr>
          <w:bCs/>
          <w:caps/>
          <w:sz w:val="26"/>
          <w:szCs w:val="26"/>
          <w:lang w:val="ru-RU"/>
        </w:rPr>
        <w:lastRenderedPageBreak/>
        <w:t>вопрос</w:t>
      </w:r>
      <w:r w:rsidR="006B709C" w:rsidRPr="00560BC4">
        <w:rPr>
          <w:bCs/>
          <w:caps/>
          <w:sz w:val="26"/>
          <w:szCs w:val="26"/>
          <w:lang w:val="ru-RU"/>
        </w:rPr>
        <w:t xml:space="preserve"> </w:t>
      </w:r>
      <w:r w:rsidR="00F10CFB">
        <w:rPr>
          <w:bCs/>
          <w:caps/>
          <w:sz w:val="26"/>
          <w:szCs w:val="26"/>
          <w:lang w:val="ru-RU"/>
        </w:rPr>
        <w:t>1</w:t>
      </w:r>
      <w:r w:rsidR="00F10CFB">
        <w:rPr>
          <w:bCs/>
          <w:caps/>
          <w:sz w:val="26"/>
          <w:szCs w:val="26"/>
          <w:lang w:val="en-US"/>
        </w:rPr>
        <w:t>0</w:t>
      </w:r>
      <w:r w:rsidR="00D400DF" w:rsidRPr="00560BC4">
        <w:rPr>
          <w:bCs/>
          <w:caps/>
          <w:sz w:val="26"/>
          <w:szCs w:val="26"/>
          <w:lang w:val="ru-RU"/>
        </w:rPr>
        <w:t>-</w:t>
      </w:r>
      <w:r w:rsidR="00F10CFB">
        <w:rPr>
          <w:bCs/>
          <w:caps/>
          <w:sz w:val="26"/>
          <w:szCs w:val="26"/>
          <w:lang w:val="en-US"/>
        </w:rPr>
        <w:t>2</w:t>
      </w:r>
      <w:r w:rsidR="00EC2A2B" w:rsidRPr="00560BC4">
        <w:rPr>
          <w:bCs/>
          <w:caps/>
          <w:sz w:val="26"/>
          <w:szCs w:val="26"/>
          <w:lang w:val="ru-RU"/>
        </w:rPr>
        <w:t>/</w:t>
      </w:r>
      <w:r w:rsidR="00D01A01">
        <w:rPr>
          <w:bCs/>
          <w:caps/>
          <w:sz w:val="26"/>
          <w:szCs w:val="26"/>
          <w:lang w:val="ru-RU"/>
        </w:rPr>
        <w:t>1</w:t>
      </w:r>
    </w:p>
    <w:p w:rsidR="00D01A01" w:rsidRDefault="00F10CFB" w:rsidP="00522DF3">
      <w:pPr>
        <w:pStyle w:val="FigureNotitle"/>
        <w:rPr>
          <w:sz w:val="26"/>
          <w:szCs w:val="26"/>
          <w:lang w:val="ru-RU"/>
        </w:rPr>
      </w:pPr>
      <w:r w:rsidRPr="00F10CFB">
        <w:rPr>
          <w:sz w:val="26"/>
          <w:szCs w:val="26"/>
          <w:lang w:val="ru-RU"/>
        </w:rPr>
        <w:t>Регуляторные тенденции по адаптации рамок лицензирования к условиям конвергенции</w:t>
      </w:r>
    </w:p>
    <w:p w:rsidR="002266DA" w:rsidRPr="00522DF3" w:rsidRDefault="002266DA" w:rsidP="00522DF3">
      <w:pPr>
        <w:pStyle w:val="Heading1"/>
        <w:spacing w:line="280" w:lineRule="exact"/>
        <w:rPr>
          <w:lang w:val="ru-RU"/>
        </w:rPr>
      </w:pPr>
      <w:bookmarkStart w:id="23" w:name="_Toc125339405"/>
      <w:bookmarkStart w:id="24" w:name="_Toc216756780"/>
      <w:bookmarkStart w:id="25" w:name="_Toc221682163"/>
      <w:bookmarkStart w:id="26" w:name="_Toc253554994"/>
      <w:bookmarkStart w:id="27" w:name="_Toc253582189"/>
      <w:bookmarkStart w:id="28" w:name="_Toc256153063"/>
      <w:bookmarkStart w:id="29" w:name="_Toc262721846"/>
      <w:r>
        <w:t>1</w:t>
      </w:r>
      <w:r>
        <w:tab/>
      </w:r>
      <w:bookmarkEnd w:id="23"/>
      <w:bookmarkEnd w:id="24"/>
      <w:bookmarkEnd w:id="25"/>
      <w:bookmarkEnd w:id="26"/>
      <w:bookmarkEnd w:id="27"/>
      <w:bookmarkEnd w:id="28"/>
      <w:r w:rsidR="00522DF3">
        <w:rPr>
          <w:lang w:val="ru-RU"/>
        </w:rPr>
        <w:t>Введение</w:t>
      </w:r>
      <w:bookmarkEnd w:id="29"/>
    </w:p>
    <w:p w:rsidR="002266DA" w:rsidRPr="002266DA" w:rsidRDefault="002266DA" w:rsidP="00522DF3">
      <w:pPr>
        <w:spacing w:line="280" w:lineRule="exact"/>
        <w:rPr>
          <w:lang w:val="ru-RU"/>
        </w:rPr>
      </w:pPr>
      <w:r w:rsidRPr="002266DA">
        <w:rPr>
          <w:lang w:val="ru-RU"/>
        </w:rPr>
        <w:t xml:space="preserve">С началом конвергенции рынков электросвязи и радиовещания многие страны меняют свои регламенты электросвязи, с </w:t>
      </w:r>
      <w:proofErr w:type="gramStart"/>
      <w:r w:rsidRPr="002266DA">
        <w:rPr>
          <w:lang w:val="ru-RU"/>
        </w:rPr>
        <w:t>тем</w:t>
      </w:r>
      <w:proofErr w:type="gramEnd"/>
      <w:r w:rsidRPr="002266DA">
        <w:rPr>
          <w:lang w:val="ru-RU"/>
        </w:rPr>
        <w:t xml:space="preserve"> чтобы обеспечить поддержку развития конвергентных услуг и расширить рынки и конкуренцию, целью чего является содействие предоставлению новых и инновационных услуг, снижение цен и повышение эффективности предоставления услуг, а также расширение разнообразия предлагаемых абонентам услуг</w:t>
      </w:r>
      <w:r w:rsidRPr="00836177">
        <w:rPr>
          <w:position w:val="6"/>
          <w:sz w:val="16"/>
          <w:szCs w:val="16"/>
          <w:lang w:val="ru-RU"/>
        </w:rPr>
        <w:footnoteReference w:id="1"/>
      </w:r>
      <w:r w:rsidRPr="002266DA">
        <w:rPr>
          <w:lang w:val="ru-RU"/>
        </w:rPr>
        <w:t>.</w:t>
      </w:r>
    </w:p>
    <w:p w:rsidR="002266DA" w:rsidRPr="002266DA" w:rsidRDefault="002266DA" w:rsidP="00522DF3">
      <w:pPr>
        <w:spacing w:line="280" w:lineRule="exact"/>
        <w:rPr>
          <w:lang w:val="ru-RU"/>
        </w:rPr>
      </w:pPr>
      <w:r w:rsidRPr="002266DA">
        <w:rPr>
          <w:lang w:val="ru-RU"/>
        </w:rPr>
        <w:t>Объектом традиционных систем регулирования являлись, как правило, конкретные средства электросвязи или конкретные услуги, предоставляемые оператором. Рамки регулирования зачастую основывались на услугах проводной, беспроводной связи или радиовещания, или же они подразделялись на рынки местной и дальней связи. В настоящее время с появлением конвергентных сетей такие ограничения более не являются практически осуществимыми. Вследствие этого реформы, непосредственно направленные на адаптацию традиционных систем регулирования к условиям конвергенции, осуществляются по двум ключевым направлениям: введение принципов нейтральности в отношении технологий и услуг и достижение большей гибкости по ключевым аспектам существующих рамок регулирования.</w:t>
      </w:r>
    </w:p>
    <w:p w:rsidR="002266DA" w:rsidRPr="002266DA" w:rsidRDefault="002266DA" w:rsidP="00522DF3">
      <w:pPr>
        <w:spacing w:line="280" w:lineRule="exact"/>
        <w:rPr>
          <w:lang w:val="ru-RU"/>
        </w:rPr>
      </w:pPr>
      <w:r w:rsidRPr="002266DA">
        <w:rPr>
          <w:lang w:val="ru-RU"/>
        </w:rPr>
        <w:t>В ходе осуществления таких реформ сформировались общие во всемирном масштабе тенденции, которые оказали существенное воздействие на различные аспекты регулирования в области электросвязи, но более всего – на лицензирование услуг и определение прав и обязанностей поставщиков услуг, включая присоединение, нумерацию и универсальное обслуживание, а также использование спектра.</w:t>
      </w:r>
    </w:p>
    <w:p w:rsidR="002266DA" w:rsidRDefault="002266DA" w:rsidP="00522DF3">
      <w:pPr>
        <w:spacing w:after="120" w:line="280" w:lineRule="exact"/>
        <w:rPr>
          <w:bCs/>
          <w:lang w:val="ru-RU"/>
        </w:rPr>
      </w:pPr>
      <w:r w:rsidRPr="002266DA">
        <w:rPr>
          <w:bCs/>
          <w:lang w:val="ru-RU"/>
        </w:rPr>
        <w:t>Реформа лицензирования услуг с учетом конвергенции характеризуется двумя основными тенденциями, которые существуют как раздельно, так и совместно. Первая тенденция заключается в упрощении лицензий, которые традиционно выдавались на конкретные услуги, что в общем случае означало необходимость одному оператору электросвязи иметь столько лицензий, сколько видов услуг он предоставлял. Упрощение предусматривает объединение различных услуг в общую категорию или унификацию всех услуг в рамках одной лицензии или концессии, что часто называют единой лицензией.</w:t>
      </w:r>
    </w:p>
    <w:p w:rsidR="00522DF3" w:rsidRDefault="00522DF3">
      <w:pPr>
        <w:tabs>
          <w:tab w:val="clear" w:pos="794"/>
          <w:tab w:val="clear" w:pos="1191"/>
          <w:tab w:val="clear" w:pos="1588"/>
          <w:tab w:val="clear" w:pos="1985"/>
        </w:tabs>
        <w:overflowPunct/>
        <w:autoSpaceDE/>
        <w:autoSpaceDN/>
        <w:adjustRightInd/>
        <w:spacing w:before="0"/>
        <w:jc w:val="left"/>
        <w:textAlignment w:val="auto"/>
        <w:rPr>
          <w:sz w:val="8"/>
          <w:szCs w:val="8"/>
          <w:lang w:val="en-US"/>
        </w:rPr>
      </w:pPr>
      <w:r>
        <w:rPr>
          <w:sz w:val="8"/>
          <w:szCs w:val="8"/>
          <w:lang w:val="en-US"/>
        </w:rPr>
        <w:br w:type="page"/>
      </w:r>
    </w:p>
    <w:p w:rsidR="00522DF3" w:rsidRPr="0050363A" w:rsidRDefault="00522DF3" w:rsidP="00522DF3">
      <w:pPr>
        <w:spacing w:after="120" w:line="280" w:lineRule="exact"/>
        <w:rPr>
          <w:sz w:val="8"/>
          <w:szCs w:val="8"/>
          <w:lang w:val="en-US"/>
        </w:rPr>
      </w:pPr>
    </w:p>
    <w:p w:rsidR="002266DA" w:rsidRPr="002266DA" w:rsidRDefault="002266DA" w:rsidP="002266DA">
      <w:pPr>
        <w:pStyle w:val="FigureTitle"/>
        <w:keepNext w:val="0"/>
        <w:keepLines w:val="0"/>
        <w:rPr>
          <w:rFonts w:asciiTheme="majorBidi" w:hAnsiTheme="majorBidi" w:cstheme="majorBidi"/>
        </w:rPr>
      </w:pPr>
      <w:r w:rsidRPr="002266DA">
        <w:rPr>
          <w:rFonts w:asciiTheme="majorBidi" w:hAnsiTheme="majorBidi" w:cstheme="majorBidi"/>
          <w:lang w:val="ru-RU"/>
        </w:rPr>
        <w:t>Рисунок</w:t>
      </w:r>
      <w:r w:rsidRPr="002266DA">
        <w:rPr>
          <w:rFonts w:asciiTheme="majorBidi" w:hAnsiTheme="majorBidi" w:cstheme="majorBidi"/>
        </w:rPr>
        <w:t xml:space="preserve"> 1: </w:t>
      </w:r>
      <w:r w:rsidRPr="002266DA">
        <w:rPr>
          <w:rFonts w:asciiTheme="majorBidi" w:hAnsiTheme="majorBidi" w:cstheme="majorBidi"/>
          <w:szCs w:val="18"/>
          <w:lang w:val="ru-RU"/>
        </w:rPr>
        <w:t>Упрощение лицензий</w:t>
      </w:r>
      <w:r w:rsidRPr="00AE59CF">
        <w:rPr>
          <w:rStyle w:val="Verdana"/>
          <w:rFonts w:asciiTheme="majorBidi" w:hAnsiTheme="majorBidi" w:cstheme="majorBidi"/>
          <w:b w:val="0"/>
          <w:sz w:val="16"/>
          <w:szCs w:val="16"/>
          <w:lang w:val="ru-RU"/>
        </w:rPr>
        <w:footnoteReference w:id="2"/>
      </w:r>
    </w:p>
    <w:p w:rsidR="002266DA" w:rsidRDefault="00996C94" w:rsidP="002266DA">
      <w:pPr>
        <w:pStyle w:val="Figure"/>
        <w:keepNext w:val="0"/>
        <w:keepLines w:val="0"/>
        <w:spacing w:before="120"/>
        <w:rPr>
          <w:szCs w:val="24"/>
        </w:rPr>
      </w:pPr>
      <w:r w:rsidRPr="00996C94">
        <w:pict>
          <v:group id="_x0000_s1046" editas="canvas" style="width:410.45pt;height:162.35pt;mso-position-horizontal-relative:char;mso-position-vertical-relative:line" coordorigin="228,7511" coordsize="91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1048" type="#_x0000_t109" style="position:absolute;left:2628;top:7691;width:2800;height:3240;v-text-anchor:middle" fillcolor="#fc0" strokeweight="1.25pt">
              <v:fill color2="fill darken(219)" rotate="t" method="linear sigma" focus="100%" type="gradient"/>
              <v:textbox style="mso-next-textbox:#_x0000_s1048" inset="1.49003mm,.745mm,1.49003mm,.745mm">
                <w:txbxContent>
                  <w:p w:rsidR="00CF5441" w:rsidRPr="0082206D" w:rsidRDefault="00CF5441" w:rsidP="002266DA">
                    <w:pPr>
                      <w:spacing w:before="0" w:after="2760"/>
                      <w:jc w:val="center"/>
                      <w:rPr>
                        <w:sz w:val="16"/>
                        <w:szCs w:val="16"/>
                      </w:rPr>
                    </w:pPr>
                    <w:r w:rsidRPr="0082206D">
                      <w:rPr>
                        <w:b/>
                        <w:color w:val="000000"/>
                        <w:sz w:val="16"/>
                        <w:szCs w:val="16"/>
                        <w:lang w:val="ru-RU"/>
                      </w:rPr>
                      <w:t>Объединение лицензий и разрешений</w:t>
                    </w:r>
                  </w:p>
                </w:txbxContent>
              </v:textbox>
            </v:shape>
            <v:line id="_x0000_s1049" style="position:absolute;flip:y;v-text-anchor:top-center-baseline" from="5700,8290" to="6167,8989" stroked="f">
              <v:stroke endarrow="block"/>
              <v:shadow on="t" color="#339"/>
            </v:line>
            <v:line id="_x0000_s1050" style="position:absolute;v-text-anchor:top-center-baseline" from="5700,8989" to="6167,8989" stroked="f">
              <v:stroke endarrow="block"/>
              <v:shadow on="t" color="#339"/>
            </v:line>
            <v:line id="_x0000_s1051" style="position:absolute;v-text-anchor:top-center-baseline" from="5700,8989" to="6167,10001" stroked="f">
              <v:stroke endarrow="block"/>
              <v:shadow on="t" color="#339"/>
            </v:line>
            <v:shape id="_x0000_s1052" type="#_x0000_t109" style="position:absolute;left:328;top:8591;width:1400;height:1620;v-text-anchor:middle" fillcolor="#fc0" strokeweight="1.25pt">
              <v:fill color2="fill darken(210)" rotate="t" method="linear sigma" focus="100%" type="gradient"/>
              <v:textbox style="mso-next-textbox:#_x0000_s1052" inset="1.49003mm,4.12622mm,1.49003mm,.745mm">
                <w:txbxContent>
                  <w:p w:rsidR="00CF5441" w:rsidRPr="0082206D" w:rsidRDefault="00CF5441" w:rsidP="002266DA">
                    <w:pPr>
                      <w:spacing w:before="0"/>
                      <w:jc w:val="center"/>
                      <w:rPr>
                        <w:b/>
                        <w:color w:val="000000"/>
                        <w:sz w:val="16"/>
                        <w:szCs w:val="16"/>
                      </w:rPr>
                    </w:pPr>
                    <w:r w:rsidRPr="0082206D">
                      <w:rPr>
                        <w:b/>
                        <w:color w:val="000000"/>
                        <w:sz w:val="16"/>
                        <w:szCs w:val="16"/>
                        <w:lang w:val="ru-RU"/>
                      </w:rPr>
                      <w:t>Отдельная лицензия для каждой услуги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1828;top:8771;width:700;height:1080;v-text-anchor:middle" fillcolor="#fc0" strokeweight="1.25pt">
              <v:fill color2="fill darken(202)" rotate="t" method="linear sigma" focus="100%" type="gradient"/>
            </v:shape>
            <v:shape id="_x0000_s1054" type="#_x0000_t13" style="position:absolute;left:5528;top:8771;width:700;height:1080;v-text-anchor:middle" fillcolor="#fc0" strokeweight="1.25pt">
              <v:fill color2="fill darken(202)" rotate="t" method="linear sigma" focus="100%" type="gradient"/>
            </v:shape>
            <v:shape id="_x0000_s1055" type="#_x0000_t109" style="position:absolute;left:6328;top:7691;width:2900;height:3060;v-text-anchor:middle" fillcolor="#fc0" strokeweight="1.25pt">
              <v:fill color2="fill darken(219)" rotate="t" method="linear sigma" focus="100%" type="gradient"/>
              <v:textbox style="mso-next-textbox:#_x0000_s1055" inset="1.49003mm,.745mm,1.49003mm,.745mm">
                <w:txbxContent>
                  <w:p w:rsidR="00CF5441" w:rsidRPr="0082206D" w:rsidRDefault="00CF5441" w:rsidP="002266DA">
                    <w:pPr>
                      <w:spacing w:before="0" w:after="3000"/>
                      <w:jc w:val="center"/>
                      <w:rPr>
                        <w:rFonts w:ascii="Arial" w:hAnsi="Arial" w:cs="Arial"/>
                        <w:b/>
                        <w:color w:val="000000"/>
                        <w:sz w:val="16"/>
                        <w:szCs w:val="16"/>
                      </w:rPr>
                    </w:pPr>
                    <w:r w:rsidRPr="0082206D">
                      <w:rPr>
                        <w:b/>
                        <w:color w:val="000000"/>
                        <w:sz w:val="16"/>
                        <w:szCs w:val="16"/>
                        <w:lang w:val="ru-RU"/>
                      </w:rPr>
                      <w:t>Единая лицензия</w:t>
                    </w:r>
                  </w:p>
                </w:txbxContent>
              </v:textbox>
            </v:shape>
            <v:shape id="_x0000_s1056" type="#_x0000_t109" style="position:absolute;left:2920;top:8492;width:2340;height:720;v-text-anchor:middle" fillcolor="#ff9">
              <v:fill color2="fill darken(202)" rotate="t" method="linear sigma" focus="100%" type="gradient"/>
              <v:textbox style="mso-next-textbox:#_x0000_s1056" inset="1.49003mm,.745mm,1.49003mm,.745mm">
                <w:txbxContent>
                  <w:p w:rsidR="00CF5441" w:rsidRPr="0082206D" w:rsidRDefault="00CF5441" w:rsidP="002266DA">
                    <w:pPr>
                      <w:spacing w:before="0"/>
                      <w:jc w:val="center"/>
                      <w:rPr>
                        <w:color w:val="000000"/>
                        <w:sz w:val="16"/>
                        <w:szCs w:val="16"/>
                      </w:rPr>
                    </w:pPr>
                    <w:r w:rsidRPr="0082206D">
                      <w:rPr>
                        <w:color w:val="000000"/>
                        <w:sz w:val="16"/>
                        <w:szCs w:val="16"/>
                        <w:lang w:val="ru-RU"/>
                      </w:rPr>
                      <w:t xml:space="preserve">Широкие </w:t>
                    </w:r>
                    <w:r w:rsidRPr="0082206D">
                      <w:rPr>
                        <w:color w:val="000000"/>
                        <w:sz w:val="16"/>
                        <w:szCs w:val="16"/>
                        <w:lang w:val="ru-RU"/>
                      </w:rPr>
                      <w:br/>
                      <w:t>категории услуг</w:t>
                    </w:r>
                  </w:p>
                </w:txbxContent>
              </v:textbox>
            </v:shape>
            <v:shape id="_x0000_s1057" type="#_x0000_t109" style="position:absolute;left:3033;top:9452;width:1980;height:1080;v-text-anchor:middle" fillcolor="#ff9">
              <v:fill color2="fill darken(186)" rotate="t" method="linear sigma" focus="100%" type="gradient"/>
              <v:textbox style="mso-next-textbox:#_x0000_s1057" inset="1.49003mm,.745mm,1.49003mm,.745mm">
                <w:txbxContent>
                  <w:p w:rsidR="00CF5441" w:rsidRPr="0082206D" w:rsidRDefault="00CF5441" w:rsidP="002266DA">
                    <w:pPr>
                      <w:jc w:val="center"/>
                      <w:rPr>
                        <w:color w:val="000000"/>
                        <w:sz w:val="16"/>
                        <w:szCs w:val="16"/>
                      </w:rPr>
                    </w:pPr>
                    <w:r w:rsidRPr="0082206D">
                      <w:rPr>
                        <w:color w:val="000000"/>
                        <w:sz w:val="16"/>
                        <w:szCs w:val="16"/>
                        <w:lang w:val="ru-RU"/>
                      </w:rPr>
                      <w:t>Две категории: сети и услуги</w:t>
                    </w:r>
                  </w:p>
                </w:txbxContent>
              </v:textbox>
            </v:shape>
            <v:shape id="_x0000_s1058" type="#_x0000_t109" style="position:absolute;left:6553;top:8231;width:2340;height:540;v-text-anchor:middle" fillcolor="#ff9">
              <v:fill color2="fill darken(202)" rotate="t" method="linear sigma" focus="100%" type="gradient"/>
              <v:textbox style="mso-next-textbox:#_x0000_s1058" inset="1.49003mm,.745mm,1.49003mm,.745mm">
                <w:txbxContent>
                  <w:p w:rsidR="00CF5441" w:rsidRPr="0082206D" w:rsidRDefault="00CF5441" w:rsidP="002266DA">
                    <w:pPr>
                      <w:jc w:val="center"/>
                      <w:rPr>
                        <w:sz w:val="16"/>
                        <w:szCs w:val="16"/>
                      </w:rPr>
                    </w:pPr>
                    <w:r w:rsidRPr="0082206D">
                      <w:rPr>
                        <w:sz w:val="16"/>
                        <w:szCs w:val="16"/>
                        <w:lang w:val="ru-RU"/>
                      </w:rPr>
                      <w:t>Единая лицензия</w:t>
                    </w:r>
                  </w:p>
                </w:txbxContent>
              </v:textbox>
            </v:shape>
            <v:shape id="_x0000_s1059" type="#_x0000_t109" style="position:absolute;left:6428;top:9212;width:2700;height:1090;v-text-anchor:middle" fillcolor="#ff9">
              <v:fill color2="fill darken(202)" rotate="t" method="linear sigma" focus="100%" type="gradient"/>
              <v:textbox style="mso-next-textbox:#_x0000_s1059" inset="1.49003mm,.745mm,1.49003mm,.745mm">
                <w:txbxContent>
                  <w:p w:rsidR="00CF5441" w:rsidRPr="0082206D" w:rsidRDefault="00CF5441" w:rsidP="002266DA">
                    <w:pPr>
                      <w:spacing w:before="0"/>
                      <w:jc w:val="center"/>
                      <w:rPr>
                        <w:iCs/>
                        <w:color w:val="000000"/>
                        <w:sz w:val="16"/>
                        <w:szCs w:val="16"/>
                      </w:rPr>
                    </w:pPr>
                    <w:r w:rsidRPr="0082206D">
                      <w:rPr>
                        <w:iCs/>
                        <w:color w:val="000000"/>
                        <w:sz w:val="16"/>
                        <w:szCs w:val="16"/>
                        <w:lang w:val="ru-RU"/>
                      </w:rPr>
                      <w:t>Единая лицензия в сочетании с несколькими категориями лицензий и разрешений</w:t>
                    </w:r>
                    <w:r w:rsidRPr="0082206D">
                      <w:rPr>
                        <w:iCs/>
                        <w:color w:val="000000"/>
                        <w:sz w:val="16"/>
                        <w:szCs w:val="16"/>
                      </w:rPr>
                      <w:t xml:space="preserve"> </w:t>
                    </w:r>
                  </w:p>
                </w:txbxContent>
              </v:textbox>
            </v:shape>
            <w10:wrap type="none"/>
            <w10:anchorlock/>
          </v:group>
        </w:pict>
      </w:r>
    </w:p>
    <w:p w:rsidR="002266DA" w:rsidRPr="00CD18B1" w:rsidRDefault="002266DA" w:rsidP="00522DF3">
      <w:pPr>
        <w:pStyle w:val="FigureSource"/>
        <w:keepNext w:val="0"/>
        <w:ind w:left="567" w:hanging="567"/>
        <w:rPr>
          <w:rFonts w:asciiTheme="majorBidi" w:hAnsiTheme="majorBidi" w:cstheme="majorBidi"/>
          <w:sz w:val="8"/>
          <w:szCs w:val="10"/>
        </w:rPr>
      </w:pPr>
    </w:p>
    <w:p w:rsidR="002266DA" w:rsidRPr="0050363A" w:rsidRDefault="002266DA" w:rsidP="002266DA">
      <w:pPr>
        <w:spacing w:before="0"/>
        <w:rPr>
          <w:sz w:val="8"/>
          <w:szCs w:val="8"/>
        </w:rPr>
      </w:pPr>
    </w:p>
    <w:p w:rsidR="002266DA" w:rsidRDefault="00AE59CF" w:rsidP="002266DA">
      <w:r w:rsidRPr="00B15914">
        <w:rPr>
          <w:szCs w:val="24"/>
          <w:lang w:val="ru-RU"/>
        </w:rPr>
        <w:t xml:space="preserve">Вторая тенденция заключается в сокращении или упразднении административных и формальных требований в отношении доступа на рынок и предоставления услуг. Это предполагает изменение категории общих разрешений, с </w:t>
      </w:r>
      <w:proofErr w:type="gramStart"/>
      <w:r w:rsidRPr="00B15914">
        <w:rPr>
          <w:szCs w:val="24"/>
          <w:lang w:val="ru-RU"/>
        </w:rPr>
        <w:t>тем</w:t>
      </w:r>
      <w:proofErr w:type="gramEnd"/>
      <w:r w:rsidRPr="00B15914">
        <w:rPr>
          <w:szCs w:val="24"/>
          <w:lang w:val="ru-RU"/>
        </w:rPr>
        <w:t xml:space="preserve"> чтобы сделать возможным предоставление большего числа услуг или создание систем уведомлений или регистрации, которые заменяют лицензии или общие разрешения в целом, упрощая, таким образом, процесс их получения и, в некоторых случаях, придавая ему автоматический характер. Наконец, ряд стран сделали выбор в пользу либерализации услуг, что подразумевает отсутствие лицензий или концессий и даже необходимости в уведомлении регуляторного органа и осуществляемой им регистрации.</w:t>
      </w:r>
    </w:p>
    <w:p w:rsidR="002266DA" w:rsidRDefault="002266DA" w:rsidP="002266DA"/>
    <w:p w:rsidR="002266DA" w:rsidRPr="00AE59CF" w:rsidRDefault="00AE59CF" w:rsidP="00AE59CF">
      <w:pPr>
        <w:pStyle w:val="FigureTitle"/>
        <w:rPr>
          <w:rFonts w:asciiTheme="majorBidi" w:hAnsiTheme="majorBidi" w:cstheme="majorBidi"/>
        </w:rPr>
      </w:pPr>
      <w:bookmarkStart w:id="30" w:name="_Toc140832033"/>
      <w:bookmarkStart w:id="31" w:name="_Toc162168252"/>
      <w:r w:rsidRPr="00AE59CF">
        <w:rPr>
          <w:rFonts w:asciiTheme="majorBidi" w:hAnsiTheme="majorBidi" w:cstheme="majorBidi"/>
          <w:lang w:val="ru-RU"/>
        </w:rPr>
        <w:t>Рисунок</w:t>
      </w:r>
      <w:r w:rsidR="002266DA" w:rsidRPr="00AE59CF">
        <w:rPr>
          <w:rFonts w:asciiTheme="majorBidi" w:hAnsiTheme="majorBidi" w:cstheme="majorBidi"/>
        </w:rPr>
        <w:t xml:space="preserve"> 2</w:t>
      </w:r>
      <w:bookmarkEnd w:id="30"/>
      <w:bookmarkEnd w:id="31"/>
      <w:r w:rsidR="0082206D">
        <w:rPr>
          <w:rFonts w:asciiTheme="majorBidi" w:hAnsiTheme="majorBidi" w:cstheme="majorBidi"/>
          <w:lang w:val="ru-RU"/>
        </w:rPr>
        <w:t>:</w:t>
      </w:r>
      <w:r w:rsidRPr="00AE59CF">
        <w:rPr>
          <w:rFonts w:asciiTheme="majorBidi" w:hAnsiTheme="majorBidi" w:cstheme="majorBidi"/>
          <w:szCs w:val="18"/>
          <w:lang w:val="ru-RU"/>
        </w:rPr>
        <w:t xml:space="preserve"> Модели сокращения административных требований</w:t>
      </w:r>
      <w:r w:rsidRPr="00FA5CF9">
        <w:rPr>
          <w:rStyle w:val="Verdana"/>
          <w:rFonts w:asciiTheme="majorBidi" w:hAnsiTheme="majorBidi" w:cstheme="majorBidi"/>
          <w:b w:val="0"/>
          <w:bCs/>
          <w:sz w:val="16"/>
          <w:szCs w:val="16"/>
          <w:lang w:val="ru-RU"/>
        </w:rPr>
        <w:footnoteReference w:id="3"/>
      </w:r>
    </w:p>
    <w:p w:rsidR="002266DA" w:rsidRDefault="00996C94" w:rsidP="002266DA">
      <w:pPr>
        <w:tabs>
          <w:tab w:val="left" w:pos="851"/>
        </w:tabs>
        <w:rPr>
          <w:szCs w:val="22"/>
        </w:rPr>
      </w:pPr>
      <w:r w:rsidRPr="00996C94">
        <w:rPr>
          <w:szCs w:val="22"/>
        </w:rPr>
      </w:r>
      <w:r>
        <w:rPr>
          <w:szCs w:val="22"/>
        </w:rPr>
        <w:pict>
          <v:group id="_x0000_s1035" editas="canvas" style="width:7in;height:108pt;mso-position-horizontal-relative:char;mso-position-vertical-relative:line" coordorigin="2168,2420" coordsize="10080,2160">
            <o:lock v:ext="edit" aspectratio="t"/>
            <v:shape id="_x0000_s1036"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shape id="_x0000_s1037" type="#_x0000_t109" style="position:absolute;left:2260;top:2960;width:1348;height:1080;v-text-anchor:middle" fillcolor="#9cf" strokeweight="1.25pt">
              <v:fill color2="fill darken(130)" rotate="t" method="linear sigma" focus="100%" type="gradient"/>
              <v:textbox style="mso-next-textbox:#_x0000_s1037" inset="4.68pt,10.8pt,4.68pt,2.34pt">
                <w:txbxContent>
                  <w:p w:rsidR="00CF5441" w:rsidRDefault="00CF5441" w:rsidP="002266DA">
                    <w:pPr>
                      <w:spacing w:before="0" w:after="240"/>
                      <w:jc w:val="center"/>
                      <w:rPr>
                        <w:b/>
                        <w:color w:val="000000"/>
                        <w:szCs w:val="22"/>
                        <w:lang w:val="es-ES"/>
                      </w:rPr>
                    </w:pPr>
                    <w:r w:rsidRPr="00B15914">
                      <w:rPr>
                        <w:b/>
                        <w:color w:val="000000"/>
                        <w:sz w:val="16"/>
                        <w:szCs w:val="16"/>
                        <w:lang w:val="ru-RU"/>
                      </w:rPr>
                      <w:t>Отдельная лицензия</w:t>
                    </w:r>
                  </w:p>
                </w:txbxContent>
              </v:textbox>
            </v:shape>
            <v:shape id="_x0000_s1038" type="#_x0000_t109" style="position:absolute;left:4289;top:2960;width:1119;height:1080;v-text-anchor:middle" fillcolor="#9cf" strokeweight="1.25pt">
              <v:fill color2="fill darken(121)" rotate="t" method="linear sigma" focus="100%" type="gradient"/>
              <v:textbox style="mso-next-textbox:#_x0000_s1038" inset="4.68pt,10.8pt,4.68pt,2.34pt">
                <w:txbxContent>
                  <w:p w:rsidR="00CF5441" w:rsidRDefault="00CF5441" w:rsidP="002266DA">
                    <w:pPr>
                      <w:spacing w:before="0" w:after="240"/>
                      <w:jc w:val="center"/>
                      <w:rPr>
                        <w:b/>
                        <w:color w:val="000000"/>
                        <w:szCs w:val="22"/>
                      </w:rPr>
                    </w:pPr>
                    <w:r w:rsidRPr="00B15914">
                      <w:rPr>
                        <w:b/>
                        <w:color w:val="000000"/>
                        <w:sz w:val="16"/>
                        <w:szCs w:val="16"/>
                        <w:lang w:val="ru-RU"/>
                      </w:rPr>
                      <w:t>Лицензия на класс услуг</w:t>
                    </w:r>
                  </w:p>
                </w:txbxContent>
              </v:textbox>
            </v:shape>
            <v:shape id="_x0000_s1039" type="#_x0000_t109" style="position:absolute;left:6128;top:2960;width:1620;height:1080;v-text-anchor:middle" fillcolor="#9cf" strokeweight="1.25pt">
              <v:fill color2="fill darken(146)" rotate="t" method="linear sigma" focus="100%" type="gradient"/>
              <v:textbox style="mso-next-textbox:#_x0000_s1039" inset="4.68pt,16.56pt,4.68pt,2.34pt">
                <w:txbxContent>
                  <w:p w:rsidR="00CF5441" w:rsidRDefault="00CF5441" w:rsidP="002266DA">
                    <w:pPr>
                      <w:spacing w:before="0" w:after="240"/>
                      <w:jc w:val="center"/>
                      <w:rPr>
                        <w:b/>
                        <w:color w:val="000000"/>
                        <w:szCs w:val="22"/>
                      </w:rPr>
                    </w:pPr>
                    <w:r w:rsidRPr="00B15914">
                      <w:rPr>
                        <w:b/>
                        <w:color w:val="000000"/>
                        <w:sz w:val="16"/>
                        <w:szCs w:val="16"/>
                        <w:lang w:val="ru-RU"/>
                      </w:rPr>
                      <w:t>Регистрация</w:t>
                    </w:r>
                  </w:p>
                </w:txbxContent>
              </v:textbox>
            </v:shape>
            <v:shape id="_x0000_s1040" type="#_x0000_t109" style="position:absolute;left:8458;top:2960;width:1520;height:1080;v-text-anchor:middle" fillcolor="#9cf" strokeweight="1.25pt">
              <v:fill color2="fill darken(138)" rotate="t" method="linear sigma" focus="100%" type="gradient"/>
              <v:textbox style="mso-next-textbox:#_x0000_s1040" inset="4.68pt,16.56pt,4.68pt,2.34pt">
                <w:txbxContent>
                  <w:p w:rsidR="00CF5441" w:rsidRDefault="00CF5441" w:rsidP="002266DA">
                    <w:pPr>
                      <w:spacing w:before="0" w:after="240"/>
                      <w:jc w:val="center"/>
                      <w:rPr>
                        <w:b/>
                        <w:color w:val="000000"/>
                        <w:szCs w:val="22"/>
                      </w:rPr>
                    </w:pPr>
                    <w:r w:rsidRPr="00B15914">
                      <w:rPr>
                        <w:b/>
                        <w:color w:val="000000"/>
                        <w:sz w:val="16"/>
                        <w:szCs w:val="16"/>
                        <w:lang w:val="ru-RU"/>
                      </w:rPr>
                      <w:t>Уведомление</w:t>
                    </w:r>
                  </w:p>
                </w:txbxContent>
              </v:textbox>
            </v:shape>
            <v:shape id="_x0000_s1041" type="#_x0000_t109" style="position:absolute;left:10628;top:2960;width:1436;height:1080;v-text-anchor:middle" fillcolor="#9cf" strokeweight="1.25pt">
              <v:fill color2="fill darken(146)" rotate="t" method="linear sigma" focus="100%" type="gradient"/>
              <v:textbox style="mso-next-textbox:#_x0000_s1041" inset="4.68pt,16.56pt,4.68pt,9.36pt">
                <w:txbxContent>
                  <w:p w:rsidR="00CF5441" w:rsidRDefault="00CF5441" w:rsidP="002266DA">
                    <w:pPr>
                      <w:spacing w:before="0" w:after="240"/>
                      <w:jc w:val="center"/>
                      <w:rPr>
                        <w:b/>
                        <w:color w:val="000000"/>
                        <w:szCs w:val="22"/>
                      </w:rPr>
                    </w:pPr>
                    <w:r w:rsidRPr="00B15914">
                      <w:rPr>
                        <w:b/>
                        <w:color w:val="000000"/>
                        <w:sz w:val="16"/>
                        <w:szCs w:val="16"/>
                        <w:lang w:val="ru-RU"/>
                      </w:rPr>
                      <w:t>Свободный доступ</w:t>
                    </w:r>
                  </w:p>
                </w:txbxContent>
              </v:textbox>
            </v:shape>
            <v:shape id="_x0000_s1042" type="#_x0000_t13" style="position:absolute;left:3788;top:3140;width:360;height:720" fillcolor="#9cf" strokeweight="1.25pt">
              <v:fill color2="fill darken(130)" rotate="t" method="linear sigma" focus="100%" type="gradient"/>
            </v:shape>
            <v:shape id="_x0000_s1043" type="#_x0000_t13" style="position:absolute;left:5588;top:3140;width:360;height:720" fillcolor="#9cf" strokeweight="1.25pt">
              <v:fill color2="fill darken(130)" rotate="t" method="linear sigma" focus="100%" type="gradient"/>
            </v:shape>
            <v:shape id="_x0000_s1044" type="#_x0000_t13" style="position:absolute;left:7928;top:3140;width:360;height:720" fillcolor="#9cf" strokeweight="1.25pt">
              <v:fill color2="fill darken(130)" rotate="t" method="linear sigma" focus="100%" type="gradient"/>
            </v:shape>
            <v:shape id="_x0000_s1045" type="#_x0000_t13" style="position:absolute;left:10138;top:3140;width:360;height:720" fillcolor="#9cf" strokeweight="1.25pt">
              <v:fill color2="fill darken(130)" rotate="t" method="linear sigma" focus="100%" type="gradient"/>
            </v:shape>
            <w10:wrap type="none"/>
            <w10:anchorlock/>
          </v:group>
        </w:pict>
      </w:r>
    </w:p>
    <w:p w:rsidR="002266DA" w:rsidRPr="00CD18B1" w:rsidRDefault="002266DA" w:rsidP="002266DA">
      <w:pPr>
        <w:pStyle w:val="FigureSource"/>
        <w:rPr>
          <w:rFonts w:asciiTheme="majorBidi" w:hAnsiTheme="majorBidi" w:cstheme="majorBidi"/>
        </w:rPr>
      </w:pPr>
    </w:p>
    <w:p w:rsidR="002266DA" w:rsidRDefault="002266DA" w:rsidP="002266DA"/>
    <w:p w:rsidR="00522DF3" w:rsidRPr="00522DF3" w:rsidRDefault="00522DF3" w:rsidP="00522DF3">
      <w:pPr>
        <w:rPr>
          <w:lang w:val="ru-RU"/>
        </w:rPr>
      </w:pPr>
      <w:r w:rsidRPr="00522DF3">
        <w:rPr>
          <w:lang w:val="ru-RU"/>
        </w:rPr>
        <w:t xml:space="preserve">Как правило, оба этих направления объединяются в целях достижения большей простоты и гибкости. Важно отметить, что любое изменение должно вводиться таким образом, чтобы сократить в максимальной возможной степени противоречия между новыми и существующими правилами. Кроме того, реформы лицензирования наиболее эффективны при решении проблемы конвергенции, если руководящие принципы нейтральности и гибкости в отношении технологий применяются при </w:t>
      </w:r>
      <w:r w:rsidRPr="00522DF3">
        <w:rPr>
          <w:lang w:val="ru-RU"/>
        </w:rPr>
        <w:lastRenderedPageBreak/>
        <w:t>определении прав и обязанностей операторов электросвязи, а также в отношении других важнейших элементов регуляторных рамок, включая присоединение, нумерацию, универсальное обслуживание, а также использование спектра.</w:t>
      </w:r>
    </w:p>
    <w:p w:rsidR="00522DF3" w:rsidRPr="00522DF3" w:rsidRDefault="00522DF3" w:rsidP="00522DF3">
      <w:pPr>
        <w:rPr>
          <w:lang w:val="ru-RU"/>
        </w:rPr>
      </w:pPr>
      <w:proofErr w:type="gramStart"/>
      <w:r w:rsidRPr="00522DF3">
        <w:rPr>
          <w:lang w:val="ru-RU"/>
        </w:rPr>
        <w:t xml:space="preserve">Расширение масштабов введения рамок лицензирования в условиях конвергенции стало, как отметила Ассоциация операторов </w:t>
      </w:r>
      <w:proofErr w:type="spellStart"/>
      <w:r w:rsidRPr="00522DF3">
        <w:rPr>
          <w:lang w:val="ru-RU"/>
        </w:rPr>
        <w:t>GSM</w:t>
      </w:r>
      <w:proofErr w:type="spellEnd"/>
      <w:r w:rsidRPr="00522DF3">
        <w:rPr>
          <w:lang w:val="ru-RU"/>
        </w:rPr>
        <w:t>, признанием двух ключевых тенденций: конвергенция делает возможным использование разных технологий (включая фиксированную, кабельную и подвижную связь) для предоставления конкурирующих услуг, а расширение конкуренции обусловливает предоставление таких услуг по более низким ценам и с более высоким качеством, а также поощряет внедрение новых услуг</w:t>
      </w:r>
      <w:r w:rsidRPr="00FA5CF9">
        <w:rPr>
          <w:position w:val="6"/>
          <w:sz w:val="16"/>
          <w:szCs w:val="16"/>
          <w:lang w:val="ru-RU"/>
        </w:rPr>
        <w:footnoteReference w:id="4"/>
      </w:r>
      <w:r w:rsidRPr="00522DF3">
        <w:rPr>
          <w:lang w:val="ru-RU"/>
        </w:rPr>
        <w:t>.</w:t>
      </w:r>
      <w:proofErr w:type="gramEnd"/>
    </w:p>
    <w:p w:rsidR="00522DF3" w:rsidRPr="00522DF3" w:rsidRDefault="00522DF3" w:rsidP="00522DF3">
      <w:pPr>
        <w:pStyle w:val="Heading1"/>
        <w:rPr>
          <w:lang w:val="ru-RU"/>
        </w:rPr>
      </w:pPr>
      <w:bookmarkStart w:id="32" w:name="_Toc262721847"/>
      <w:r w:rsidRPr="00522DF3">
        <w:rPr>
          <w:lang w:val="ru-RU"/>
        </w:rPr>
        <w:t>2</w:t>
      </w:r>
      <w:r w:rsidRPr="00522DF3">
        <w:rPr>
          <w:lang w:val="ru-RU"/>
        </w:rPr>
        <w:tab/>
        <w:t>Подходы к предоставлению разрешений</w:t>
      </w:r>
      <w:bookmarkEnd w:id="32"/>
    </w:p>
    <w:p w:rsidR="00522DF3" w:rsidRPr="00522DF3" w:rsidRDefault="00522DF3" w:rsidP="00522DF3">
      <w:pPr>
        <w:rPr>
          <w:lang w:val="ru-RU"/>
        </w:rPr>
      </w:pPr>
      <w:r w:rsidRPr="00522DF3">
        <w:rPr>
          <w:lang w:val="ru-RU"/>
        </w:rPr>
        <w:t>В свете вопросов регуляторного характера, возникающих вследствие конвергенции и перехода на сети последующих поколений (СПП), регуляторные органы начали упрощать традиционный, различный для конкретных услуг, подход к предоставлению разрешений</w:t>
      </w:r>
      <w:r w:rsidRPr="00FA5CF9">
        <w:rPr>
          <w:position w:val="6"/>
          <w:sz w:val="16"/>
          <w:szCs w:val="16"/>
          <w:lang w:val="ru-RU"/>
        </w:rPr>
        <w:footnoteReference w:id="5"/>
      </w:r>
      <w:r w:rsidRPr="00522DF3">
        <w:rPr>
          <w:lang w:val="ru-RU"/>
        </w:rPr>
        <w:t>. В настоящее время в секторе информационно-коммуникационных технологий (ИКТ) при выдаче разрешений применяются три основных подхода:</w:t>
      </w:r>
    </w:p>
    <w:p w:rsidR="00522DF3" w:rsidRPr="00522DF3" w:rsidRDefault="00522DF3" w:rsidP="00522DF3">
      <w:pPr>
        <w:pStyle w:val="enumlev1"/>
        <w:rPr>
          <w:lang w:val="ru-RU"/>
        </w:rPr>
      </w:pPr>
      <w:r w:rsidRPr="00522DF3">
        <w:rPr>
          <w:lang w:val="ru-RU"/>
        </w:rPr>
        <w:t>•</w:t>
      </w:r>
      <w:r w:rsidRPr="00522DF3">
        <w:rPr>
          <w:b/>
          <w:lang w:val="ru-RU"/>
        </w:rPr>
        <w:tab/>
        <w:t>Разрешения на предоставление конкретных услуг</w:t>
      </w:r>
      <w:r w:rsidRPr="00522DF3">
        <w:rPr>
          <w:bCs/>
          <w:lang w:val="ru-RU"/>
        </w:rPr>
        <w:t>:</w:t>
      </w:r>
      <w:r w:rsidRPr="00522DF3">
        <w:rPr>
          <w:lang w:val="ru-RU"/>
        </w:rPr>
        <w:t xml:space="preserve"> такие разрешения позволяют держателю лицензии предоставлять услуги конкретного типа. Как правило, к держателю лицензии предъявляется требование использовать конкретный тип сети и технической инфраструктуры. Вместе с тем, ряд режимов выдачи разрешений на предоставление конкретных услуг являются нейтральными в отношении технологии (например, схема получения разрешений на услуги фиксированной и подвижной связи в Саудовской Аравии и канадские лицензии на базовые услуги международной электросвязи). Разрешения таких типов иногда выдаются в качестве индивидуальных лицензий (в частности в развивающихся странах и странах с переходной экономикой), а иногда – в качестве общих разрешений.</w:t>
      </w:r>
    </w:p>
    <w:p w:rsidR="00522DF3" w:rsidRPr="00522DF3" w:rsidRDefault="00522DF3" w:rsidP="00522DF3">
      <w:pPr>
        <w:pStyle w:val="enumlev1"/>
        <w:rPr>
          <w:lang w:val="ru-RU"/>
        </w:rPr>
      </w:pPr>
      <w:r w:rsidRPr="00522DF3">
        <w:rPr>
          <w:lang w:val="ru-RU"/>
        </w:rPr>
        <w:t>•</w:t>
      </w:r>
      <w:r w:rsidRPr="00522DF3">
        <w:rPr>
          <w:b/>
          <w:lang w:val="ru-RU"/>
        </w:rPr>
        <w:tab/>
        <w:t>Единые (или глобальные) разрешения</w:t>
      </w:r>
      <w:r w:rsidRPr="00522DF3">
        <w:rPr>
          <w:bCs/>
          <w:lang w:val="ru-RU"/>
        </w:rPr>
        <w:t xml:space="preserve">: </w:t>
      </w:r>
      <w:r w:rsidRPr="00522DF3">
        <w:rPr>
          <w:lang w:val="ru-RU"/>
        </w:rPr>
        <w:t xml:space="preserve">эти разрешения являются нейтральными в отношении технологии и в отношении услуг. Они дают держателю лицензии, в рамках единого разрешения, возможность предоставления услуг всех типов, используя для этого любой тип инфраструктуры и технологии связи, пригодный для обеспечения желаемой услуги. В большинстве стран единые разрешения выдаются в качестве индивидуальных лицензий. Вместе с тем в ряде стране процесс выдачи единого разрешения объединяет аспекты выдачи общих разрешений и схем лицензирования на конкурсной основе. Такие процессы смешанного типа наиболее полно можно описать как процессы неконкурентного индивидуального лицензирования: при </w:t>
      </w:r>
      <w:proofErr w:type="gramStart"/>
      <w:r w:rsidRPr="00522DF3">
        <w:rPr>
          <w:lang w:val="ru-RU"/>
        </w:rPr>
        <w:t>том</w:t>
      </w:r>
      <w:proofErr w:type="gramEnd"/>
      <w:r w:rsidRPr="00522DF3">
        <w:rPr>
          <w:lang w:val="ru-RU"/>
        </w:rPr>
        <w:t xml:space="preserve"> что заявители не конкурируют между собой в целях получения ограниченного числа разрешений, они должны удовлетворять различным критериям, дающим право на лицензию, и их заявки подлежат тщательному рассмотрению регуляторным органом.</w:t>
      </w:r>
    </w:p>
    <w:p w:rsidR="00522DF3" w:rsidRPr="00522DF3" w:rsidRDefault="00522DF3" w:rsidP="00522DF3">
      <w:pPr>
        <w:pStyle w:val="enumlev1"/>
        <w:rPr>
          <w:lang w:val="ru-RU"/>
        </w:rPr>
      </w:pPr>
      <w:r w:rsidRPr="00522DF3">
        <w:rPr>
          <w:lang w:val="ru-RU"/>
        </w:rPr>
        <w:t>•</w:t>
      </w:r>
      <w:r w:rsidRPr="00522DF3">
        <w:rPr>
          <w:b/>
          <w:lang w:val="ru-RU"/>
        </w:rPr>
        <w:tab/>
        <w:t>Разрешения на предоставление нескольких услуг</w:t>
      </w:r>
      <w:r w:rsidRPr="00522DF3">
        <w:rPr>
          <w:bCs/>
          <w:lang w:val="ru-RU"/>
        </w:rPr>
        <w:t>:</w:t>
      </w:r>
      <w:r w:rsidRPr="00522DF3">
        <w:rPr>
          <w:lang w:val="ru-RU"/>
        </w:rPr>
        <w:t xml:space="preserve"> эти разрешения дают поставщикам услуг, в рамках единого разрешения, возможность предоставления нескольких услуг, используя для этого любой тип инфраструктуры и технологии связи, пригодный для обеспечения конкретной услуги. Как и единые разрешения, </w:t>
      </w:r>
      <w:proofErr w:type="gramStart"/>
      <w:r w:rsidRPr="00522DF3">
        <w:rPr>
          <w:lang w:val="ru-RU"/>
        </w:rPr>
        <w:t>разрешения</w:t>
      </w:r>
      <w:proofErr w:type="gramEnd"/>
      <w:r w:rsidRPr="00522DF3">
        <w:rPr>
          <w:lang w:val="ru-RU"/>
        </w:rPr>
        <w:t xml:space="preserve"> на предоставление нескольких услуг являются нейтральными в технологическом отношении. Вместе с тем, разрешения на предоставление нескольких услуг носят более ограниченный, по сравнению с едиными разрешениями, характер; держателям лицензии разрешается предоставлять любые услуги из утвержденного списка, но не любые и не все услуги. Разрешения на предоставление нескольких услуг иногда выдаются в качестве общих разрешений, а в иных случаях </w:t>
      </w:r>
      <w:r w:rsidRPr="00522DF3">
        <w:rPr>
          <w:lang w:val="ru-RU"/>
        </w:rPr>
        <w:sym w:font="Symbol" w:char="F02D"/>
      </w:r>
      <w:r w:rsidRPr="00522DF3">
        <w:rPr>
          <w:lang w:val="ru-RU"/>
        </w:rPr>
        <w:t xml:space="preserve"> как индивидуальные лицензии. Весьма распространенным является действие в стране обоих режимов </w:t>
      </w:r>
      <w:r w:rsidRPr="00522DF3">
        <w:rPr>
          <w:lang w:val="ru-RU"/>
        </w:rPr>
        <w:sym w:font="Symbol" w:char="F02D"/>
      </w:r>
      <w:r w:rsidRPr="00522DF3">
        <w:rPr>
          <w:lang w:val="ru-RU"/>
        </w:rPr>
        <w:t xml:space="preserve"> общих разрешений и индивидуальных лицензий </w:t>
      </w:r>
      <w:r w:rsidRPr="00522DF3">
        <w:rPr>
          <w:lang w:val="ru-RU"/>
        </w:rPr>
        <w:sym w:font="Symbol" w:char="F02D"/>
      </w:r>
      <w:r w:rsidRPr="00522DF3">
        <w:rPr>
          <w:lang w:val="ru-RU"/>
        </w:rPr>
        <w:t xml:space="preserve"> в отношении </w:t>
      </w:r>
      <w:r w:rsidRPr="00522DF3">
        <w:rPr>
          <w:lang w:val="ru-RU"/>
        </w:rPr>
        <w:lastRenderedPageBreak/>
        <w:t>выдачи разрешения на предоставление нескольких услуг. Индивидуальные разрешения на несколько услуг часто выдаются в рамках процесса неконкурентного индивидуального лицензирования.</w:t>
      </w:r>
    </w:p>
    <w:p w:rsidR="00522DF3" w:rsidRPr="00522DF3" w:rsidRDefault="00522DF3" w:rsidP="00522DF3">
      <w:pPr>
        <w:pStyle w:val="Heading1"/>
        <w:rPr>
          <w:lang w:val="ru-RU"/>
        </w:rPr>
      </w:pPr>
      <w:bookmarkStart w:id="33" w:name="_Toc134215322"/>
      <w:bookmarkStart w:id="34" w:name="_Toc134215323"/>
      <w:bookmarkStart w:id="35" w:name="_Toc134215324"/>
      <w:bookmarkStart w:id="36" w:name="_Toc134215325"/>
      <w:bookmarkStart w:id="37" w:name="_Toc136421574"/>
      <w:bookmarkStart w:id="38" w:name="_Toc262721848"/>
      <w:bookmarkEnd w:id="33"/>
      <w:bookmarkEnd w:id="34"/>
      <w:bookmarkEnd w:id="35"/>
      <w:r w:rsidRPr="00522DF3">
        <w:rPr>
          <w:lang w:val="ru-RU"/>
        </w:rPr>
        <w:t>3</w:t>
      </w:r>
      <w:r w:rsidRPr="00522DF3">
        <w:rPr>
          <w:lang w:val="ru-RU"/>
        </w:rPr>
        <w:tab/>
        <w:t>Обзор законодательных рамок</w:t>
      </w:r>
      <w:bookmarkEnd w:id="38"/>
    </w:p>
    <w:p w:rsidR="00522DF3" w:rsidRPr="00522DF3" w:rsidRDefault="00522DF3" w:rsidP="00522DF3">
      <w:pPr>
        <w:pStyle w:val="Heading2"/>
        <w:rPr>
          <w:lang w:val="ru-RU"/>
        </w:rPr>
      </w:pPr>
      <w:bookmarkStart w:id="39" w:name="_Toc262721849"/>
      <w:r w:rsidRPr="00522DF3">
        <w:rPr>
          <w:lang w:val="ru-RU"/>
        </w:rPr>
        <w:t>3.1</w:t>
      </w:r>
      <w:r w:rsidRPr="00522DF3">
        <w:rPr>
          <w:lang w:val="ru-RU"/>
        </w:rPr>
        <w:tab/>
      </w:r>
      <w:bookmarkEnd w:id="36"/>
      <w:bookmarkEnd w:id="37"/>
      <w:r w:rsidRPr="00522DF3">
        <w:rPr>
          <w:lang w:val="ru-RU"/>
        </w:rPr>
        <w:t>Упрощение лицензий</w:t>
      </w:r>
      <w:bookmarkEnd w:id="39"/>
    </w:p>
    <w:p w:rsidR="00522DF3" w:rsidRPr="00522DF3" w:rsidRDefault="00522DF3" w:rsidP="00522DF3">
      <w:pPr>
        <w:pStyle w:val="Heading3"/>
        <w:rPr>
          <w:bCs/>
          <w:lang w:val="ru-RU"/>
        </w:rPr>
      </w:pPr>
      <w:bookmarkStart w:id="40" w:name="_Toc262721850"/>
      <w:r w:rsidRPr="00522DF3">
        <w:rPr>
          <w:lang w:val="ru-RU"/>
        </w:rPr>
        <w:t>3.1.1</w:t>
      </w:r>
      <w:r w:rsidRPr="00522DF3">
        <w:rPr>
          <w:lang w:val="ru-RU"/>
        </w:rPr>
        <w:tab/>
        <w:t>Объединение лицензий</w:t>
      </w:r>
      <w:bookmarkEnd w:id="40"/>
    </w:p>
    <w:p w:rsidR="00522DF3" w:rsidRPr="00522DF3" w:rsidRDefault="00522DF3" w:rsidP="00522DF3">
      <w:pPr>
        <w:rPr>
          <w:lang w:val="ru-RU"/>
        </w:rPr>
      </w:pPr>
      <w:r w:rsidRPr="00522DF3">
        <w:rPr>
          <w:lang w:val="ru-RU"/>
        </w:rPr>
        <w:t xml:space="preserve">Объединение лицензий предусматривает повторную классификацию существующих услуг электросвязи, с </w:t>
      </w:r>
      <w:proofErr w:type="gramStart"/>
      <w:r w:rsidRPr="00522DF3">
        <w:rPr>
          <w:lang w:val="ru-RU"/>
        </w:rPr>
        <w:t>тем</w:t>
      </w:r>
      <w:proofErr w:type="gramEnd"/>
      <w:r w:rsidRPr="00522DF3">
        <w:rPr>
          <w:lang w:val="ru-RU"/>
        </w:rPr>
        <w:t xml:space="preserve"> чтобы сгруппировать их по иным категориям исходя из технологической нейтральности. В результате число лицензий сокращается, а число услуг, включенных в каждую категорию, расширяется. По такому пути идут многие страны, в том числе Малайзия, Танзания, Уганда и Сингапур.</w:t>
      </w:r>
    </w:p>
    <w:p w:rsidR="00522DF3" w:rsidRPr="00522DF3" w:rsidRDefault="00522DF3" w:rsidP="00522DF3">
      <w:pPr>
        <w:rPr>
          <w:lang w:val="ru-RU"/>
        </w:rPr>
      </w:pPr>
      <w:proofErr w:type="gramStart"/>
      <w:r w:rsidRPr="00522DF3">
        <w:rPr>
          <w:lang w:val="ru-RU"/>
        </w:rPr>
        <w:t>В Малайзии в рамках действовавшей ранее системы регулирования лицензии были сгруппированы по признаку сети и услуги в 31 различную категорию, такие как операторы международных и национальных сетей, подвижной связи, магистральных сетей, поставщики услуг интернета, услуги за дополнительную плату, радиовещание и т. д. Для адаптации своего режима лицензирования к условиям конвергенции Малайзия сократила эту 31 категорию до следующих четырех, нейтральных в</w:t>
      </w:r>
      <w:proofErr w:type="gramEnd"/>
      <w:r w:rsidRPr="00522DF3">
        <w:rPr>
          <w:lang w:val="ru-RU"/>
        </w:rPr>
        <w:t xml:space="preserve"> технологическом </w:t>
      </w:r>
      <w:proofErr w:type="gramStart"/>
      <w:r w:rsidRPr="00522DF3">
        <w:rPr>
          <w:lang w:val="ru-RU"/>
        </w:rPr>
        <w:t>отношении</w:t>
      </w:r>
      <w:proofErr w:type="gramEnd"/>
      <w:r w:rsidRPr="00FA5CF9">
        <w:rPr>
          <w:position w:val="6"/>
          <w:sz w:val="16"/>
          <w:szCs w:val="16"/>
          <w:lang w:val="ru-RU"/>
        </w:rPr>
        <w:footnoteReference w:id="6"/>
      </w:r>
      <w:r w:rsidRPr="00522DF3">
        <w:rPr>
          <w:lang w:val="ru-RU"/>
        </w:rPr>
        <w:t>:</w:t>
      </w:r>
      <w:r w:rsidRPr="00522DF3">
        <w:rPr>
          <w:vertAlign w:val="superscript"/>
          <w:lang w:val="ru-RU"/>
        </w:rPr>
        <w:t xml:space="preserve"> </w:t>
      </w:r>
    </w:p>
    <w:p w:rsidR="00522DF3" w:rsidRPr="00522DF3" w:rsidRDefault="00522DF3" w:rsidP="00522DF3">
      <w:pPr>
        <w:pStyle w:val="enumlev1"/>
        <w:rPr>
          <w:lang w:val="ru-RU"/>
        </w:rPr>
      </w:pPr>
      <w:r w:rsidRPr="00522DF3">
        <w:rPr>
          <w:lang w:val="ru-RU"/>
        </w:rPr>
        <w:t>•</w:t>
      </w:r>
      <w:r w:rsidRPr="00522DF3">
        <w:rPr>
          <w:lang w:val="ru-RU"/>
        </w:rPr>
        <w:tab/>
        <w:t>поставщик сетевых объектов, включая всех операторов сетевой инфраструктуры любого типа (системы на базе спутниковых земных станций, волоконно-оптические системы, базовые станции систем подвижной связи и т. д.);</w:t>
      </w:r>
    </w:p>
    <w:p w:rsidR="00522DF3" w:rsidRPr="00522DF3" w:rsidRDefault="00522DF3" w:rsidP="00522DF3">
      <w:pPr>
        <w:pStyle w:val="enumlev1"/>
        <w:rPr>
          <w:lang w:val="ru-RU"/>
        </w:rPr>
      </w:pPr>
      <w:r w:rsidRPr="00522DF3">
        <w:rPr>
          <w:lang w:val="ru-RU"/>
        </w:rPr>
        <w:t>•</w:t>
      </w:r>
      <w:r w:rsidRPr="00522DF3">
        <w:rPr>
          <w:lang w:val="ru-RU"/>
        </w:rPr>
        <w:tab/>
        <w:t>поставщик сетевых услуг </w:t>
      </w:r>
      <w:r w:rsidRPr="00522DF3">
        <w:rPr>
          <w:lang w:val="ru-RU"/>
        </w:rPr>
        <w:sym w:font="Symbol" w:char="F02D"/>
      </w:r>
      <w:r w:rsidRPr="00522DF3">
        <w:rPr>
          <w:lang w:val="ru-RU"/>
        </w:rPr>
        <w:t xml:space="preserve"> все поставщики, обеспечивающие базовое и широкополосное подсоединение для поддержки приложений. Эти лицензии позволяют предоставлять подсоединение и транзитную передачу в среде различных сетей;</w:t>
      </w:r>
    </w:p>
    <w:p w:rsidR="00522DF3" w:rsidRPr="00522DF3" w:rsidRDefault="00522DF3" w:rsidP="00522DF3">
      <w:pPr>
        <w:pStyle w:val="enumlev1"/>
        <w:rPr>
          <w:lang w:val="ru-RU"/>
        </w:rPr>
      </w:pPr>
      <w:r w:rsidRPr="00522DF3">
        <w:rPr>
          <w:lang w:val="ru-RU"/>
        </w:rPr>
        <w:t>•</w:t>
      </w:r>
      <w:r w:rsidRPr="00522DF3">
        <w:rPr>
          <w:lang w:val="ru-RU"/>
        </w:rPr>
        <w:tab/>
        <w:t xml:space="preserve">поставщик прикладных услуг, к которым </w:t>
      </w:r>
      <w:proofErr w:type="gramStart"/>
      <w:r w:rsidRPr="00522DF3">
        <w:rPr>
          <w:lang w:val="ru-RU"/>
        </w:rPr>
        <w:t>относятся</w:t>
      </w:r>
      <w:proofErr w:type="gramEnd"/>
      <w:r w:rsidRPr="00522DF3">
        <w:rPr>
          <w:lang w:val="ru-RU"/>
        </w:rPr>
        <w:t xml:space="preserve"> в том числе операторы, обеспечивающие такие функции, как услуги голосовой связи, передачи данных и контента, а также услуги электронной коммерции. В целом прикладные услуги понимаются как функциональные свойства и возможности, предлагаемые конечному пользователю;</w:t>
      </w:r>
    </w:p>
    <w:p w:rsidR="00522DF3" w:rsidRPr="00522DF3" w:rsidRDefault="00522DF3" w:rsidP="00522DF3">
      <w:pPr>
        <w:pStyle w:val="enumlev1"/>
        <w:rPr>
          <w:lang w:val="ru-RU"/>
        </w:rPr>
      </w:pPr>
      <w:r w:rsidRPr="00522DF3">
        <w:rPr>
          <w:lang w:val="ru-RU"/>
        </w:rPr>
        <w:t>•</w:t>
      </w:r>
      <w:r w:rsidRPr="00522DF3">
        <w:rPr>
          <w:lang w:val="ru-RU"/>
        </w:rPr>
        <w:tab/>
        <w:t>поставщик прикладных услуг контента, к которым относятся традиционные радиовещательные услуги (радио и телевидение) и новые услуги, такие как информационные услуги.</w:t>
      </w:r>
    </w:p>
    <w:p w:rsidR="00522DF3" w:rsidRPr="00522DF3" w:rsidRDefault="00522DF3" w:rsidP="00522DF3">
      <w:pPr>
        <w:rPr>
          <w:lang w:val="ru-RU"/>
        </w:rPr>
      </w:pPr>
      <w:r w:rsidRPr="00522DF3">
        <w:rPr>
          <w:lang w:val="ru-RU"/>
        </w:rPr>
        <w:t>В рамках этих четырех категорий существуют два типа лицензий: индивидуальные лицензии, которые выдаются для осуществления деятельности, подлежащей жесткому регулированию (например, необходимость получения прав на использование спектра) и регистрации, возобновляются на ежегодной основе и регистрируются в реестре Комиссии по коммуникации и мультимедиа Малайзии. Кроме того, меньшая часть функций в рамках каждой категории не обязана получать лицензию.</w:t>
      </w:r>
    </w:p>
    <w:p w:rsidR="00522DF3" w:rsidRPr="00522DF3" w:rsidRDefault="00522DF3" w:rsidP="00522DF3">
      <w:pPr>
        <w:rPr>
          <w:lang w:val="ru-RU"/>
        </w:rPr>
      </w:pPr>
      <w:r w:rsidRPr="00522DF3">
        <w:rPr>
          <w:lang w:val="ru-RU"/>
        </w:rPr>
        <w:t>Танзания, как и Малайзия, также упростила свой режим лицензирования, введя в феврале 2005 года рамки лицензирования в условиях конвергенции (</w:t>
      </w:r>
      <w:proofErr w:type="spellStart"/>
      <w:r w:rsidRPr="00522DF3">
        <w:rPr>
          <w:lang w:val="ru-RU"/>
        </w:rPr>
        <w:t>CFL</w:t>
      </w:r>
      <w:proofErr w:type="spellEnd"/>
      <w:r w:rsidRPr="00522DF3">
        <w:rPr>
          <w:lang w:val="ru-RU"/>
        </w:rPr>
        <w:t xml:space="preserve">). </w:t>
      </w:r>
      <w:proofErr w:type="spellStart"/>
      <w:r w:rsidRPr="00522DF3">
        <w:rPr>
          <w:lang w:val="ru-RU"/>
        </w:rPr>
        <w:t>CFL</w:t>
      </w:r>
      <w:proofErr w:type="spellEnd"/>
      <w:r w:rsidRPr="00522DF3">
        <w:rPr>
          <w:lang w:val="ru-RU"/>
        </w:rPr>
        <w:t xml:space="preserve"> включают те же четыре категории лицензий, что и введенные в Малайзии, а именно: лицензия на предоставление сетевых средств, лицензия на предоставление сетевых услуг, лицензия на предоставление прикладных услуг и лицензия на предоставление услуг контента</w:t>
      </w:r>
      <w:r w:rsidRPr="00FA5CF9">
        <w:rPr>
          <w:position w:val="6"/>
          <w:sz w:val="16"/>
          <w:szCs w:val="16"/>
          <w:lang w:val="ru-RU"/>
        </w:rPr>
        <w:footnoteReference w:id="7"/>
      </w:r>
      <w:r w:rsidRPr="00522DF3">
        <w:rPr>
          <w:lang w:val="ru-RU"/>
        </w:rPr>
        <w:t>.</w:t>
      </w:r>
    </w:p>
    <w:p w:rsidR="002266DA" w:rsidRDefault="00522DF3" w:rsidP="00522DF3">
      <w:r w:rsidRPr="00522DF3">
        <w:rPr>
          <w:bCs/>
          <w:lang w:val="ru-RU"/>
        </w:rPr>
        <w:lastRenderedPageBreak/>
        <w:t xml:space="preserve">Уганда также разработала новый упорядоченный и нейтральный в технологическом отношении режим лицензирования, который был введен в январе 2007 года. </w:t>
      </w:r>
      <w:proofErr w:type="gramStart"/>
      <w:r w:rsidRPr="00522DF3">
        <w:rPr>
          <w:bCs/>
          <w:lang w:val="ru-RU"/>
        </w:rPr>
        <w:t>В рамках этого режима определены три категории лицензий: i) лицензия поставщика услуг общего пользования; ii) лицензия поставщика пропускной способности; iii) лицензия поставщика средств инфраструктуры; и iv) общее разрешение (схема 1).</w:t>
      </w:r>
      <w:proofErr w:type="gramEnd"/>
    </w:p>
    <w:p w:rsidR="002266DA" w:rsidRDefault="002266DA" w:rsidP="002266DA"/>
    <w:p w:rsidR="00522DF3" w:rsidRPr="00522DF3" w:rsidRDefault="00522DF3" w:rsidP="00D77986">
      <w:pPr>
        <w:pStyle w:val="FigureTitle"/>
        <w:rPr>
          <w:rFonts w:asciiTheme="majorBidi" w:hAnsiTheme="majorBidi" w:cstheme="majorBidi"/>
          <w:lang w:val="ru-RU"/>
        </w:rPr>
      </w:pPr>
      <w:r w:rsidRPr="00522DF3">
        <w:rPr>
          <w:rFonts w:asciiTheme="majorBidi" w:hAnsiTheme="majorBidi" w:cstheme="majorBidi"/>
          <w:lang w:val="ru-RU"/>
        </w:rPr>
        <w:t>Схема 1</w:t>
      </w:r>
      <w:r w:rsidR="00D77986">
        <w:rPr>
          <w:rFonts w:asciiTheme="majorBidi" w:hAnsiTheme="majorBidi" w:cstheme="majorBidi"/>
          <w:lang w:val="ru-RU"/>
        </w:rPr>
        <w:t>:</w:t>
      </w:r>
      <w:r w:rsidRPr="00522DF3">
        <w:rPr>
          <w:rFonts w:asciiTheme="majorBidi" w:hAnsiTheme="majorBidi" w:cstheme="majorBidi"/>
          <w:lang w:val="ru-RU"/>
        </w:rPr>
        <w:t xml:space="preserve"> Новый режим лицензирования Уганды</w:t>
      </w:r>
      <w:r w:rsidRPr="00522DF3">
        <w:rPr>
          <w:rFonts w:asciiTheme="majorBidi" w:hAnsiTheme="majorBidi" w:cstheme="majorBidi"/>
          <w:b w:val="0"/>
          <w:bCs/>
          <w:position w:val="6"/>
          <w:sz w:val="16"/>
          <w:szCs w:val="16"/>
          <w:lang w:val="ru-RU"/>
        </w:rPr>
        <w:footnoteReference w:id="8"/>
      </w:r>
    </w:p>
    <w:p w:rsidR="002266DA" w:rsidRPr="00EF6D54" w:rsidRDefault="002266DA" w:rsidP="002266DA">
      <w:pPr>
        <w:pStyle w:val="FigureTitle"/>
        <w:rPr>
          <w:rFonts w:asciiTheme="majorBidi" w:hAnsiTheme="majorBidi" w:cstheme="majorBidi"/>
        </w:rPr>
      </w:pPr>
    </w:p>
    <w:p w:rsidR="002266DA" w:rsidRPr="00104FF2" w:rsidRDefault="002266DA" w:rsidP="002266DA">
      <w:pPr>
        <w:spacing w:before="0"/>
        <w:rPr>
          <w:sz w:val="8"/>
          <w:szCs w:val="8"/>
          <w:lang w:val="en-US"/>
        </w:rPr>
      </w:pPr>
    </w:p>
    <w:tbl>
      <w:tblPr>
        <w:tblStyle w:val="TableGrid"/>
        <w:tblW w:w="0" w:type="auto"/>
        <w:tblInd w:w="108" w:type="dxa"/>
        <w:tblLook w:val="01E0"/>
      </w:tblPr>
      <w:tblGrid>
        <w:gridCol w:w="2476"/>
        <w:gridCol w:w="7165"/>
      </w:tblGrid>
      <w:tr w:rsidR="00522DF3" w:rsidRPr="00522DF3" w:rsidTr="00D77986">
        <w:tc>
          <w:tcPr>
            <w:tcW w:w="2476" w:type="dxa"/>
            <w:shd w:val="clear" w:color="auto" w:fill="auto"/>
          </w:tcPr>
          <w:p w:rsidR="00522DF3" w:rsidRPr="00522DF3" w:rsidRDefault="00522DF3" w:rsidP="00522DF3">
            <w:pPr>
              <w:pStyle w:val="CEONormal"/>
              <w:tabs>
                <w:tab w:val="left" w:pos="851"/>
              </w:tabs>
              <w:spacing w:before="40" w:after="40"/>
              <w:jc w:val="center"/>
              <w:rPr>
                <w:rFonts w:asciiTheme="majorBidi" w:hAnsiTheme="majorBidi" w:cstheme="majorBidi"/>
                <w:b/>
                <w:sz w:val="20"/>
                <w:szCs w:val="20"/>
                <w:lang w:val="ru-RU"/>
              </w:rPr>
            </w:pPr>
            <w:r w:rsidRPr="00522DF3">
              <w:rPr>
                <w:rFonts w:asciiTheme="majorBidi" w:hAnsiTheme="majorBidi" w:cstheme="majorBidi"/>
                <w:b/>
                <w:sz w:val="20"/>
                <w:szCs w:val="20"/>
                <w:lang w:val="ru-RU"/>
              </w:rPr>
              <w:t>Тип лицензии</w:t>
            </w:r>
          </w:p>
        </w:tc>
        <w:tc>
          <w:tcPr>
            <w:tcW w:w="7165" w:type="dxa"/>
            <w:shd w:val="clear" w:color="auto" w:fill="auto"/>
          </w:tcPr>
          <w:p w:rsidR="00522DF3" w:rsidRPr="00522DF3" w:rsidRDefault="00522DF3" w:rsidP="00522DF3">
            <w:pPr>
              <w:pStyle w:val="CEONormal"/>
              <w:tabs>
                <w:tab w:val="left" w:pos="851"/>
              </w:tabs>
              <w:spacing w:before="40" w:after="40"/>
              <w:jc w:val="center"/>
              <w:rPr>
                <w:rFonts w:asciiTheme="majorBidi" w:hAnsiTheme="majorBidi" w:cstheme="majorBidi"/>
                <w:b/>
                <w:sz w:val="20"/>
                <w:szCs w:val="20"/>
                <w:lang w:val="ru-RU"/>
              </w:rPr>
            </w:pPr>
            <w:r w:rsidRPr="00522DF3">
              <w:rPr>
                <w:rFonts w:asciiTheme="majorBidi" w:hAnsiTheme="majorBidi" w:cstheme="majorBidi"/>
                <w:b/>
                <w:sz w:val="20"/>
                <w:szCs w:val="20"/>
                <w:lang w:val="ru-RU"/>
              </w:rPr>
              <w:t>Услуги, входящие в лицензию</w:t>
            </w:r>
          </w:p>
        </w:tc>
      </w:tr>
      <w:tr w:rsidR="00522DF3" w:rsidRPr="00522DF3" w:rsidTr="00D77986">
        <w:tc>
          <w:tcPr>
            <w:tcW w:w="2476"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
                <w:sz w:val="20"/>
                <w:szCs w:val="20"/>
                <w:lang w:val="ru-RU"/>
              </w:rPr>
            </w:pPr>
            <w:r w:rsidRPr="00522DF3">
              <w:rPr>
                <w:rFonts w:asciiTheme="majorBidi" w:hAnsiTheme="majorBidi" w:cstheme="majorBidi"/>
                <w:b/>
                <w:sz w:val="20"/>
                <w:szCs w:val="20"/>
                <w:lang w:val="ru-RU"/>
              </w:rPr>
              <w:t>Лицензия поставщика услуг общего пользования</w:t>
            </w:r>
          </w:p>
        </w:tc>
        <w:tc>
          <w:tcPr>
            <w:tcW w:w="7165" w:type="dxa"/>
            <w:shd w:val="clear" w:color="auto" w:fill="auto"/>
          </w:tcPr>
          <w:p w:rsidR="00522DF3" w:rsidRPr="00522DF3" w:rsidRDefault="00522DF3" w:rsidP="00522DF3">
            <w:pPr>
              <w:pStyle w:val="CEONormal"/>
              <w:tabs>
                <w:tab w:val="left" w:pos="851"/>
              </w:tabs>
              <w:spacing w:before="40" w:after="40"/>
              <w:rPr>
                <w:rFonts w:asciiTheme="majorBidi" w:eastAsia="Symbol" w:hAnsiTheme="majorBidi" w:cstheme="majorBidi"/>
                <w:sz w:val="20"/>
                <w:szCs w:val="20"/>
                <w:lang w:val="ru-RU"/>
              </w:rPr>
            </w:pPr>
            <w:r w:rsidRPr="00522DF3">
              <w:rPr>
                <w:rFonts w:asciiTheme="majorBidi" w:hAnsiTheme="majorBidi" w:cstheme="majorBidi"/>
                <w:b/>
                <w:bCs/>
                <w:sz w:val="20"/>
                <w:szCs w:val="20"/>
                <w:lang w:val="ru-RU"/>
              </w:rPr>
              <w:t>Категория 1</w:t>
            </w:r>
            <w:r w:rsidRPr="00522DF3">
              <w:rPr>
                <w:rFonts w:asciiTheme="majorBidi" w:hAnsiTheme="majorBidi" w:cstheme="majorBidi"/>
                <w:sz w:val="20"/>
                <w:szCs w:val="20"/>
                <w:lang w:val="ru-RU"/>
              </w:rPr>
              <w:t>:</w:t>
            </w:r>
            <w:r w:rsidRPr="00522DF3">
              <w:rPr>
                <w:rFonts w:asciiTheme="majorBidi" w:hAnsiTheme="majorBidi" w:cstheme="majorBidi"/>
                <w:b/>
                <w:bCs/>
                <w:sz w:val="20"/>
                <w:szCs w:val="20"/>
                <w:lang w:val="ru-RU"/>
              </w:rPr>
              <w:t xml:space="preserve"> Голосовая связь и передача данных общего пользования </w:t>
            </w:r>
            <w:r w:rsidRPr="00522DF3">
              <w:rPr>
                <w:rFonts w:asciiTheme="majorBidi" w:hAnsiTheme="majorBidi" w:cstheme="majorBidi"/>
                <w:bCs/>
                <w:sz w:val="20"/>
                <w:szCs w:val="20"/>
                <w:lang w:val="ru-RU"/>
              </w:rPr>
              <w:sym w:font="Symbol" w:char="F02D"/>
            </w:r>
            <w:r w:rsidRPr="00522DF3">
              <w:rPr>
                <w:rFonts w:asciiTheme="majorBidi" w:hAnsiTheme="majorBidi" w:cstheme="majorBidi"/>
                <w:bCs/>
                <w:sz w:val="20"/>
                <w:szCs w:val="20"/>
                <w:lang w:val="ru-RU"/>
              </w:rPr>
              <w:t xml:space="preserve"> сотовая связь, фиксированная телефония, </w:t>
            </w:r>
            <w:proofErr w:type="spellStart"/>
            <w:r w:rsidRPr="00522DF3">
              <w:rPr>
                <w:rFonts w:asciiTheme="majorBidi" w:eastAsia="Symbol" w:hAnsiTheme="majorBidi" w:cstheme="majorBidi"/>
                <w:sz w:val="20"/>
                <w:szCs w:val="20"/>
                <w:lang w:val="ru-RU"/>
              </w:rPr>
              <w:t>GMPCS</w:t>
            </w:r>
            <w:proofErr w:type="spellEnd"/>
            <w:r w:rsidRPr="00522DF3">
              <w:rPr>
                <w:rFonts w:asciiTheme="majorBidi" w:eastAsia="Symbol" w:hAnsiTheme="majorBidi" w:cstheme="majorBidi"/>
                <w:sz w:val="20"/>
                <w:szCs w:val="20"/>
                <w:lang w:val="ru-RU"/>
              </w:rPr>
              <w:t>, доступ в интернет (в том числе IP-телефония + виртуальные частные сети), услуги обмена трафиком интернета, виртуальные частные сети (</w:t>
            </w:r>
            <w:proofErr w:type="spellStart"/>
            <w:r w:rsidRPr="00522DF3">
              <w:rPr>
                <w:rFonts w:asciiTheme="majorBidi" w:eastAsia="Symbol" w:hAnsiTheme="majorBidi" w:cstheme="majorBidi"/>
                <w:sz w:val="20"/>
                <w:szCs w:val="20"/>
                <w:lang w:val="ru-RU"/>
              </w:rPr>
              <w:t>ВЧС</w:t>
            </w:r>
            <w:proofErr w:type="spellEnd"/>
            <w:r w:rsidRPr="00522DF3">
              <w:rPr>
                <w:rFonts w:asciiTheme="majorBidi" w:eastAsia="Symbol" w:hAnsiTheme="majorBidi" w:cstheme="majorBidi"/>
                <w:sz w:val="20"/>
                <w:szCs w:val="20"/>
                <w:lang w:val="ru-RU"/>
              </w:rPr>
              <w:t>), не обеспечиваемые через интернет.</w:t>
            </w:r>
          </w:p>
          <w:p w:rsidR="00522DF3" w:rsidRPr="00522DF3" w:rsidRDefault="00522DF3" w:rsidP="00522DF3">
            <w:pPr>
              <w:pStyle w:val="CEONormal"/>
              <w:tabs>
                <w:tab w:val="left" w:pos="851"/>
              </w:tabs>
              <w:spacing w:before="40" w:after="40"/>
              <w:rPr>
                <w:rFonts w:asciiTheme="majorBidi" w:hAnsiTheme="majorBidi" w:cstheme="majorBidi"/>
                <w:sz w:val="20"/>
                <w:szCs w:val="20"/>
                <w:lang w:val="ru-RU"/>
              </w:rPr>
            </w:pPr>
            <w:r w:rsidRPr="00522DF3">
              <w:rPr>
                <w:rFonts w:asciiTheme="majorBidi" w:hAnsiTheme="majorBidi" w:cstheme="majorBidi"/>
                <w:b/>
                <w:bCs/>
                <w:sz w:val="20"/>
                <w:szCs w:val="20"/>
                <w:lang w:val="ru-RU"/>
              </w:rPr>
              <w:t>Категория 2</w:t>
            </w:r>
            <w:r w:rsidRPr="00522DF3">
              <w:rPr>
                <w:rFonts w:asciiTheme="majorBidi" w:hAnsiTheme="majorBidi" w:cstheme="majorBidi"/>
                <w:sz w:val="20"/>
                <w:szCs w:val="20"/>
                <w:lang w:val="ru-RU"/>
              </w:rPr>
              <w:t>:</w:t>
            </w:r>
            <w:r w:rsidRPr="00522DF3">
              <w:rPr>
                <w:rFonts w:asciiTheme="majorBidi" w:hAnsiTheme="majorBidi" w:cstheme="majorBidi"/>
                <w:b/>
                <w:bCs/>
                <w:sz w:val="20"/>
                <w:szCs w:val="20"/>
                <w:lang w:val="ru-RU"/>
              </w:rPr>
              <w:t xml:space="preserve"> Перепродажа пропускной способности</w:t>
            </w:r>
            <w:r w:rsidRPr="00522DF3">
              <w:rPr>
                <w:rFonts w:asciiTheme="majorBidi" w:hAnsiTheme="majorBidi" w:cstheme="majorBidi"/>
                <w:sz w:val="20"/>
                <w:szCs w:val="20"/>
                <w:lang w:val="ru-RU"/>
              </w:rPr>
              <w:t> </w:t>
            </w:r>
            <w:r w:rsidRPr="00522DF3">
              <w:rPr>
                <w:rFonts w:asciiTheme="majorBidi" w:hAnsiTheme="majorBidi" w:cstheme="majorBidi"/>
                <w:sz w:val="20"/>
                <w:szCs w:val="20"/>
                <w:lang w:val="ru-RU"/>
              </w:rPr>
              <w:sym w:font="Symbol" w:char="F02D"/>
            </w:r>
            <w:r w:rsidRPr="00522DF3">
              <w:rPr>
                <w:rFonts w:asciiTheme="majorBidi" w:hAnsiTheme="majorBidi" w:cstheme="majorBidi"/>
                <w:sz w:val="20"/>
                <w:szCs w:val="20"/>
                <w:lang w:val="ru-RU"/>
              </w:rPr>
              <w:t xml:space="preserve"> перепродажа пропускной способности для местной и международной связи, </w:t>
            </w:r>
            <w:r w:rsidRPr="00522DF3">
              <w:rPr>
                <w:rFonts w:asciiTheme="majorBidi" w:hAnsiTheme="majorBidi" w:cstheme="majorBidi"/>
                <w:bCs/>
                <w:sz w:val="20"/>
                <w:szCs w:val="20"/>
                <w:lang w:val="ru-RU"/>
              </w:rPr>
              <w:t>телефонные карты.</w:t>
            </w:r>
          </w:p>
        </w:tc>
      </w:tr>
      <w:tr w:rsidR="00522DF3" w:rsidRPr="00522DF3" w:rsidTr="00D77986">
        <w:tc>
          <w:tcPr>
            <w:tcW w:w="2476"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
                <w:sz w:val="20"/>
                <w:szCs w:val="20"/>
                <w:lang w:val="ru-RU"/>
              </w:rPr>
            </w:pPr>
            <w:r w:rsidRPr="00522DF3">
              <w:rPr>
                <w:rFonts w:asciiTheme="majorBidi" w:hAnsiTheme="majorBidi" w:cstheme="majorBidi"/>
                <w:b/>
                <w:sz w:val="20"/>
                <w:szCs w:val="20"/>
                <w:lang w:val="ru-RU"/>
              </w:rPr>
              <w:t>Лицензия поставщика пропускной способности</w:t>
            </w:r>
          </w:p>
        </w:tc>
        <w:tc>
          <w:tcPr>
            <w:tcW w:w="7165"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Cs/>
                <w:sz w:val="20"/>
                <w:szCs w:val="20"/>
                <w:lang w:val="ru-RU"/>
              </w:rPr>
            </w:pPr>
            <w:r w:rsidRPr="00522DF3">
              <w:rPr>
                <w:rFonts w:asciiTheme="majorBidi" w:hAnsiTheme="majorBidi" w:cstheme="majorBidi"/>
                <w:b/>
                <w:bCs/>
                <w:sz w:val="20"/>
                <w:szCs w:val="20"/>
                <w:lang w:val="ru-RU"/>
              </w:rPr>
              <w:t>Категория 1</w:t>
            </w:r>
            <w:r w:rsidRPr="00522DF3">
              <w:rPr>
                <w:rFonts w:asciiTheme="majorBidi" w:hAnsiTheme="majorBidi" w:cstheme="majorBidi"/>
                <w:sz w:val="20"/>
                <w:szCs w:val="20"/>
                <w:lang w:val="ru-RU"/>
              </w:rPr>
              <w:t>:</w:t>
            </w:r>
            <w:r w:rsidRPr="00522DF3">
              <w:rPr>
                <w:rFonts w:asciiTheme="majorBidi" w:hAnsiTheme="majorBidi" w:cstheme="majorBidi"/>
                <w:bCs/>
                <w:sz w:val="20"/>
                <w:szCs w:val="20"/>
                <w:lang w:val="ru-RU"/>
              </w:rPr>
              <w:t xml:space="preserve"> держатели лицензий, которым уже разрешена установка средств инфраструктуры того типа, в который они уже вложили средства, например поставщики доступа в интернет с беспроводными сетями.</w:t>
            </w:r>
          </w:p>
          <w:p w:rsidR="00522DF3" w:rsidRPr="00522DF3" w:rsidRDefault="00522DF3" w:rsidP="00522DF3">
            <w:pPr>
              <w:pStyle w:val="CEONormal"/>
              <w:tabs>
                <w:tab w:val="left" w:pos="851"/>
              </w:tabs>
              <w:spacing w:before="40" w:after="40"/>
              <w:rPr>
                <w:rFonts w:asciiTheme="majorBidi" w:hAnsiTheme="majorBidi" w:cstheme="majorBidi"/>
                <w:bCs/>
                <w:sz w:val="20"/>
                <w:szCs w:val="20"/>
                <w:lang w:val="ru-RU"/>
              </w:rPr>
            </w:pPr>
            <w:r w:rsidRPr="00522DF3">
              <w:rPr>
                <w:rFonts w:asciiTheme="majorBidi" w:hAnsiTheme="majorBidi" w:cstheme="majorBidi"/>
                <w:b/>
                <w:bCs/>
                <w:sz w:val="20"/>
                <w:szCs w:val="20"/>
                <w:lang w:val="ru-RU"/>
              </w:rPr>
              <w:t>Категория 2</w:t>
            </w:r>
            <w:r w:rsidRPr="00522DF3">
              <w:rPr>
                <w:rFonts w:asciiTheme="majorBidi" w:hAnsiTheme="majorBidi" w:cstheme="majorBidi"/>
                <w:sz w:val="20"/>
                <w:szCs w:val="20"/>
                <w:lang w:val="ru-RU"/>
              </w:rPr>
              <w:t xml:space="preserve">: </w:t>
            </w:r>
            <w:r w:rsidRPr="00522DF3">
              <w:rPr>
                <w:rFonts w:asciiTheme="majorBidi" w:hAnsiTheme="majorBidi" w:cstheme="majorBidi"/>
                <w:bCs/>
                <w:sz w:val="20"/>
                <w:szCs w:val="20"/>
                <w:lang w:val="ru-RU"/>
              </w:rPr>
              <w:t>лица, основной бизнес которых не относится к области электросвязи, но которые являются владельцами частных сре</w:t>
            </w:r>
            <w:proofErr w:type="gramStart"/>
            <w:r w:rsidRPr="00522DF3">
              <w:rPr>
                <w:rFonts w:asciiTheme="majorBidi" w:hAnsiTheme="majorBidi" w:cstheme="majorBidi"/>
                <w:bCs/>
                <w:sz w:val="20"/>
                <w:szCs w:val="20"/>
                <w:lang w:val="ru-RU"/>
              </w:rPr>
              <w:t>дств св</w:t>
            </w:r>
            <w:proofErr w:type="gramEnd"/>
            <w:r w:rsidRPr="00522DF3">
              <w:rPr>
                <w:rFonts w:asciiTheme="majorBidi" w:hAnsiTheme="majorBidi" w:cstheme="majorBidi"/>
                <w:bCs/>
                <w:sz w:val="20"/>
                <w:szCs w:val="20"/>
                <w:lang w:val="ru-RU"/>
              </w:rPr>
              <w:t>язи с избыточной пропускной способностью и желают осуществлять ее перепродажу третьим сторонам.</w:t>
            </w:r>
          </w:p>
          <w:p w:rsidR="00522DF3" w:rsidRPr="00522DF3" w:rsidRDefault="00522DF3" w:rsidP="00522DF3">
            <w:pPr>
              <w:pStyle w:val="CEONormal"/>
              <w:tabs>
                <w:tab w:val="left" w:pos="851"/>
              </w:tabs>
              <w:spacing w:before="40" w:after="40"/>
              <w:rPr>
                <w:rFonts w:asciiTheme="majorBidi" w:hAnsiTheme="majorBidi" w:cstheme="majorBidi"/>
                <w:sz w:val="20"/>
                <w:szCs w:val="20"/>
                <w:lang w:val="ru-RU"/>
              </w:rPr>
            </w:pPr>
            <w:r w:rsidRPr="00522DF3">
              <w:rPr>
                <w:rFonts w:asciiTheme="majorBidi" w:hAnsiTheme="majorBidi" w:cstheme="majorBidi"/>
                <w:b/>
                <w:bCs/>
                <w:sz w:val="20"/>
                <w:szCs w:val="20"/>
                <w:lang w:val="ru-RU"/>
              </w:rPr>
              <w:t>Категория 3</w:t>
            </w:r>
            <w:r w:rsidRPr="00522DF3">
              <w:rPr>
                <w:rFonts w:asciiTheme="majorBidi" w:hAnsiTheme="majorBidi" w:cstheme="majorBidi"/>
                <w:sz w:val="20"/>
                <w:szCs w:val="20"/>
                <w:lang w:val="ru-RU"/>
              </w:rPr>
              <w:t>:</w:t>
            </w:r>
            <w:r w:rsidRPr="00522DF3">
              <w:rPr>
                <w:rFonts w:asciiTheme="majorBidi" w:hAnsiTheme="majorBidi" w:cstheme="majorBidi"/>
                <w:bCs/>
                <w:sz w:val="20"/>
                <w:szCs w:val="20"/>
                <w:lang w:val="ru-RU"/>
              </w:rPr>
              <w:t xml:space="preserve"> новые участники рынка услуг доступа в интернет, эксплуатирующие свои сети с использованием полос частот для промышленных, научных и медицинских (</w:t>
            </w:r>
            <w:proofErr w:type="spellStart"/>
            <w:r w:rsidRPr="00522DF3">
              <w:rPr>
                <w:rFonts w:asciiTheme="majorBidi" w:hAnsiTheme="majorBidi" w:cstheme="majorBidi"/>
                <w:bCs/>
                <w:sz w:val="20"/>
                <w:szCs w:val="20"/>
                <w:lang w:val="ru-RU"/>
              </w:rPr>
              <w:t>ПНМ</w:t>
            </w:r>
            <w:proofErr w:type="spellEnd"/>
            <w:r w:rsidRPr="00522DF3">
              <w:rPr>
                <w:rFonts w:asciiTheme="majorBidi" w:hAnsiTheme="majorBidi" w:cstheme="majorBidi"/>
                <w:bCs/>
                <w:sz w:val="20"/>
                <w:szCs w:val="20"/>
                <w:lang w:val="ru-RU"/>
              </w:rPr>
              <w:t>) применений, например полосы 2,4 ГГц и 5,7 ГГц.</w:t>
            </w:r>
          </w:p>
        </w:tc>
      </w:tr>
      <w:tr w:rsidR="00522DF3" w:rsidRPr="00522DF3" w:rsidTr="00D77986">
        <w:tc>
          <w:tcPr>
            <w:tcW w:w="2476"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
                <w:sz w:val="20"/>
                <w:szCs w:val="20"/>
                <w:lang w:val="ru-RU"/>
              </w:rPr>
            </w:pPr>
            <w:r w:rsidRPr="00522DF3">
              <w:rPr>
                <w:rFonts w:asciiTheme="majorBidi" w:hAnsiTheme="majorBidi" w:cstheme="majorBidi"/>
                <w:b/>
                <w:sz w:val="20"/>
                <w:szCs w:val="20"/>
                <w:lang w:val="ru-RU"/>
              </w:rPr>
              <w:t>Лицензия поставщика средств инфраструктуры</w:t>
            </w:r>
          </w:p>
        </w:tc>
        <w:tc>
          <w:tcPr>
            <w:tcW w:w="7165"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Cs/>
                <w:sz w:val="20"/>
                <w:szCs w:val="20"/>
                <w:lang w:val="ru-RU"/>
              </w:rPr>
            </w:pPr>
            <w:r w:rsidRPr="00522DF3">
              <w:rPr>
                <w:rFonts w:asciiTheme="majorBidi" w:hAnsiTheme="majorBidi" w:cstheme="majorBidi"/>
                <w:bCs/>
                <w:sz w:val="20"/>
                <w:szCs w:val="20"/>
                <w:lang w:val="ru-RU"/>
              </w:rPr>
              <w:t>Поставщик средств инфраструктуры общего пользования.</w:t>
            </w:r>
          </w:p>
          <w:p w:rsidR="00522DF3" w:rsidRPr="00522DF3" w:rsidRDefault="00522DF3" w:rsidP="00522DF3">
            <w:pPr>
              <w:pStyle w:val="CEONormal"/>
              <w:tabs>
                <w:tab w:val="left" w:pos="851"/>
              </w:tabs>
              <w:spacing w:before="40" w:after="40"/>
              <w:rPr>
                <w:rFonts w:asciiTheme="majorBidi" w:hAnsiTheme="majorBidi" w:cstheme="majorBidi"/>
                <w:sz w:val="20"/>
                <w:szCs w:val="20"/>
                <w:lang w:val="ru-RU"/>
              </w:rPr>
            </w:pPr>
            <w:r w:rsidRPr="00522DF3">
              <w:rPr>
                <w:rFonts w:asciiTheme="majorBidi" w:hAnsiTheme="majorBidi" w:cstheme="majorBidi"/>
                <w:bCs/>
                <w:sz w:val="20"/>
                <w:szCs w:val="20"/>
                <w:lang w:val="ru-RU"/>
              </w:rPr>
              <w:t>Инфраструктура частных сетей.</w:t>
            </w:r>
          </w:p>
        </w:tc>
      </w:tr>
      <w:tr w:rsidR="00522DF3" w:rsidRPr="00522DF3" w:rsidTr="00D77986">
        <w:tc>
          <w:tcPr>
            <w:tcW w:w="2476"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b/>
                <w:sz w:val="20"/>
                <w:szCs w:val="20"/>
                <w:lang w:val="ru-RU"/>
              </w:rPr>
            </w:pPr>
            <w:r w:rsidRPr="00522DF3">
              <w:rPr>
                <w:rFonts w:asciiTheme="majorBidi" w:hAnsiTheme="majorBidi" w:cstheme="majorBidi"/>
                <w:b/>
                <w:sz w:val="20"/>
                <w:szCs w:val="20"/>
                <w:lang w:val="ru-RU"/>
              </w:rPr>
              <w:t>Общее разрешение</w:t>
            </w:r>
          </w:p>
        </w:tc>
        <w:tc>
          <w:tcPr>
            <w:tcW w:w="7165" w:type="dxa"/>
            <w:shd w:val="clear" w:color="auto" w:fill="auto"/>
          </w:tcPr>
          <w:p w:rsidR="00522DF3" w:rsidRPr="00522DF3" w:rsidRDefault="00522DF3" w:rsidP="00522DF3">
            <w:pPr>
              <w:pStyle w:val="CEONormal"/>
              <w:tabs>
                <w:tab w:val="left" w:pos="851"/>
              </w:tabs>
              <w:spacing w:before="40" w:after="40"/>
              <w:rPr>
                <w:rFonts w:asciiTheme="majorBidi" w:hAnsiTheme="majorBidi" w:cstheme="majorBidi"/>
                <w:sz w:val="20"/>
                <w:szCs w:val="20"/>
                <w:lang w:val="ru-RU"/>
              </w:rPr>
            </w:pPr>
            <w:r w:rsidRPr="00522DF3">
              <w:rPr>
                <w:rFonts w:asciiTheme="majorBidi" w:hAnsiTheme="majorBidi" w:cstheme="majorBidi"/>
                <w:b/>
                <w:sz w:val="20"/>
                <w:szCs w:val="20"/>
                <w:lang w:val="ru-RU"/>
              </w:rPr>
              <w:t>Категория 1</w:t>
            </w:r>
            <w:r w:rsidRPr="00522DF3">
              <w:rPr>
                <w:rFonts w:asciiTheme="majorBidi" w:hAnsiTheme="majorBidi" w:cstheme="majorBidi"/>
                <w:sz w:val="20"/>
                <w:szCs w:val="20"/>
                <w:lang w:val="ru-RU"/>
              </w:rPr>
              <w:t>: услуги платной связи общего пользования (например, интернет-кафе, таксофоны, телефонные бюро и т. д.).</w:t>
            </w:r>
          </w:p>
          <w:p w:rsidR="00522DF3" w:rsidRPr="00522DF3" w:rsidRDefault="00522DF3" w:rsidP="00522DF3">
            <w:pPr>
              <w:pStyle w:val="CEONormal"/>
              <w:tabs>
                <w:tab w:val="left" w:pos="851"/>
              </w:tabs>
              <w:spacing w:before="40" w:after="40"/>
              <w:rPr>
                <w:rFonts w:asciiTheme="majorBidi" w:hAnsiTheme="majorBidi" w:cstheme="majorBidi"/>
                <w:sz w:val="20"/>
                <w:szCs w:val="20"/>
                <w:lang w:val="ru-RU"/>
              </w:rPr>
            </w:pPr>
            <w:r w:rsidRPr="00522DF3">
              <w:rPr>
                <w:rFonts w:asciiTheme="majorBidi" w:hAnsiTheme="majorBidi" w:cstheme="majorBidi"/>
                <w:b/>
                <w:sz w:val="20"/>
                <w:szCs w:val="20"/>
                <w:lang w:val="ru-RU"/>
              </w:rPr>
              <w:t>Категория 2</w:t>
            </w:r>
            <w:r w:rsidRPr="00522DF3">
              <w:rPr>
                <w:rFonts w:asciiTheme="majorBidi" w:hAnsiTheme="majorBidi" w:cstheme="majorBidi"/>
                <w:sz w:val="20"/>
                <w:szCs w:val="20"/>
                <w:lang w:val="ru-RU"/>
              </w:rPr>
              <w:t>: частные сети.</w:t>
            </w:r>
          </w:p>
        </w:tc>
      </w:tr>
    </w:tbl>
    <w:p w:rsidR="002266DA" w:rsidRPr="00CD18B1" w:rsidRDefault="002266DA" w:rsidP="002266DA">
      <w:pPr>
        <w:pStyle w:val="FigureSource"/>
        <w:rPr>
          <w:rFonts w:asciiTheme="majorBidi" w:hAnsiTheme="majorBidi" w:cstheme="majorBidi"/>
        </w:rPr>
      </w:pPr>
    </w:p>
    <w:p w:rsidR="002266DA" w:rsidRDefault="002266DA" w:rsidP="002266DA"/>
    <w:p w:rsidR="00984546" w:rsidRPr="00984546" w:rsidRDefault="00984546" w:rsidP="00984546">
      <w:pPr>
        <w:rPr>
          <w:lang w:val="ru-RU"/>
        </w:rPr>
      </w:pPr>
      <w:r w:rsidRPr="00984546">
        <w:rPr>
          <w:lang w:val="ru-RU"/>
        </w:rPr>
        <w:t xml:space="preserve">Наконец, в Сингапуре упрощенная система лицензирования предусматривает лишь два типа лицензий: </w:t>
      </w:r>
    </w:p>
    <w:p w:rsidR="00984546" w:rsidRPr="00984546" w:rsidRDefault="00984546" w:rsidP="00984546">
      <w:pPr>
        <w:pStyle w:val="enumlev1"/>
        <w:rPr>
          <w:lang w:val="ru-RU"/>
        </w:rPr>
      </w:pPr>
      <w:r w:rsidRPr="00984546">
        <w:rPr>
          <w:lang w:val="ru-RU"/>
        </w:rPr>
        <w:t>•</w:t>
      </w:r>
      <w:r w:rsidRPr="00984546">
        <w:rPr>
          <w:lang w:val="ru-RU"/>
        </w:rPr>
        <w:tab/>
        <w:t>оператор на основе технических средств (</w:t>
      </w:r>
      <w:proofErr w:type="spellStart"/>
      <w:r w:rsidRPr="00984546">
        <w:rPr>
          <w:lang w:val="ru-RU"/>
        </w:rPr>
        <w:t>FBO</w:t>
      </w:r>
      <w:proofErr w:type="spellEnd"/>
      <w:r w:rsidRPr="00984546">
        <w:rPr>
          <w:lang w:val="ru-RU"/>
        </w:rPr>
        <w:t>) и</w:t>
      </w:r>
    </w:p>
    <w:p w:rsidR="00984546" w:rsidRPr="00984546" w:rsidRDefault="00984546" w:rsidP="00984546">
      <w:pPr>
        <w:pStyle w:val="enumlev1"/>
        <w:rPr>
          <w:lang w:val="ru-RU"/>
        </w:rPr>
      </w:pPr>
      <w:r w:rsidRPr="00984546">
        <w:rPr>
          <w:lang w:val="ru-RU"/>
        </w:rPr>
        <w:t>•</w:t>
      </w:r>
      <w:r w:rsidRPr="00984546">
        <w:rPr>
          <w:lang w:val="ru-RU"/>
        </w:rPr>
        <w:tab/>
        <w:t>оператор на основе услуг (</w:t>
      </w:r>
      <w:proofErr w:type="spellStart"/>
      <w:r w:rsidRPr="00984546">
        <w:rPr>
          <w:lang w:val="ru-RU"/>
        </w:rPr>
        <w:t>SBO</w:t>
      </w:r>
      <w:proofErr w:type="spellEnd"/>
      <w:r w:rsidRPr="00984546">
        <w:rPr>
          <w:lang w:val="ru-RU"/>
        </w:rPr>
        <w:t>).</w:t>
      </w:r>
    </w:p>
    <w:p w:rsidR="00984546" w:rsidRPr="00984546" w:rsidRDefault="00984546" w:rsidP="00984546">
      <w:pPr>
        <w:rPr>
          <w:lang w:val="ru-RU"/>
        </w:rPr>
      </w:pPr>
      <w:proofErr w:type="gramStart"/>
      <w:r w:rsidRPr="00984546">
        <w:rPr>
          <w:lang w:val="ru-RU"/>
        </w:rPr>
        <w:t xml:space="preserve">Лицензия первого типа выдается тем поставщикам услуг электросвязи, которые разворачивают собственную инфраструктуру, таким как операторы сетей фиксированной и подвижной телефонной связи, магистральной инфраструктуры и т. д. Лицензия второго типа выдается тем операторам, которые предоставляют услуги, используя инфраструктуру третьей стороны, например перекупщики услуг, поставщики виртуальных частных сетей, доступа в интернет и т. д. Лицензия </w:t>
      </w:r>
      <w:proofErr w:type="spellStart"/>
      <w:r w:rsidRPr="00984546">
        <w:rPr>
          <w:lang w:val="ru-RU"/>
        </w:rPr>
        <w:t>FBO</w:t>
      </w:r>
      <w:proofErr w:type="spellEnd"/>
      <w:r w:rsidRPr="00984546">
        <w:rPr>
          <w:lang w:val="ru-RU"/>
        </w:rPr>
        <w:t xml:space="preserve"> всегда имеет форму индивидуальной лицензии, а</w:t>
      </w:r>
      <w:proofErr w:type="gramEnd"/>
      <w:r w:rsidRPr="00984546">
        <w:rPr>
          <w:lang w:val="ru-RU"/>
        </w:rPr>
        <w:t xml:space="preserve"> лицензия </w:t>
      </w:r>
      <w:proofErr w:type="spellStart"/>
      <w:r w:rsidRPr="00984546">
        <w:rPr>
          <w:lang w:val="ru-RU"/>
        </w:rPr>
        <w:t>SBO</w:t>
      </w:r>
      <w:proofErr w:type="spellEnd"/>
      <w:r w:rsidRPr="00984546">
        <w:rPr>
          <w:lang w:val="ru-RU"/>
        </w:rPr>
        <w:t xml:space="preserve"> в зависимости от услуги может выдаваться на основе индивидуальной лицензии или общего разрешения или уведомления.</w:t>
      </w:r>
    </w:p>
    <w:p w:rsidR="00984546" w:rsidRPr="00984546" w:rsidRDefault="00984546" w:rsidP="00984546">
      <w:pPr>
        <w:rPr>
          <w:lang w:val="ru-RU"/>
        </w:rPr>
      </w:pPr>
      <w:r w:rsidRPr="00984546">
        <w:rPr>
          <w:lang w:val="ru-RU"/>
        </w:rPr>
        <w:lastRenderedPageBreak/>
        <w:t>Другие страны, например Индия и Кения, также приняли предлагаемые упрощенные планы и сокращения числа типов лицензий на предоставление услуг в рамках процесса перехода на систему единой лицензии, о которой говорится в следующем разделе.</w:t>
      </w:r>
    </w:p>
    <w:p w:rsidR="00984546" w:rsidRPr="00984546" w:rsidRDefault="00984546" w:rsidP="00984546">
      <w:pPr>
        <w:pStyle w:val="Heading3"/>
        <w:rPr>
          <w:bCs/>
          <w:lang w:val="ru-RU"/>
        </w:rPr>
      </w:pPr>
      <w:bookmarkStart w:id="41" w:name="_Toc136240181"/>
      <w:bookmarkStart w:id="42" w:name="_Toc134215326"/>
      <w:bookmarkStart w:id="43" w:name="_Toc136421575"/>
      <w:bookmarkStart w:id="44" w:name="_Toc262721851"/>
      <w:bookmarkEnd w:id="41"/>
      <w:r w:rsidRPr="00984546">
        <w:rPr>
          <w:lang w:val="ru-RU"/>
        </w:rPr>
        <w:t>3.1.2</w:t>
      </w:r>
      <w:bookmarkEnd w:id="42"/>
      <w:bookmarkEnd w:id="43"/>
      <w:r w:rsidRPr="00984546">
        <w:rPr>
          <w:lang w:val="ru-RU"/>
        </w:rPr>
        <w:tab/>
        <w:t>Единая лицензия</w:t>
      </w:r>
      <w:bookmarkEnd w:id="44"/>
    </w:p>
    <w:p w:rsidR="00984546" w:rsidRPr="00984546" w:rsidRDefault="00984546" w:rsidP="00984546">
      <w:pPr>
        <w:rPr>
          <w:lang w:val="ru-RU"/>
        </w:rPr>
      </w:pPr>
      <w:r w:rsidRPr="00984546">
        <w:rPr>
          <w:lang w:val="ru-RU"/>
        </w:rPr>
        <w:t>Второе направление развития заключается во введении единой системы лицензирования, в рамках которой выдается одна лицензия, охватывающая широкий диапазон услуг, хотя определения в разных странах различны. Это направление принято или принимается с определенными вариациями во многих странах, в том числе в Аргентине, Ботсване, странах </w:t>
      </w:r>
      <w:r w:rsidRPr="00984546">
        <w:rPr>
          <w:lang w:val="ru-RU"/>
        </w:rPr>
        <w:sym w:font="Symbol" w:char="F02D"/>
      </w:r>
      <w:r w:rsidRPr="00984546">
        <w:rPr>
          <w:lang w:val="ru-RU"/>
        </w:rPr>
        <w:t xml:space="preserve"> членах ЕС, Гонконге (Китай), Индии, Иордании, Кении, Нигерии, Перу, Тринидаде и Тобаго и в Уганде</w:t>
      </w:r>
      <w:r w:rsidRPr="00FA5CF9">
        <w:rPr>
          <w:position w:val="6"/>
          <w:sz w:val="16"/>
          <w:szCs w:val="16"/>
          <w:lang w:val="ru-RU"/>
        </w:rPr>
        <w:footnoteReference w:id="9"/>
      </w:r>
      <w:r w:rsidRPr="00984546">
        <w:rPr>
          <w:lang w:val="ru-RU"/>
        </w:rPr>
        <w:t>.</w:t>
      </w:r>
    </w:p>
    <w:p w:rsidR="00984546" w:rsidRPr="00984546" w:rsidRDefault="00984546" w:rsidP="00984546">
      <w:pPr>
        <w:rPr>
          <w:lang w:val="ru-RU"/>
        </w:rPr>
      </w:pPr>
      <w:r w:rsidRPr="00984546">
        <w:rPr>
          <w:lang w:val="ru-RU"/>
        </w:rPr>
        <w:t>В этом контексте Аргентина в 2000 году ввела единую лицензию, которая разрешает предоставление всех общедоступных услуг электросвязи, фиксированной и подвижной, проводной и беспроводной, национальной и международной, при наличии или в отсутствие инфраструктуры</w:t>
      </w:r>
      <w:r w:rsidRPr="00FA5CF9">
        <w:rPr>
          <w:position w:val="6"/>
          <w:sz w:val="16"/>
          <w:szCs w:val="16"/>
          <w:lang w:val="ru-RU"/>
        </w:rPr>
        <w:footnoteReference w:id="10"/>
      </w:r>
      <w:r w:rsidRPr="00984546">
        <w:rPr>
          <w:lang w:val="ru-RU"/>
        </w:rPr>
        <w:t>. Если для предоставления услуг необходим спектр, должно быть, кроме того, получено соответствующее разрешение и/или лицензия.</w:t>
      </w:r>
    </w:p>
    <w:p w:rsidR="00984546" w:rsidRPr="00984546" w:rsidRDefault="00984546" w:rsidP="00984546">
      <w:pPr>
        <w:rPr>
          <w:lang w:val="ru-RU"/>
        </w:rPr>
      </w:pPr>
      <w:r w:rsidRPr="00984546">
        <w:rPr>
          <w:lang w:val="ru-RU"/>
        </w:rPr>
        <w:t>В Европейском союзе в результате введения новых рамок регулирования</w:t>
      </w:r>
      <w:r w:rsidRPr="00FA5CF9">
        <w:rPr>
          <w:position w:val="6"/>
          <w:sz w:val="16"/>
          <w:szCs w:val="16"/>
          <w:lang w:val="ru-RU"/>
        </w:rPr>
        <w:footnoteReference w:id="11"/>
      </w:r>
      <w:r w:rsidRPr="00984546">
        <w:rPr>
          <w:lang w:val="ru-RU"/>
        </w:rPr>
        <w:t xml:space="preserve"> была создана система, подобная системе единой лицензии, но оптимизированная до простого уведомления, которое устраняет разделение на разные лицензии по признаку сетей и услуг. Единая лицензия требует лишь предварительного уведомления, принцип которого рассматривается в следующем разделе. Единая лицензия также позволяет предоставлять услуги электросвязи любого вида, как и </w:t>
      </w:r>
      <w:proofErr w:type="gramStart"/>
      <w:r w:rsidRPr="00984546">
        <w:rPr>
          <w:lang w:val="ru-RU"/>
        </w:rPr>
        <w:t>развертывание</w:t>
      </w:r>
      <w:proofErr w:type="gramEnd"/>
      <w:r w:rsidRPr="00984546">
        <w:rPr>
          <w:lang w:val="ru-RU"/>
        </w:rPr>
        <w:t xml:space="preserve"> и эксплуатацию любых сетей электросвязи. Аналогично принятому в Аргентине порядку, для получения частотного присвоения необходимо специальное разрешение, не связанное с единой лицензией.</w:t>
      </w:r>
    </w:p>
    <w:p w:rsidR="00984546" w:rsidRPr="00984546" w:rsidRDefault="00984546" w:rsidP="00984546">
      <w:pPr>
        <w:rPr>
          <w:lang w:val="ru-RU"/>
        </w:rPr>
      </w:pPr>
      <w:r w:rsidRPr="00984546">
        <w:rPr>
          <w:lang w:val="ru-RU"/>
        </w:rPr>
        <w:t>Регуляторный орган Индии в области электросвязи (</w:t>
      </w:r>
      <w:proofErr w:type="spellStart"/>
      <w:r w:rsidRPr="00984546">
        <w:rPr>
          <w:lang w:val="ru-RU"/>
        </w:rPr>
        <w:t>TRAI</w:t>
      </w:r>
      <w:proofErr w:type="spellEnd"/>
      <w:r w:rsidRPr="00984546">
        <w:rPr>
          <w:lang w:val="ru-RU"/>
        </w:rPr>
        <w:t>) предложил принять иерархическую схему единого лицензирования, которую можно представить в виде перевернутой пирамиды, где основная лицензия включает все услуги, а мелкие лицензии охватывают меньшее число услуг</w:t>
      </w:r>
      <w:r w:rsidRPr="00FA5CF9">
        <w:rPr>
          <w:position w:val="6"/>
          <w:sz w:val="16"/>
          <w:szCs w:val="16"/>
          <w:lang w:val="ru-RU"/>
        </w:rPr>
        <w:footnoteReference w:id="12"/>
      </w:r>
      <w:r w:rsidRPr="00984546">
        <w:rPr>
          <w:lang w:val="ru-RU"/>
        </w:rPr>
        <w:t xml:space="preserve">. Следует заметить, что согласно предложению </w:t>
      </w:r>
      <w:proofErr w:type="spellStart"/>
      <w:r w:rsidRPr="00984546">
        <w:rPr>
          <w:lang w:val="ru-RU"/>
        </w:rPr>
        <w:t>TRAI</w:t>
      </w:r>
      <w:proofErr w:type="spellEnd"/>
      <w:r w:rsidRPr="00984546">
        <w:rPr>
          <w:lang w:val="ru-RU"/>
        </w:rPr>
        <w:t xml:space="preserve"> услуги радиовещания должны предоставляться в рамках отдельной или независимой лицензии. Предлагаемая система включает следующую классификацию лицензий:</w:t>
      </w:r>
    </w:p>
    <w:p w:rsidR="00984546" w:rsidRPr="00984546" w:rsidRDefault="00984546" w:rsidP="00984546">
      <w:pPr>
        <w:pStyle w:val="enumlev1"/>
        <w:rPr>
          <w:lang w:val="ru-RU"/>
        </w:rPr>
      </w:pPr>
      <w:r w:rsidRPr="00984546">
        <w:rPr>
          <w:lang w:val="ru-RU"/>
        </w:rPr>
        <w:t>•</w:t>
      </w:r>
      <w:r w:rsidRPr="00984546">
        <w:rPr>
          <w:lang w:val="ru-RU"/>
        </w:rPr>
        <w:tab/>
        <w:t>единая (единственная) лицензия;</w:t>
      </w:r>
    </w:p>
    <w:p w:rsidR="00984546" w:rsidRPr="00984546" w:rsidRDefault="00984546" w:rsidP="00984546">
      <w:pPr>
        <w:pStyle w:val="enumlev1"/>
        <w:rPr>
          <w:lang w:val="ru-RU"/>
        </w:rPr>
      </w:pPr>
      <w:r w:rsidRPr="00984546">
        <w:rPr>
          <w:lang w:val="ru-RU"/>
        </w:rPr>
        <w:t>•</w:t>
      </w:r>
      <w:r w:rsidRPr="00984546">
        <w:rPr>
          <w:lang w:val="ru-RU"/>
        </w:rPr>
        <w:tab/>
        <w:t>лицензия на класс услуг;</w:t>
      </w:r>
    </w:p>
    <w:p w:rsidR="00984546" w:rsidRPr="00984546" w:rsidRDefault="00984546" w:rsidP="00984546">
      <w:pPr>
        <w:pStyle w:val="enumlev1"/>
        <w:rPr>
          <w:lang w:val="ru-RU"/>
        </w:rPr>
      </w:pPr>
      <w:r w:rsidRPr="00984546">
        <w:rPr>
          <w:lang w:val="ru-RU"/>
        </w:rPr>
        <w:t>•</w:t>
      </w:r>
      <w:r w:rsidRPr="00984546">
        <w:rPr>
          <w:lang w:val="ru-RU"/>
        </w:rPr>
        <w:tab/>
        <w:t>лицензия по разрешению;</w:t>
      </w:r>
    </w:p>
    <w:p w:rsidR="00984546" w:rsidRPr="00984546" w:rsidRDefault="00984546" w:rsidP="00984546">
      <w:pPr>
        <w:pStyle w:val="enumlev1"/>
        <w:rPr>
          <w:lang w:val="ru-RU"/>
        </w:rPr>
      </w:pPr>
      <w:r w:rsidRPr="00984546">
        <w:rPr>
          <w:lang w:val="ru-RU"/>
        </w:rPr>
        <w:t>•</w:t>
      </w:r>
      <w:r w:rsidRPr="00984546">
        <w:rPr>
          <w:lang w:val="ru-RU"/>
        </w:rPr>
        <w:tab/>
        <w:t>отдельная лицензия для предоставления услуг радиовещания и кабельного телевидения.</w:t>
      </w:r>
    </w:p>
    <w:p w:rsidR="002266DA" w:rsidRDefault="00984546" w:rsidP="00984546">
      <w:r w:rsidRPr="00984546">
        <w:rPr>
          <w:bCs/>
          <w:lang w:val="ru-RU"/>
        </w:rPr>
        <w:lastRenderedPageBreak/>
        <w:t xml:space="preserve">Единая (единственная) лицензия предусматривает предоставление всех услуг электросвязи, включая те разрешенные услуги, которые входят в остальные категории лицензий (лицензия на класс услуг и лицензия по разрешению). Лицензия на класс услуг охватывает услуги, разрешенные в рамках лицензии по разрешению, услуги </w:t>
      </w:r>
      <w:proofErr w:type="spellStart"/>
      <w:r w:rsidRPr="00984546">
        <w:rPr>
          <w:bCs/>
          <w:lang w:val="ru-RU"/>
        </w:rPr>
        <w:t>VSAT</w:t>
      </w:r>
      <w:proofErr w:type="spellEnd"/>
      <w:r w:rsidRPr="00984546">
        <w:rPr>
          <w:bCs/>
          <w:lang w:val="ru-RU"/>
        </w:rPr>
        <w:t xml:space="preserve"> (земная спутниковая станция с малой апертурой антенны) и </w:t>
      </w:r>
      <w:proofErr w:type="spellStart"/>
      <w:r w:rsidRPr="00984546">
        <w:rPr>
          <w:bCs/>
          <w:lang w:val="ru-RU"/>
        </w:rPr>
        <w:t>нишевые</w:t>
      </w:r>
      <w:proofErr w:type="spellEnd"/>
      <w:r w:rsidRPr="00984546">
        <w:rPr>
          <w:bCs/>
          <w:lang w:val="ru-RU"/>
        </w:rPr>
        <w:t xml:space="preserve"> услуги (услуги в сельских районах, плотность электросвязи в которых составляет менее одного процента). Лицензия по разрешению включает остальные услуги, среди которых доступ в интернет и пейджинговая связь. Наконец, для услуг радиовещания и кабельного телевидения в рамках данной системы лицензирования требуется отдельная лицензия.</w:t>
      </w:r>
    </w:p>
    <w:p w:rsidR="006C2F0E" w:rsidRDefault="006C2F0E" w:rsidP="006C2F0E"/>
    <w:p w:rsidR="006C2F0E" w:rsidRPr="006C2F0E" w:rsidRDefault="006C2F0E" w:rsidP="006C2F0E">
      <w:pPr>
        <w:pStyle w:val="FigureTitle"/>
        <w:rPr>
          <w:rFonts w:asciiTheme="majorBidi" w:hAnsiTheme="majorBidi" w:cstheme="majorBidi"/>
          <w:szCs w:val="18"/>
          <w:lang w:val="ru-RU"/>
        </w:rPr>
      </w:pPr>
      <w:bookmarkStart w:id="45" w:name="_Toc140832034"/>
      <w:bookmarkStart w:id="46" w:name="_Toc162168253"/>
      <w:r w:rsidRPr="006C2F0E">
        <w:rPr>
          <w:rFonts w:asciiTheme="majorBidi" w:hAnsiTheme="majorBidi" w:cstheme="majorBidi"/>
          <w:szCs w:val="18"/>
          <w:lang w:val="ru-RU"/>
        </w:rPr>
        <w:t>Рисунок 3: Иерархическая система единого лицензирования, предложенная в Индии</w:t>
      </w:r>
      <w:bookmarkEnd w:id="45"/>
      <w:bookmarkEnd w:id="46"/>
      <w:r w:rsidRPr="006C2F0E">
        <w:rPr>
          <w:rFonts w:asciiTheme="majorBidi" w:hAnsiTheme="majorBidi" w:cstheme="majorBidi"/>
          <w:b w:val="0"/>
          <w:bCs/>
          <w:position w:val="6"/>
          <w:sz w:val="16"/>
          <w:szCs w:val="16"/>
          <w:lang w:val="ru-RU"/>
        </w:rPr>
        <w:footnoteReference w:id="13"/>
      </w:r>
    </w:p>
    <w:p w:rsidR="002266DA" w:rsidRDefault="00996C94" w:rsidP="002266DA">
      <w:pPr>
        <w:pStyle w:val="Figure"/>
      </w:pPr>
      <w:r>
        <w:pict>
          <v:group id="_x0000_s1026" editas="canvas" style="width:399.5pt;height:212.5pt;mso-position-horizontal-relative:char;mso-position-vertical-relative:line" coordorigin="1816,8257" coordsize="7990,4250">
            <o:lock v:ext="edit" aspectratio="t"/>
            <v:shape id="_x0000_s1027"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203;top:8408;width:5223;height:3929;rotation:180;flip:x;v-text-anchor:middle" adj="10672" fillcolor="#9c0" strokeweight="1.25pt">
              <v:fill opacity="64881f" color2="fill darken(219)" rotate="t" method="linear sigma" type="gradient"/>
            </v:shape>
            <v:shapetype id="_x0000_t202" coordsize="21600,21600" o:spt="202" path="m,l,21600r21600,l21600,xe">
              <v:stroke joinstyle="miter"/>
              <v:path gradientshapeok="t" o:connecttype="rect"/>
            </v:shapetype>
            <v:shape id="_x0000_s1029" type="#_x0000_t202" style="position:absolute;left:2741;top:8437;width:3898;height:720;v-text-anchor:top-baseline" filled="f" fillcolor="#bbe0e3" stroked="f">
              <v:textbox style="mso-next-textbox:#_x0000_s1029" inset="2.48919mm,1.2446mm,2.48919mm,1.2446mm">
                <w:txbxContent>
                  <w:p w:rsidR="00CF5441" w:rsidRPr="00B15914" w:rsidRDefault="00CF5441" w:rsidP="00984546">
                    <w:pPr>
                      <w:jc w:val="center"/>
                      <w:rPr>
                        <w:rFonts w:cs="Arial"/>
                        <w:sz w:val="16"/>
                        <w:szCs w:val="16"/>
                        <w:lang w:val="ru-RU"/>
                      </w:rPr>
                    </w:pPr>
                    <w:r w:rsidRPr="00B15914">
                      <w:rPr>
                        <w:rFonts w:cs="Arial"/>
                        <w:b/>
                        <w:sz w:val="16"/>
                        <w:szCs w:val="16"/>
                        <w:lang w:val="ru-RU"/>
                      </w:rPr>
                      <w:t>ЕДИНАЯ ЛИЦЕНЗИЯ</w:t>
                    </w:r>
                    <w:proofErr w:type="gramStart"/>
                    <w:r w:rsidRPr="00B15914">
                      <w:rPr>
                        <w:rFonts w:cs="Arial"/>
                        <w:sz w:val="16"/>
                        <w:szCs w:val="16"/>
                        <w:lang w:val="ru-RU"/>
                      </w:rPr>
                      <w:br/>
                      <w:t>В</w:t>
                    </w:r>
                    <w:proofErr w:type="gramEnd"/>
                    <w:r w:rsidRPr="00B15914">
                      <w:rPr>
                        <w:rFonts w:cs="Arial"/>
                        <w:sz w:val="16"/>
                        <w:szCs w:val="16"/>
                        <w:lang w:val="ru-RU"/>
                      </w:rPr>
                      <w:t>се услуги за исключением радиовещания</w:t>
                    </w:r>
                  </w:p>
                  <w:p w:rsidR="00CF5441" w:rsidRPr="00984546" w:rsidRDefault="00CF5441" w:rsidP="00984546">
                    <w:pPr>
                      <w:rPr>
                        <w:szCs w:val="18"/>
                      </w:rPr>
                    </w:pPr>
                  </w:p>
                </w:txbxContent>
              </v:textbox>
            </v:shape>
            <v:shape id="_x0000_s1030" type="#_x0000_t202" style="position:absolute;left:3176;top:9287;width:3400;height:1190" filled="f" fillcolor="#bbe0e3" stroked="f">
              <v:textbox style="mso-next-textbox:#_x0000_s1030" inset="2.48919mm,1.2446mm,2.48919mm,1.2446mm">
                <w:txbxContent>
                  <w:p w:rsidR="00CF5441" w:rsidRPr="00B15914" w:rsidRDefault="00CF5441" w:rsidP="00984546">
                    <w:pPr>
                      <w:spacing w:before="0"/>
                      <w:jc w:val="center"/>
                      <w:rPr>
                        <w:rFonts w:cs="Arial"/>
                        <w:sz w:val="16"/>
                        <w:szCs w:val="16"/>
                        <w:lang w:val="ru-RU"/>
                      </w:rPr>
                    </w:pPr>
                    <w:r w:rsidRPr="00B15914">
                      <w:rPr>
                        <w:rFonts w:cs="Arial"/>
                        <w:b/>
                        <w:sz w:val="16"/>
                        <w:szCs w:val="16"/>
                        <w:lang w:val="ru-RU"/>
                      </w:rPr>
                      <w:t>ЛИЦЕНЗИЯ НА КЛАСС УСЛУГ</w:t>
                    </w:r>
                    <w:proofErr w:type="gramStart"/>
                    <w:r w:rsidRPr="00B15914">
                      <w:rPr>
                        <w:rFonts w:cs="Arial"/>
                        <w:sz w:val="16"/>
                        <w:szCs w:val="16"/>
                        <w:lang w:val="ru-RU"/>
                      </w:rPr>
                      <w:br/>
                      <w:t>О</w:t>
                    </w:r>
                    <w:proofErr w:type="gramEnd"/>
                    <w:r w:rsidRPr="00B15914">
                      <w:rPr>
                        <w:rFonts w:cs="Arial"/>
                        <w:sz w:val="16"/>
                        <w:szCs w:val="16"/>
                        <w:lang w:val="ru-RU"/>
                      </w:rPr>
                      <w:t xml:space="preserve">хватывает услуги по разрешению, </w:t>
                    </w:r>
                    <w:proofErr w:type="spellStart"/>
                    <w:r w:rsidRPr="00B15914">
                      <w:rPr>
                        <w:rFonts w:cs="Arial"/>
                        <w:sz w:val="16"/>
                        <w:szCs w:val="16"/>
                      </w:rPr>
                      <w:t>VSAT</w:t>
                    </w:r>
                    <w:proofErr w:type="spellEnd"/>
                    <w:r w:rsidRPr="00B15914">
                      <w:rPr>
                        <w:rFonts w:cs="Arial"/>
                        <w:sz w:val="16"/>
                        <w:szCs w:val="16"/>
                        <w:lang w:val="ru-RU"/>
                      </w:rPr>
                      <w:t xml:space="preserve"> и </w:t>
                    </w:r>
                    <w:proofErr w:type="spellStart"/>
                    <w:r w:rsidRPr="00B15914">
                      <w:rPr>
                        <w:rFonts w:cs="Arial"/>
                        <w:sz w:val="16"/>
                        <w:szCs w:val="16"/>
                        <w:lang w:val="ru-RU"/>
                      </w:rPr>
                      <w:t>нишевых</w:t>
                    </w:r>
                    <w:proofErr w:type="spellEnd"/>
                    <w:r w:rsidRPr="00B15914">
                      <w:rPr>
                        <w:rFonts w:cs="Arial"/>
                        <w:sz w:val="16"/>
                        <w:szCs w:val="16"/>
                        <w:lang w:val="ru-RU"/>
                      </w:rPr>
                      <w:t xml:space="preserve"> операторов</w:t>
                    </w:r>
                  </w:p>
                  <w:p w:rsidR="00CF5441" w:rsidRPr="00984546" w:rsidRDefault="00CF5441" w:rsidP="00984546">
                    <w:pPr>
                      <w:rPr>
                        <w:szCs w:val="18"/>
                      </w:rPr>
                    </w:pPr>
                  </w:p>
                </w:txbxContent>
              </v:textbox>
            </v:shape>
            <v:shape id="_x0000_s1031" type="#_x0000_t202" style="position:absolute;left:3716;top:10057;width:2180;height:2110" filled="f" fillcolor="#bbe0e3" stroked="f">
              <v:textbox style="mso-next-textbox:#_x0000_s1031" inset="2.48919mm,1.2446mm,2.48919mm,1.2446mm">
                <w:txbxContent>
                  <w:p w:rsidR="00CF5441" w:rsidRPr="00B15914" w:rsidRDefault="00CF5441" w:rsidP="00984546">
                    <w:pPr>
                      <w:spacing w:before="0"/>
                      <w:jc w:val="center"/>
                      <w:rPr>
                        <w:rFonts w:cs="Arial"/>
                        <w:color w:val="000000"/>
                        <w:sz w:val="16"/>
                        <w:szCs w:val="16"/>
                        <w:lang w:val="ru-RU"/>
                      </w:rPr>
                    </w:pPr>
                    <w:r w:rsidRPr="00B15914">
                      <w:rPr>
                        <w:rFonts w:cs="Arial"/>
                        <w:b/>
                        <w:color w:val="000000"/>
                        <w:sz w:val="16"/>
                        <w:szCs w:val="16"/>
                        <w:lang w:val="ru-RU"/>
                      </w:rPr>
                      <w:t>ЛИЦЕНЗИЯ ПО РАЗРЕШЕНИЮ</w:t>
                    </w:r>
                    <w:proofErr w:type="gramStart"/>
                    <w:r w:rsidRPr="00B15914">
                      <w:rPr>
                        <w:rFonts w:cs="Arial"/>
                        <w:b/>
                        <w:color w:val="000000"/>
                        <w:sz w:val="16"/>
                        <w:szCs w:val="16"/>
                        <w:lang w:val="ru-RU"/>
                      </w:rPr>
                      <w:t xml:space="preserve"> </w:t>
                    </w:r>
                    <w:r w:rsidRPr="00B15914">
                      <w:rPr>
                        <w:rFonts w:cs="Arial"/>
                        <w:color w:val="000000"/>
                        <w:sz w:val="16"/>
                        <w:szCs w:val="16"/>
                        <w:lang w:val="ru-RU"/>
                      </w:rPr>
                      <w:br/>
                      <w:t>О</w:t>
                    </w:r>
                    <w:proofErr w:type="gramEnd"/>
                    <w:r w:rsidRPr="00B15914">
                      <w:rPr>
                        <w:rFonts w:cs="Arial"/>
                        <w:color w:val="000000"/>
                        <w:sz w:val="16"/>
                        <w:szCs w:val="16"/>
                        <w:lang w:val="ru-RU"/>
                      </w:rPr>
                      <w:t>стальные услуги</w:t>
                    </w:r>
                  </w:p>
                  <w:p w:rsidR="00CF5441" w:rsidRPr="00B15914" w:rsidRDefault="00CF5441" w:rsidP="00984546">
                    <w:pPr>
                      <w:spacing w:before="0"/>
                      <w:jc w:val="center"/>
                      <w:rPr>
                        <w:rFonts w:cs="Arial"/>
                        <w:color w:val="000000"/>
                        <w:sz w:val="16"/>
                        <w:szCs w:val="16"/>
                        <w:lang w:val="ru-RU"/>
                      </w:rPr>
                    </w:pPr>
                    <w:r w:rsidRPr="00B15914">
                      <w:rPr>
                        <w:rFonts w:cs="Arial"/>
                        <w:color w:val="000000"/>
                        <w:sz w:val="16"/>
                        <w:szCs w:val="16"/>
                        <w:lang w:val="ru-RU"/>
                      </w:rPr>
                      <w:t>(</w:t>
                    </w:r>
                    <w:r w:rsidRPr="00B15914">
                      <w:rPr>
                        <w:rFonts w:cs="Arial"/>
                        <w:i/>
                        <w:color w:val="000000"/>
                        <w:sz w:val="16"/>
                        <w:szCs w:val="16"/>
                        <w:lang w:val="ru-RU"/>
                      </w:rPr>
                      <w:t xml:space="preserve">например, доступ в интернет и пейджинговая </w:t>
                    </w:r>
                    <w:r w:rsidRPr="00B15914">
                      <w:rPr>
                        <w:rFonts w:cs="Arial"/>
                        <w:i/>
                        <w:color w:val="000000"/>
                        <w:sz w:val="16"/>
                        <w:szCs w:val="16"/>
                        <w:lang w:val="ru-RU"/>
                      </w:rPr>
                      <w:br/>
                      <w:t>связь</w:t>
                    </w:r>
                    <w:r w:rsidRPr="00B15914">
                      <w:rPr>
                        <w:rFonts w:cs="Arial"/>
                        <w:color w:val="000000"/>
                        <w:sz w:val="16"/>
                        <w:szCs w:val="16"/>
                        <w:lang w:val="ru-RU"/>
                      </w:rPr>
                      <w:t>)</w:t>
                    </w:r>
                  </w:p>
                  <w:p w:rsidR="00CF5441" w:rsidRPr="00984546" w:rsidRDefault="00CF5441" w:rsidP="00984546">
                    <w:pPr>
                      <w:rPr>
                        <w:szCs w:val="18"/>
                      </w:rPr>
                    </w:pPr>
                  </w:p>
                </w:txbxContent>
              </v:textbox>
            </v:shape>
            <v:rect id="_x0000_s1032" style="position:absolute;left:6730;top:9958;width:2949;height:1019;v-text-anchor:middle" fillcolor="#9c0" strokeweight="1.25pt">
              <v:fill color2="fill darken(219)" rotate="t" method="linear sigma" focus="100%" type="gradient"/>
              <v:textbox style="mso-next-textbox:#_x0000_s1032" inset="2.48919mm,,,1.2446mm">
                <w:txbxContent>
                  <w:p w:rsidR="00CF5441" w:rsidRPr="00B15914" w:rsidRDefault="00CF5441" w:rsidP="00984546">
                    <w:pPr>
                      <w:jc w:val="center"/>
                      <w:rPr>
                        <w:rFonts w:cs="Arial"/>
                        <w:sz w:val="16"/>
                        <w:szCs w:val="16"/>
                        <w:lang w:val="ru-RU"/>
                      </w:rPr>
                    </w:pPr>
                    <w:r w:rsidRPr="00B15914">
                      <w:rPr>
                        <w:rFonts w:cs="Arial"/>
                        <w:b/>
                        <w:sz w:val="16"/>
                        <w:szCs w:val="16"/>
                        <w:lang w:val="ru-RU"/>
                      </w:rPr>
                      <w:t>ОТДЕЛЬНАЯ ЛИЦЕНЗИЯ</w:t>
                    </w:r>
                  </w:p>
                  <w:p w:rsidR="00CF5441" w:rsidRPr="00B15914" w:rsidRDefault="00CF5441" w:rsidP="00984546">
                    <w:pPr>
                      <w:spacing w:before="0"/>
                      <w:jc w:val="center"/>
                      <w:rPr>
                        <w:rFonts w:cs="Arial"/>
                        <w:sz w:val="16"/>
                        <w:szCs w:val="16"/>
                        <w:lang w:val="ru-RU"/>
                      </w:rPr>
                    </w:pPr>
                    <w:r w:rsidRPr="00B15914">
                      <w:rPr>
                        <w:rFonts w:cs="Arial"/>
                        <w:sz w:val="16"/>
                        <w:szCs w:val="16"/>
                        <w:lang w:val="ru-RU"/>
                      </w:rPr>
                      <w:t>Услуги радиовещания и кабельного телевидения</w:t>
                    </w:r>
                  </w:p>
                  <w:p w:rsidR="00CF5441" w:rsidRPr="00984546" w:rsidRDefault="00CF5441" w:rsidP="00984546">
                    <w:pPr>
                      <w:rPr>
                        <w:szCs w:val="18"/>
                      </w:rPr>
                    </w:pPr>
                  </w:p>
                </w:txbxContent>
              </v:textbox>
            </v:rect>
            <v:line id="_x0000_s1033" style="position:absolute" from="2711,9157" to="6711,9158" strokeweight="1pt"/>
            <v:line id="_x0000_s1034" style="position:absolute" from="3411,10057" to="6011,10058" strokeweight="1pt"/>
            <w10:wrap type="none"/>
            <w10:anchorlock/>
          </v:group>
        </w:pict>
      </w:r>
    </w:p>
    <w:p w:rsidR="002266DA" w:rsidRPr="00CD18B1" w:rsidRDefault="002266DA" w:rsidP="002266DA">
      <w:pPr>
        <w:pStyle w:val="FigureSource"/>
        <w:rPr>
          <w:rFonts w:asciiTheme="majorBidi" w:hAnsiTheme="majorBidi" w:cstheme="majorBidi"/>
        </w:rPr>
      </w:pPr>
    </w:p>
    <w:p w:rsidR="002266DA" w:rsidRDefault="002266DA" w:rsidP="002266DA"/>
    <w:p w:rsidR="00BE346F" w:rsidRPr="00BE346F" w:rsidRDefault="00BE346F" w:rsidP="00BE346F">
      <w:pPr>
        <w:rPr>
          <w:lang w:val="ru-RU"/>
        </w:rPr>
      </w:pPr>
      <w:r w:rsidRPr="00BE346F">
        <w:rPr>
          <w:lang w:val="ru-RU"/>
        </w:rPr>
        <w:t>Комиссия по связи Нигерии (</w:t>
      </w:r>
      <w:proofErr w:type="spellStart"/>
      <w:r w:rsidRPr="00BE346F">
        <w:rPr>
          <w:lang w:val="ru-RU"/>
        </w:rPr>
        <w:t>NCC</w:t>
      </w:r>
      <w:proofErr w:type="spellEnd"/>
      <w:r w:rsidRPr="00BE346F">
        <w:rPr>
          <w:lang w:val="ru-RU"/>
        </w:rPr>
        <w:t>) в марте 2006 года ввела режим единого лицензирования, который охватывает ряд услуг электросвязи. Лицензия выдается в форме индивидуальной лицензии в соответствии с Законом о связи Нигерии</w:t>
      </w:r>
      <w:r w:rsidRPr="00FA5CF9">
        <w:rPr>
          <w:position w:val="6"/>
          <w:sz w:val="16"/>
          <w:szCs w:val="16"/>
          <w:lang w:val="ru-RU"/>
        </w:rPr>
        <w:footnoteReference w:id="14"/>
      </w:r>
      <w:r w:rsidRPr="00BE346F">
        <w:rPr>
          <w:lang w:val="ru-RU"/>
        </w:rPr>
        <w:t xml:space="preserve">. В частности, введенная в Нигерии лицензия единой услуги доступа охватывает фиксированную телефонию (проводную и беспроводную), услуги цифровой подвижной связи, услуги международных шлюзов, услуги национальной междугородней связи и услуги региональной междугородней связи. </w:t>
      </w:r>
      <w:proofErr w:type="spellStart"/>
      <w:r w:rsidRPr="00BE346F">
        <w:rPr>
          <w:lang w:val="ru-RU"/>
        </w:rPr>
        <w:t>NCC</w:t>
      </w:r>
      <w:proofErr w:type="spellEnd"/>
      <w:r w:rsidRPr="00BE346F">
        <w:rPr>
          <w:lang w:val="ru-RU"/>
        </w:rPr>
        <w:t xml:space="preserve"> установила также критерии, которым должны отвечать держатели действующих лицензий для перехода на единую лицензию</w:t>
      </w:r>
      <w:r w:rsidRPr="00FA5CF9">
        <w:rPr>
          <w:position w:val="6"/>
          <w:sz w:val="16"/>
          <w:szCs w:val="16"/>
          <w:lang w:val="ru-RU"/>
        </w:rPr>
        <w:footnoteReference w:id="15"/>
      </w:r>
      <w:r w:rsidRPr="00BE346F">
        <w:rPr>
          <w:lang w:val="ru-RU"/>
        </w:rPr>
        <w:t>.</w:t>
      </w:r>
    </w:p>
    <w:p w:rsidR="00BE346F" w:rsidRPr="00BE346F" w:rsidRDefault="00BE346F" w:rsidP="00BE346F">
      <w:pPr>
        <w:pStyle w:val="Heading2"/>
        <w:rPr>
          <w:lang w:val="ru-RU"/>
        </w:rPr>
      </w:pPr>
      <w:bookmarkStart w:id="47" w:name="_Toc262721852"/>
      <w:r w:rsidRPr="00BE346F">
        <w:rPr>
          <w:lang w:val="ru-RU"/>
        </w:rPr>
        <w:t>3.2</w:t>
      </w:r>
      <w:r w:rsidRPr="00BE346F">
        <w:rPr>
          <w:lang w:val="ru-RU"/>
        </w:rPr>
        <w:tab/>
        <w:t>Сокращение и упразднение административных и формальных требований для получения лицензий</w:t>
      </w:r>
      <w:bookmarkEnd w:id="47"/>
    </w:p>
    <w:p w:rsidR="00BE346F" w:rsidRPr="00BE346F" w:rsidRDefault="00BE346F" w:rsidP="00BE346F">
      <w:pPr>
        <w:rPr>
          <w:lang w:val="ru-RU"/>
        </w:rPr>
      </w:pPr>
      <w:r w:rsidRPr="00BE346F">
        <w:rPr>
          <w:lang w:val="ru-RU"/>
        </w:rPr>
        <w:t xml:space="preserve">Как пояснялось выше, вторая тенденция при адаптации режимов лицензирования к условиям конвергенции заключается в сокращении или устранении формальных и административных требований к предоставлению услуг. Эта тенденция проходит в своем развитии несколько этапов – от </w:t>
      </w:r>
      <w:r w:rsidRPr="00BE346F">
        <w:rPr>
          <w:lang w:val="ru-RU"/>
        </w:rPr>
        <w:lastRenderedPageBreak/>
        <w:t>расширения сферы общих разрешений или внедрения системы уведомления или регистрации до отмены регулирования услуг. Система регистрации или уведомления заменяет процесс выдачи лицензий или общих разрешений, упрощая, таким образом, процесс получения лицензий и, в некоторых случаях, придавая ему автоматический характер, а отмена регулирования услуг снимает необходимость предварительного получения лицензии или концессии. Каждый из этих этапов имеет свои характерные черты, которые описаны ниже.</w:t>
      </w:r>
    </w:p>
    <w:p w:rsidR="00BE346F" w:rsidRPr="00BE346F" w:rsidRDefault="00BE346F" w:rsidP="00BE346F">
      <w:pPr>
        <w:rPr>
          <w:lang w:val="ru-RU"/>
        </w:rPr>
      </w:pPr>
      <w:r w:rsidRPr="00BE346F">
        <w:rPr>
          <w:lang w:val="ru-RU"/>
        </w:rPr>
        <w:t>Индивидуальные лицензии включают конкретные условия предоставления услуги, определяющие права и обязанности в рамках предоставляемой услуги. Кроме того, все индивидуальные лицензии утверждаются в индивидуальном порядке для конкретной услуги и держателя лицензии. В то же время общие разрешения определяют общую систему прав и обязанностей, которая применяется ко всем операторам посредством одного разрешения, а процесс получения разрешений является более простым, не требующим полной всесторонней проверки заявки, как это происходит в случае индивидуальной лицензии.</w:t>
      </w:r>
    </w:p>
    <w:p w:rsidR="00BE346F" w:rsidRPr="00BE346F" w:rsidRDefault="00BE346F" w:rsidP="00BE346F">
      <w:pPr>
        <w:rPr>
          <w:lang w:val="ru-RU"/>
        </w:rPr>
      </w:pPr>
      <w:r w:rsidRPr="00BE346F">
        <w:rPr>
          <w:lang w:val="ru-RU"/>
        </w:rPr>
        <w:t>Система регистрации является следующим шагом вперед по отношению к системе разрешений. В рамках системы регистрации к операторам применяются общие условия предоставления услуги, а для предоставления услуги операторам необходимо лишь зарегистрировать свою заявку. Анализ и утверждение заявки оператора максимально упрощены, являясь почти чистой формальностью.</w:t>
      </w:r>
    </w:p>
    <w:p w:rsidR="00BE346F" w:rsidRPr="00BE346F" w:rsidRDefault="00BE346F" w:rsidP="00BE346F">
      <w:pPr>
        <w:rPr>
          <w:lang w:val="ru-RU"/>
        </w:rPr>
      </w:pPr>
      <w:r w:rsidRPr="00BE346F">
        <w:rPr>
          <w:lang w:val="ru-RU"/>
        </w:rPr>
        <w:t>Наконец, уведомления </w:t>
      </w:r>
      <w:r w:rsidRPr="00BE346F">
        <w:rPr>
          <w:lang w:val="ru-RU"/>
        </w:rPr>
        <w:sym w:font="Symbol" w:char="F02D"/>
      </w:r>
      <w:r w:rsidRPr="00BE346F">
        <w:rPr>
          <w:lang w:val="ru-RU"/>
        </w:rPr>
        <w:t xml:space="preserve"> последний шаг перед отменой регулирования услуг. На этом этапе оператор не должен даже ждать утверждения административным органом предоставления услуги, а может начинать предоставление услуги сразу же после подачи уведомления. Сроки и условия предоставления услуги также имеют общее применение.</w:t>
      </w:r>
    </w:p>
    <w:p w:rsidR="00BE346F" w:rsidRPr="00BE346F" w:rsidRDefault="00BE346F" w:rsidP="00BE346F">
      <w:pPr>
        <w:rPr>
          <w:lang w:val="ru-RU"/>
        </w:rPr>
      </w:pPr>
      <w:r w:rsidRPr="00BE346F">
        <w:rPr>
          <w:lang w:val="ru-RU"/>
        </w:rPr>
        <w:t>Как было описано выше, большинство систем упрощенных и единых лицензий ограничивают индивидуальную лицензию конкретными услугами, как правило, предполагающими использование спектра, и расширяют перечень услуг, для представления которых требуется общее разрешение. В некоторых случаях, как, например, в Малайзии и Сингапуре, для некоторых услуг необходимо лишь уведомление.</w:t>
      </w:r>
    </w:p>
    <w:p w:rsidR="00BE346F" w:rsidRPr="00BE346F" w:rsidRDefault="00BE346F" w:rsidP="00BE346F">
      <w:pPr>
        <w:rPr>
          <w:lang w:val="ru-RU"/>
        </w:rPr>
      </w:pPr>
      <w:r w:rsidRPr="00BE346F">
        <w:rPr>
          <w:lang w:val="ru-RU"/>
        </w:rPr>
        <w:t>В других странах, например в странах – членах ЕС, для предоставления услуг электросвязи был введен полный режим регистрации и уведомления. В Европейском союзе в рамках режима общего разрешения предоставление услуг электронной связи, а также развертывание или эксплуатация сетей являются предметом уведомления, направляемого соответствующему национальному регуляторному органу. Общие разрешения для предоставления сетей или услуг электронной связи стали в 2002 году</w:t>
      </w:r>
      <w:r w:rsidRPr="00FA5CF9">
        <w:rPr>
          <w:position w:val="6"/>
          <w:sz w:val="16"/>
          <w:szCs w:val="16"/>
          <w:lang w:val="ru-RU"/>
        </w:rPr>
        <w:footnoteReference w:id="16"/>
      </w:r>
      <w:r w:rsidRPr="00BE346F">
        <w:rPr>
          <w:lang w:val="ru-RU"/>
        </w:rPr>
        <w:t xml:space="preserve"> заменой индивидуальных лицензий. Хотя от субъекта может потребоваться представление уведомления, национальный регуляторный орган не может требовать от субъекта получения формального утверждения до начала функционирования. Однако по-прежнему сохраняется специальная схема для получения прав на частоты, номера и другие ограниченные ресурсы, а также положения относительно назначения конкретных функций универсального обслуживания.</w:t>
      </w:r>
    </w:p>
    <w:p w:rsidR="00BE346F" w:rsidRPr="00BE346F" w:rsidRDefault="00BE346F" w:rsidP="00BE346F">
      <w:pPr>
        <w:rPr>
          <w:b/>
          <w:lang w:val="ru-RU"/>
        </w:rPr>
      </w:pPr>
      <w:r w:rsidRPr="00BE346F">
        <w:rPr>
          <w:lang w:val="ru-RU"/>
        </w:rPr>
        <w:t>Наконец, ряд стран фактически упразднили разрешения, а также уведомления и регистрацию для предоставления определенных услуг, аргументируя это тем, что такие услуги не входят в сферу компетенции регуляторного органа, или просто на основании конкретного решения регуляторного органа, реализующего свое право принять решение об отмене регулирования в отношении определенной услуги. В целом это подход, принятый в Соединенных Штатах в отношении доступа в интернет, который был классифицирован Федеральной комиссией по связи (</w:t>
      </w:r>
      <w:proofErr w:type="spellStart"/>
      <w:r w:rsidRPr="00BE346F">
        <w:rPr>
          <w:lang w:val="ru-RU"/>
        </w:rPr>
        <w:t>ФКС</w:t>
      </w:r>
      <w:proofErr w:type="spellEnd"/>
      <w:r w:rsidRPr="00BE346F">
        <w:rPr>
          <w:lang w:val="ru-RU"/>
        </w:rPr>
        <w:t xml:space="preserve">) как услуга </w:t>
      </w:r>
      <w:r w:rsidRPr="00BE346F">
        <w:rPr>
          <w:lang w:val="ru-RU"/>
        </w:rPr>
        <w:lastRenderedPageBreak/>
        <w:t xml:space="preserve">представления информации, не подлежащая регулированию согласно Закону о связи, с </w:t>
      </w:r>
      <w:proofErr w:type="gramStart"/>
      <w:r w:rsidRPr="00BE346F">
        <w:rPr>
          <w:lang w:val="ru-RU"/>
        </w:rPr>
        <w:t>тем</w:t>
      </w:r>
      <w:proofErr w:type="gramEnd"/>
      <w:r w:rsidRPr="00BE346F">
        <w:rPr>
          <w:lang w:val="ru-RU"/>
        </w:rPr>
        <w:t xml:space="preserve"> чтобы содействовать дальнейшему развитию интернета</w:t>
      </w:r>
      <w:r w:rsidRPr="00FA5CF9">
        <w:rPr>
          <w:position w:val="6"/>
          <w:sz w:val="16"/>
          <w:szCs w:val="16"/>
          <w:lang w:val="ru-RU"/>
        </w:rPr>
        <w:footnoteReference w:id="17"/>
      </w:r>
      <w:r w:rsidRPr="00BE346F">
        <w:rPr>
          <w:lang w:val="ru-RU"/>
        </w:rPr>
        <w:t>.</w:t>
      </w:r>
    </w:p>
    <w:p w:rsidR="00BE346F" w:rsidRPr="00BE346F" w:rsidRDefault="00BE346F" w:rsidP="00BE346F">
      <w:pPr>
        <w:pStyle w:val="Heading1"/>
        <w:rPr>
          <w:lang w:val="ru-RU"/>
        </w:rPr>
      </w:pPr>
      <w:bookmarkStart w:id="48" w:name="_Toc262721853"/>
      <w:r w:rsidRPr="00BE346F">
        <w:rPr>
          <w:lang w:val="ru-RU"/>
        </w:rPr>
        <w:t>4</w:t>
      </w:r>
      <w:r w:rsidRPr="00BE346F">
        <w:rPr>
          <w:lang w:val="ru-RU"/>
        </w:rPr>
        <w:tab/>
        <w:t>Оценка опыта работы регуляторных органов в области электросвязи и конкуренции</w:t>
      </w:r>
      <w:bookmarkEnd w:id="48"/>
    </w:p>
    <w:p w:rsidR="00BE346F" w:rsidRPr="00BE346F" w:rsidRDefault="00BE346F" w:rsidP="00CF5441">
      <w:pPr>
        <w:pStyle w:val="Heading2"/>
        <w:rPr>
          <w:lang w:val="ru-RU"/>
        </w:rPr>
      </w:pPr>
      <w:bookmarkStart w:id="49" w:name="_Toc262721854"/>
      <w:r w:rsidRPr="00BE346F">
        <w:rPr>
          <w:lang w:val="ru-RU"/>
        </w:rPr>
        <w:t>4.1</w:t>
      </w:r>
      <w:r w:rsidRPr="00BE346F">
        <w:rPr>
          <w:lang w:val="ru-RU"/>
        </w:rPr>
        <w:tab/>
        <w:t>Опыт лицензирования в условиях конвергенции</w:t>
      </w:r>
      <w:bookmarkEnd w:id="49"/>
    </w:p>
    <w:p w:rsidR="00BE346F" w:rsidRPr="00BE346F" w:rsidRDefault="00BE346F" w:rsidP="00BE346F">
      <w:pPr>
        <w:rPr>
          <w:lang w:val="ru-RU"/>
        </w:rPr>
      </w:pPr>
      <w:r w:rsidRPr="00BE346F">
        <w:rPr>
          <w:lang w:val="ru-RU"/>
        </w:rPr>
        <w:t xml:space="preserve">Согласно ответам, представленным в рамках обследования и включенным во Всемирную базу данных МСЭ по регулированию в области электросвязи, кроме упомянутых выше еще 11 стран ввели единое лицензирование, по крайней мере, для некоторых услуг: </w:t>
      </w:r>
      <w:proofErr w:type="gramStart"/>
      <w:r w:rsidRPr="00BE346F">
        <w:rPr>
          <w:lang w:val="ru-RU"/>
        </w:rPr>
        <w:t xml:space="preserve">Ботсвана, Бутан, Египет, Экваториальная Гвинея, Латвия, Мавритания, Мали, </w:t>
      </w:r>
      <w:proofErr w:type="spellStart"/>
      <w:r w:rsidRPr="00BE346F">
        <w:rPr>
          <w:lang w:val="ru-RU"/>
        </w:rPr>
        <w:t>Мальдивы</w:t>
      </w:r>
      <w:proofErr w:type="spellEnd"/>
      <w:r w:rsidRPr="00BE346F">
        <w:rPr>
          <w:lang w:val="ru-RU"/>
        </w:rPr>
        <w:t>, Намибия, Сенегал и Словения.</w:t>
      </w:r>
      <w:proofErr w:type="gramEnd"/>
      <w:r w:rsidRPr="00BE346F">
        <w:rPr>
          <w:lang w:val="ru-RU"/>
        </w:rPr>
        <w:t xml:space="preserve"> Кроме того, 81 респондент сообщил об использовании индивидуальных лицензий, 28 сообщили, что используют общие разрешения или лицензии на классы услуг, и десять разрешили предоставление ряда услуг без лицензий. Эти категории не являются взаимоисключающими; регуляторные органы могут использовать комбинацию разных методов лицензирования в зависимости от типа услуги и соответствующей законодательной базы. Кроме того, как отмечалось выше, определение единого лицензирования различается в разных странах.</w:t>
      </w:r>
    </w:p>
    <w:p w:rsidR="00BE346F" w:rsidRPr="00BE346F" w:rsidRDefault="00BE346F" w:rsidP="00BE346F">
      <w:pPr>
        <w:rPr>
          <w:lang w:val="ru-RU"/>
        </w:rPr>
      </w:pPr>
      <w:r w:rsidRPr="00BE346F">
        <w:rPr>
          <w:lang w:val="ru-RU"/>
        </w:rPr>
        <w:t>В следующих ниже разделах представлен опыт регуляторных органов в области электросвязи и конкуренции по определению рамок лицензирования конвергентных услуг.</w:t>
      </w:r>
    </w:p>
    <w:p w:rsidR="00BE346F" w:rsidRPr="00BE346F" w:rsidRDefault="00BE346F" w:rsidP="00C54F22">
      <w:pPr>
        <w:pStyle w:val="Heading3"/>
        <w:rPr>
          <w:lang w:val="ru-RU"/>
        </w:rPr>
      </w:pPr>
      <w:bookmarkStart w:id="50" w:name="_Toc262721855"/>
      <w:r w:rsidRPr="00BE346F">
        <w:rPr>
          <w:lang w:val="ru-RU"/>
        </w:rPr>
        <w:t>4.1.1</w:t>
      </w:r>
      <w:r w:rsidRPr="00BE346F">
        <w:rPr>
          <w:lang w:val="ru-RU"/>
        </w:rPr>
        <w:tab/>
        <w:t>Демократическая Республика Конго</w:t>
      </w:r>
      <w:r w:rsidRPr="00836177">
        <w:rPr>
          <w:b w:val="0"/>
          <w:bCs/>
          <w:position w:val="6"/>
          <w:sz w:val="16"/>
          <w:szCs w:val="16"/>
          <w:lang w:val="ru-RU"/>
        </w:rPr>
        <w:footnoteReference w:id="18"/>
      </w:r>
      <w:bookmarkEnd w:id="50"/>
    </w:p>
    <w:p w:rsidR="00BE346F" w:rsidRPr="00BE346F" w:rsidRDefault="00BE346F" w:rsidP="00BE346F">
      <w:pPr>
        <w:rPr>
          <w:lang w:val="ru-RU"/>
        </w:rPr>
      </w:pPr>
      <w:r w:rsidRPr="00BE346F">
        <w:rPr>
          <w:lang w:val="ru-RU"/>
        </w:rPr>
        <w:t>В Демократической Республике Конго (</w:t>
      </w:r>
      <w:proofErr w:type="spellStart"/>
      <w:r w:rsidRPr="00BE346F">
        <w:rPr>
          <w:lang w:val="ru-RU"/>
        </w:rPr>
        <w:t>ДРК</w:t>
      </w:r>
      <w:proofErr w:type="spellEnd"/>
      <w:r w:rsidRPr="00BE346F">
        <w:rPr>
          <w:lang w:val="ru-RU"/>
        </w:rPr>
        <w:t>) держатели лицензий при предоставлении услуг электросвязи имеют право использовать технологии и оборудование по своему выбору. Этот принцип принят с целью придания гибкости системе лицензирования для обеспечения возможности адаптации к стремительному техническому прогрессу в этом секторе.</w:t>
      </w:r>
    </w:p>
    <w:p w:rsidR="00BE346F" w:rsidRPr="00BE346F" w:rsidRDefault="00BE346F" w:rsidP="00BE346F">
      <w:pPr>
        <w:rPr>
          <w:lang w:val="ru-RU"/>
        </w:rPr>
      </w:pPr>
      <w:r w:rsidRPr="00BE346F">
        <w:rPr>
          <w:lang w:val="ru-RU"/>
        </w:rPr>
        <w:t xml:space="preserve">Что касается сетей последующих поколений, в действующем законе не упоминается лицензирование </w:t>
      </w:r>
      <w:proofErr w:type="spellStart"/>
      <w:r w:rsidRPr="00BE346F">
        <w:rPr>
          <w:lang w:val="ru-RU"/>
        </w:rPr>
        <w:t>конвергирующих</w:t>
      </w:r>
      <w:proofErr w:type="spellEnd"/>
      <w:r w:rsidRPr="00BE346F">
        <w:rPr>
          <w:lang w:val="ru-RU"/>
        </w:rPr>
        <w:t xml:space="preserve"> услуг. На практике, однако, в процессе лицензирования конвергенция учитывается де факто в форме предоставления лицензий </w:t>
      </w:r>
      <w:proofErr w:type="spellStart"/>
      <w:r w:rsidRPr="00BE346F">
        <w:rPr>
          <w:lang w:val="ru-RU"/>
        </w:rPr>
        <w:t>WiMAX</w:t>
      </w:r>
      <w:proofErr w:type="spellEnd"/>
      <w:r w:rsidRPr="00BE346F">
        <w:rPr>
          <w:lang w:val="ru-RU"/>
        </w:rPr>
        <w:t xml:space="preserve"> и </w:t>
      </w:r>
      <w:proofErr w:type="spellStart"/>
      <w:r w:rsidRPr="00BE346F">
        <w:rPr>
          <w:lang w:val="ru-RU"/>
        </w:rPr>
        <w:t>3G</w:t>
      </w:r>
      <w:proofErr w:type="spellEnd"/>
      <w:r w:rsidRPr="00BE346F">
        <w:rPr>
          <w:lang w:val="ru-RU"/>
        </w:rPr>
        <w:t>, что имеет место в настоящее время. Основной подход в настоящее время базируется на конвергенции услуг (телефония, интернет, передача данных, мультимедиа и т. д.) с переходом от предоставления пакета из трех услуг (</w:t>
      </w:r>
      <w:proofErr w:type="spellStart"/>
      <w:r w:rsidRPr="00BE346F">
        <w:rPr>
          <w:lang w:val="ru-RU"/>
        </w:rPr>
        <w:t>triple-play</w:t>
      </w:r>
      <w:proofErr w:type="spellEnd"/>
      <w:r w:rsidRPr="00BE346F">
        <w:rPr>
          <w:lang w:val="ru-RU"/>
        </w:rPr>
        <w:t>) к предоставлению пакета из четырех услуг (</w:t>
      </w:r>
      <w:proofErr w:type="spellStart"/>
      <w:r w:rsidRPr="00BE346F">
        <w:rPr>
          <w:lang w:val="ru-RU"/>
        </w:rPr>
        <w:t>quadruple-play</w:t>
      </w:r>
      <w:proofErr w:type="spellEnd"/>
      <w:r w:rsidRPr="00BE346F">
        <w:rPr>
          <w:lang w:val="ru-RU"/>
        </w:rPr>
        <w:t>) в рамках единого абонентского подключения, что является проявлением тенденции к объединению рынка.</w:t>
      </w:r>
    </w:p>
    <w:p w:rsidR="00BE346F" w:rsidRPr="00BE346F" w:rsidRDefault="00BE346F" w:rsidP="00BE346F">
      <w:pPr>
        <w:rPr>
          <w:lang w:val="ru-RU"/>
        </w:rPr>
      </w:pPr>
      <w:r w:rsidRPr="00BE346F">
        <w:rPr>
          <w:lang w:val="ru-RU"/>
        </w:rPr>
        <w:t xml:space="preserve">В отсутствие официальной процедуры в </w:t>
      </w:r>
      <w:proofErr w:type="spellStart"/>
      <w:r w:rsidRPr="00BE346F">
        <w:rPr>
          <w:lang w:val="ru-RU"/>
        </w:rPr>
        <w:t>ДРК</w:t>
      </w:r>
      <w:proofErr w:type="spellEnd"/>
      <w:r w:rsidRPr="00BE346F">
        <w:rPr>
          <w:lang w:val="ru-RU"/>
        </w:rPr>
        <w:t xml:space="preserve"> было выдало две лицензии </w:t>
      </w:r>
      <w:proofErr w:type="spellStart"/>
      <w:r w:rsidRPr="00BE346F">
        <w:rPr>
          <w:lang w:val="ru-RU"/>
        </w:rPr>
        <w:t>WiMAX</w:t>
      </w:r>
      <w:proofErr w:type="spellEnd"/>
      <w:r w:rsidRPr="00BE346F">
        <w:rPr>
          <w:lang w:val="ru-RU"/>
        </w:rPr>
        <w:t xml:space="preserve"> по принципу заключения контракта в результате переговоров. Уже начата подготовка проекта процедуры продажи лицензий </w:t>
      </w:r>
      <w:proofErr w:type="spellStart"/>
      <w:r w:rsidRPr="00BE346F">
        <w:rPr>
          <w:lang w:val="ru-RU"/>
        </w:rPr>
        <w:t>3G</w:t>
      </w:r>
      <w:proofErr w:type="spellEnd"/>
      <w:r w:rsidRPr="00BE346F">
        <w:rPr>
          <w:lang w:val="ru-RU"/>
        </w:rPr>
        <w:t>, которая осуществляется в рамках консультаций с общественностью и в отношении которой ряд операторов уже выразили свою заинтересованность.</w:t>
      </w:r>
    </w:p>
    <w:p w:rsidR="00BE346F" w:rsidRPr="00BE346F" w:rsidRDefault="00BE346F" w:rsidP="00BE346F">
      <w:pPr>
        <w:rPr>
          <w:lang w:val="ru-RU"/>
        </w:rPr>
      </w:pPr>
      <w:r w:rsidRPr="00BE346F">
        <w:rPr>
          <w:lang w:val="ru-RU"/>
        </w:rPr>
        <w:t>Что касается процедуры предоставления лицензии этого типа, регуляторный орган рассматривает регламентированную процедуру либо на основе объявления о тендере, либо на основе аукциона, либо, возможно, на основе "конкурса красоты".</w:t>
      </w:r>
    </w:p>
    <w:p w:rsidR="00BE346F" w:rsidRPr="00BE346F" w:rsidRDefault="00BE346F" w:rsidP="00BE346F">
      <w:pPr>
        <w:rPr>
          <w:lang w:val="ru-RU"/>
        </w:rPr>
      </w:pPr>
      <w:r w:rsidRPr="00BE346F">
        <w:rPr>
          <w:lang w:val="ru-RU"/>
        </w:rPr>
        <w:t xml:space="preserve">На правительственном уровне разрабатывается проект документа о национальной политике в области ИКТ, который откроет дорогу определению целевых показателей и задач, способных служить </w:t>
      </w:r>
      <w:r w:rsidRPr="00BE346F">
        <w:rPr>
          <w:lang w:val="ru-RU"/>
        </w:rPr>
        <w:lastRenderedPageBreak/>
        <w:t xml:space="preserve">основой для лицензирования </w:t>
      </w:r>
      <w:proofErr w:type="spellStart"/>
      <w:r w:rsidRPr="00BE346F">
        <w:rPr>
          <w:lang w:val="ru-RU"/>
        </w:rPr>
        <w:t>конвергирующих</w:t>
      </w:r>
      <w:proofErr w:type="spellEnd"/>
      <w:r w:rsidRPr="00BE346F">
        <w:rPr>
          <w:lang w:val="ru-RU"/>
        </w:rPr>
        <w:t xml:space="preserve"> услуг. В настоящее время нет возможности осуществить все из этих мер вследствие ряда трудностей, таких как отсутствие общей государственной политики.</w:t>
      </w:r>
    </w:p>
    <w:p w:rsidR="00BE346F" w:rsidRPr="00836177" w:rsidRDefault="00BE346F" w:rsidP="00C54F22">
      <w:pPr>
        <w:pStyle w:val="Heading3"/>
        <w:rPr>
          <w:bCs/>
          <w:sz w:val="16"/>
          <w:szCs w:val="16"/>
          <w:vertAlign w:val="superscript"/>
          <w:lang w:val="ru-RU"/>
        </w:rPr>
      </w:pPr>
      <w:bookmarkStart w:id="51" w:name="_Toc262721856"/>
      <w:r w:rsidRPr="00BE346F">
        <w:rPr>
          <w:lang w:val="ru-RU"/>
        </w:rPr>
        <w:t>4.1.2</w:t>
      </w:r>
      <w:r w:rsidRPr="00BE346F">
        <w:rPr>
          <w:lang w:val="ru-RU"/>
        </w:rPr>
        <w:tab/>
        <w:t>Республика Гвинея</w:t>
      </w:r>
      <w:r w:rsidRPr="00836177">
        <w:rPr>
          <w:b w:val="0"/>
          <w:bCs/>
          <w:position w:val="6"/>
          <w:sz w:val="16"/>
          <w:szCs w:val="16"/>
          <w:lang w:val="ru-RU"/>
        </w:rPr>
        <w:footnoteReference w:id="19"/>
      </w:r>
      <w:bookmarkEnd w:id="51"/>
    </w:p>
    <w:p w:rsidR="00BE346F" w:rsidRPr="00BE346F" w:rsidRDefault="00BE346F" w:rsidP="00BE346F">
      <w:pPr>
        <w:rPr>
          <w:lang w:val="ru-RU"/>
        </w:rPr>
      </w:pPr>
      <w:r w:rsidRPr="00BE346F">
        <w:rPr>
          <w:lang w:val="ru-RU"/>
        </w:rPr>
        <w:t>В 2005 году Республика Гвинея приняла ряд новых нормативных положений в области связи и радиосвязи, направленных на либерализацию сектора ИКТ и содействие развитию передовых и конвергентных технологий</w:t>
      </w:r>
      <w:r w:rsidRPr="00FA5CF9">
        <w:rPr>
          <w:position w:val="6"/>
          <w:sz w:val="16"/>
          <w:szCs w:val="16"/>
          <w:lang w:val="ru-RU"/>
        </w:rPr>
        <w:footnoteReference w:id="20"/>
      </w:r>
      <w:r w:rsidRPr="00BE346F">
        <w:rPr>
          <w:lang w:val="ru-RU"/>
        </w:rPr>
        <w:t>. Министерство электросвязи и новых информационных технологий (</w:t>
      </w:r>
      <w:proofErr w:type="spellStart"/>
      <w:r w:rsidRPr="00BE346F">
        <w:rPr>
          <w:lang w:val="ru-RU"/>
        </w:rPr>
        <w:t>MCNTI</w:t>
      </w:r>
      <w:proofErr w:type="spellEnd"/>
      <w:r w:rsidRPr="00BE346F">
        <w:rPr>
          <w:lang w:val="ru-RU"/>
        </w:rPr>
        <w:t>) провело реформу организации связи в целях содействия конвергенции путем введения режима лицензий и разрешений. В Законе об электросвязи установлен режим лицензирования, в основе которого лежат четыре категории:</w:t>
      </w:r>
    </w:p>
    <w:p w:rsidR="00BE346F" w:rsidRPr="00BE346F" w:rsidRDefault="00BE346F" w:rsidP="00C54F22">
      <w:pPr>
        <w:pStyle w:val="enumlev1"/>
        <w:rPr>
          <w:lang w:val="ru-RU"/>
        </w:rPr>
      </w:pPr>
      <w:r w:rsidRPr="00BE346F">
        <w:rPr>
          <w:lang w:val="ru-RU"/>
        </w:rPr>
        <w:t>•</w:t>
      </w:r>
      <w:r w:rsidRPr="00BE346F">
        <w:rPr>
          <w:lang w:val="ru-RU"/>
        </w:rPr>
        <w:tab/>
        <w:t>лицензии;</w:t>
      </w:r>
    </w:p>
    <w:p w:rsidR="00BE346F" w:rsidRPr="00BE346F" w:rsidRDefault="00BE346F" w:rsidP="00C54F22">
      <w:pPr>
        <w:pStyle w:val="enumlev1"/>
        <w:rPr>
          <w:lang w:val="ru-RU"/>
        </w:rPr>
      </w:pPr>
      <w:r w:rsidRPr="00BE346F">
        <w:rPr>
          <w:lang w:val="ru-RU"/>
        </w:rPr>
        <w:t>•</w:t>
      </w:r>
      <w:r w:rsidRPr="00BE346F">
        <w:rPr>
          <w:lang w:val="ru-RU"/>
        </w:rPr>
        <w:tab/>
        <w:t>разрешения;</w:t>
      </w:r>
    </w:p>
    <w:p w:rsidR="00BE346F" w:rsidRPr="00BE346F" w:rsidRDefault="00BE346F" w:rsidP="00C54F22">
      <w:pPr>
        <w:pStyle w:val="enumlev1"/>
        <w:rPr>
          <w:lang w:val="ru-RU"/>
        </w:rPr>
      </w:pPr>
      <w:r w:rsidRPr="00BE346F">
        <w:rPr>
          <w:lang w:val="ru-RU"/>
        </w:rPr>
        <w:t>•</w:t>
      </w:r>
      <w:r w:rsidRPr="00BE346F">
        <w:rPr>
          <w:lang w:val="ru-RU"/>
        </w:rPr>
        <w:tab/>
        <w:t>заявления; и</w:t>
      </w:r>
    </w:p>
    <w:p w:rsidR="00BE346F" w:rsidRPr="00BE346F" w:rsidRDefault="00BE346F" w:rsidP="00C54F22">
      <w:pPr>
        <w:pStyle w:val="enumlev1"/>
        <w:rPr>
          <w:lang w:val="ru-RU"/>
        </w:rPr>
      </w:pPr>
      <w:r w:rsidRPr="00BE346F">
        <w:rPr>
          <w:lang w:val="ru-RU"/>
        </w:rPr>
        <w:t>•</w:t>
      </w:r>
      <w:r w:rsidRPr="00BE346F">
        <w:rPr>
          <w:lang w:val="ru-RU"/>
        </w:rPr>
        <w:tab/>
        <w:t>нерегулируемые услуги.</w:t>
      </w:r>
    </w:p>
    <w:p w:rsidR="00BE346F" w:rsidRPr="00BE346F" w:rsidRDefault="00BE346F" w:rsidP="00BE346F">
      <w:pPr>
        <w:rPr>
          <w:lang w:val="ru-RU"/>
        </w:rPr>
      </w:pPr>
      <w:r w:rsidRPr="00BE346F">
        <w:rPr>
          <w:lang w:val="ru-RU"/>
        </w:rPr>
        <w:t xml:space="preserve">Согласно закону лицензии необходимо получать </w:t>
      </w:r>
      <w:proofErr w:type="gramStart"/>
      <w:r w:rsidRPr="00BE346F">
        <w:rPr>
          <w:lang w:val="ru-RU"/>
        </w:rPr>
        <w:t>для</w:t>
      </w:r>
      <w:proofErr w:type="gramEnd"/>
      <w:r w:rsidRPr="00BE346F">
        <w:rPr>
          <w:lang w:val="ru-RU"/>
        </w:rPr>
        <w:t>:</w:t>
      </w:r>
    </w:p>
    <w:p w:rsidR="00BE346F" w:rsidRPr="00BE346F" w:rsidRDefault="00BE346F" w:rsidP="00D77986">
      <w:pPr>
        <w:pStyle w:val="enumlev1"/>
        <w:rPr>
          <w:lang w:val="ru-RU"/>
        </w:rPr>
      </w:pPr>
      <w:r w:rsidRPr="00BE346F">
        <w:rPr>
          <w:lang w:val="ru-RU"/>
        </w:rPr>
        <w:t>•</w:t>
      </w:r>
      <w:r w:rsidRPr="00BE346F">
        <w:rPr>
          <w:lang w:val="ru-RU"/>
        </w:rPr>
        <w:tab/>
        <w:t>создания и/или эксплуатации сетей или услуг электросвязи общего пользования;</w:t>
      </w:r>
    </w:p>
    <w:p w:rsidR="00BE346F" w:rsidRPr="00BE346F" w:rsidRDefault="00BE346F" w:rsidP="00D77986">
      <w:pPr>
        <w:pStyle w:val="enumlev1"/>
        <w:rPr>
          <w:lang w:val="ru-RU"/>
        </w:rPr>
      </w:pPr>
      <w:r w:rsidRPr="00BE346F">
        <w:rPr>
          <w:lang w:val="ru-RU"/>
        </w:rPr>
        <w:t>•</w:t>
      </w:r>
      <w:r w:rsidRPr="00BE346F">
        <w:rPr>
          <w:lang w:val="ru-RU"/>
        </w:rPr>
        <w:tab/>
        <w:t>создания и эксплуатации независимых сетей, использующих общественную собственность (права на прокладку сетей на общественной земле) и системы радиосвязи; и</w:t>
      </w:r>
    </w:p>
    <w:p w:rsidR="00BE346F" w:rsidRPr="00BE346F" w:rsidRDefault="00BE346F" w:rsidP="00D77986">
      <w:pPr>
        <w:pStyle w:val="enumlev1"/>
        <w:rPr>
          <w:lang w:val="ru-RU"/>
        </w:rPr>
      </w:pPr>
      <w:r w:rsidRPr="00BE346F">
        <w:rPr>
          <w:lang w:val="ru-RU"/>
        </w:rPr>
        <w:t>•</w:t>
      </w:r>
      <w:r w:rsidRPr="00BE346F">
        <w:rPr>
          <w:lang w:val="ru-RU"/>
        </w:rPr>
        <w:tab/>
        <w:t>предоставления доступа в интернет.</w:t>
      </w:r>
    </w:p>
    <w:p w:rsidR="00BE346F" w:rsidRPr="00BE346F" w:rsidRDefault="00BE346F" w:rsidP="00BE346F">
      <w:pPr>
        <w:rPr>
          <w:lang w:val="ru-RU"/>
        </w:rPr>
      </w:pPr>
      <w:proofErr w:type="spellStart"/>
      <w:r w:rsidRPr="00BE346F">
        <w:rPr>
          <w:lang w:val="ru-RU"/>
        </w:rPr>
        <w:t>MCNTI</w:t>
      </w:r>
      <w:proofErr w:type="spellEnd"/>
      <w:r w:rsidRPr="00BE346F">
        <w:rPr>
          <w:lang w:val="ru-RU"/>
        </w:rPr>
        <w:t xml:space="preserve"> выдает лицензии по рекомендации Управления по регламентации почт и электросвязи (</w:t>
      </w:r>
      <w:proofErr w:type="spellStart"/>
      <w:r w:rsidRPr="00BE346F">
        <w:rPr>
          <w:lang w:val="ru-RU"/>
        </w:rPr>
        <w:t>ARPT</w:t>
      </w:r>
      <w:proofErr w:type="spellEnd"/>
      <w:r w:rsidRPr="00BE346F">
        <w:rPr>
          <w:lang w:val="ru-RU"/>
        </w:rPr>
        <w:t>). Общие условия лицензии предоставляют держателю лицензии права и определяют его обязанности и единообразно применяются ко всем держателям лицензий в рамках той же категории сети или услуг в целях обеспечения равного режима для всех операторов. Операторы должны придерживаться установленных принципов и правил, в том числе касающихся недопущения дискриминации, обеспечения конфиденциальности и технологической нейтральности, а также не должны создавать помех другим сетям и услугам. На основных операторов налагаются дополнительные обязательства, включая участие в обеспечении универсального доступа и услуг бесплатного вызова в чрезвычайных ситуациях.</w:t>
      </w:r>
    </w:p>
    <w:p w:rsidR="00BE346F" w:rsidRPr="00BE346F" w:rsidRDefault="00BE346F" w:rsidP="00BE346F">
      <w:pPr>
        <w:rPr>
          <w:lang w:val="ru-RU"/>
        </w:rPr>
      </w:pPr>
      <w:r w:rsidRPr="00BE346F">
        <w:rPr>
          <w:lang w:val="ru-RU"/>
        </w:rPr>
        <w:t>В Гвинее в настоящее время действуют пять операторов электросвязи </w:t>
      </w:r>
      <w:r w:rsidRPr="00BE346F">
        <w:rPr>
          <w:lang w:val="ru-RU"/>
        </w:rPr>
        <w:sym w:font="Symbol" w:char="F02D"/>
      </w:r>
      <w:r w:rsidRPr="00BE346F">
        <w:rPr>
          <w:lang w:val="ru-RU"/>
        </w:rPr>
        <w:t xml:space="preserve"> </w:t>
      </w:r>
      <w:proofErr w:type="spellStart"/>
      <w:r w:rsidRPr="00BE346F">
        <w:rPr>
          <w:lang w:val="ru-RU"/>
        </w:rPr>
        <w:t>Sotelgui</w:t>
      </w:r>
      <w:proofErr w:type="spellEnd"/>
      <w:r w:rsidRPr="00BE346F">
        <w:rPr>
          <w:lang w:val="ru-RU"/>
        </w:rPr>
        <w:t xml:space="preserve">, </w:t>
      </w:r>
      <w:proofErr w:type="spellStart"/>
      <w:r w:rsidRPr="00BE346F">
        <w:rPr>
          <w:lang w:val="ru-RU"/>
        </w:rPr>
        <w:t>Areeba</w:t>
      </w:r>
      <w:proofErr w:type="spellEnd"/>
      <w:r w:rsidRPr="00BE346F">
        <w:rPr>
          <w:lang w:val="ru-RU"/>
        </w:rPr>
        <w:t xml:space="preserve">, </w:t>
      </w:r>
      <w:proofErr w:type="spellStart"/>
      <w:r w:rsidRPr="00BE346F">
        <w:rPr>
          <w:lang w:val="ru-RU"/>
        </w:rPr>
        <w:t>Intercel</w:t>
      </w:r>
      <w:proofErr w:type="spellEnd"/>
      <w:r w:rsidRPr="00BE346F">
        <w:rPr>
          <w:lang w:val="ru-RU"/>
        </w:rPr>
        <w:t xml:space="preserve">, </w:t>
      </w:r>
      <w:proofErr w:type="spellStart"/>
      <w:r w:rsidRPr="00BE346F">
        <w:rPr>
          <w:lang w:val="ru-RU"/>
        </w:rPr>
        <w:t>Orange</w:t>
      </w:r>
      <w:proofErr w:type="spellEnd"/>
      <w:r w:rsidRPr="00BE346F">
        <w:rPr>
          <w:lang w:val="ru-RU"/>
        </w:rPr>
        <w:t xml:space="preserve"> и </w:t>
      </w:r>
      <w:proofErr w:type="spellStart"/>
      <w:r w:rsidRPr="00BE346F">
        <w:rPr>
          <w:lang w:val="ru-RU"/>
        </w:rPr>
        <w:t>Cellcom</w:t>
      </w:r>
      <w:proofErr w:type="spellEnd"/>
      <w:r w:rsidRPr="00BE346F">
        <w:rPr>
          <w:lang w:val="ru-RU"/>
        </w:rPr>
        <w:t xml:space="preserve">, а также около десятка поставщиков доступа в интернет. Правительство планирует деятельность по сокращению масштабов нищеты и выполнению </w:t>
      </w:r>
      <w:proofErr w:type="gramStart"/>
      <w:r w:rsidRPr="00BE346F">
        <w:rPr>
          <w:lang w:val="ru-RU"/>
        </w:rPr>
        <w:t>задач Проекта тысячелетия Организации Объединенных Наций</w:t>
      </w:r>
      <w:proofErr w:type="gramEnd"/>
      <w:r w:rsidRPr="00BE346F">
        <w:rPr>
          <w:lang w:val="ru-RU"/>
        </w:rPr>
        <w:t xml:space="preserve"> путем обеспечения равного и </w:t>
      </w:r>
      <w:proofErr w:type="spellStart"/>
      <w:r w:rsidRPr="00BE346F">
        <w:rPr>
          <w:lang w:val="ru-RU"/>
        </w:rPr>
        <w:t>недискриминационного</w:t>
      </w:r>
      <w:proofErr w:type="spellEnd"/>
      <w:r w:rsidRPr="00BE346F">
        <w:rPr>
          <w:lang w:val="ru-RU"/>
        </w:rPr>
        <w:t xml:space="preserve"> доступа к услугам для всего населения. Правительство также стремится сократить "цифровой разрыв" путем ускорения темпов распространения следующих услуг на базе ИКТ:</w:t>
      </w:r>
    </w:p>
    <w:p w:rsidR="00BE346F" w:rsidRPr="00BE346F" w:rsidRDefault="00BE346F" w:rsidP="00C54F22">
      <w:pPr>
        <w:pStyle w:val="enumlev1"/>
        <w:rPr>
          <w:lang w:val="ru-RU"/>
        </w:rPr>
      </w:pPr>
      <w:r w:rsidRPr="00BE346F">
        <w:rPr>
          <w:lang w:val="ru-RU"/>
        </w:rPr>
        <w:t>•</w:t>
      </w:r>
      <w:r w:rsidRPr="00BE346F">
        <w:rPr>
          <w:lang w:val="ru-RU"/>
        </w:rPr>
        <w:tab/>
        <w:t>СПП с 0,5 до 25%;</w:t>
      </w:r>
    </w:p>
    <w:p w:rsidR="00BE346F" w:rsidRPr="00BE346F" w:rsidRDefault="00BE346F" w:rsidP="00C54F22">
      <w:pPr>
        <w:pStyle w:val="enumlev1"/>
        <w:rPr>
          <w:lang w:val="ru-RU"/>
        </w:rPr>
      </w:pPr>
      <w:r w:rsidRPr="00BE346F">
        <w:rPr>
          <w:lang w:val="ru-RU"/>
        </w:rPr>
        <w:t>•</w:t>
      </w:r>
      <w:r w:rsidRPr="00BE346F">
        <w:rPr>
          <w:lang w:val="ru-RU"/>
        </w:rPr>
        <w:tab/>
        <w:t>услуги телефонной связи с 7,6 до 25%;</w:t>
      </w:r>
    </w:p>
    <w:p w:rsidR="00BE346F" w:rsidRPr="00BE346F" w:rsidRDefault="00BE346F" w:rsidP="00C54F22">
      <w:pPr>
        <w:pStyle w:val="enumlev1"/>
        <w:rPr>
          <w:lang w:val="ru-RU"/>
        </w:rPr>
      </w:pPr>
      <w:r w:rsidRPr="00BE346F">
        <w:rPr>
          <w:lang w:val="ru-RU"/>
        </w:rPr>
        <w:t>•</w:t>
      </w:r>
      <w:r w:rsidRPr="00BE346F">
        <w:rPr>
          <w:lang w:val="ru-RU"/>
        </w:rPr>
        <w:tab/>
        <w:t>охват радиосвязью с 75 до 95%.</w:t>
      </w:r>
    </w:p>
    <w:p w:rsidR="00BE346F" w:rsidRPr="00BE346F" w:rsidRDefault="00BE346F" w:rsidP="00C54F22">
      <w:pPr>
        <w:pStyle w:val="Heading3"/>
        <w:rPr>
          <w:lang w:val="ru-RU"/>
        </w:rPr>
      </w:pPr>
      <w:bookmarkStart w:id="52" w:name="_Toc262721857"/>
      <w:r w:rsidRPr="00BE346F">
        <w:rPr>
          <w:lang w:val="ru-RU"/>
        </w:rPr>
        <w:t>4.1.3</w:t>
      </w:r>
      <w:r w:rsidRPr="00BE346F">
        <w:rPr>
          <w:lang w:val="ru-RU"/>
        </w:rPr>
        <w:tab/>
        <w:t>Республика Корея</w:t>
      </w:r>
      <w:bookmarkEnd w:id="52"/>
    </w:p>
    <w:p w:rsidR="00BE346F" w:rsidRPr="00BE346F" w:rsidRDefault="00BE346F" w:rsidP="00BE346F">
      <w:pPr>
        <w:rPr>
          <w:lang w:val="ru-RU"/>
        </w:rPr>
      </w:pPr>
      <w:proofErr w:type="gramStart"/>
      <w:r w:rsidRPr="00BE346F">
        <w:rPr>
          <w:lang w:val="ru-RU"/>
        </w:rPr>
        <w:t xml:space="preserve">Республика Корея представила результаты тематического исследования по регулированию в области подвижной голосовой связи по </w:t>
      </w:r>
      <w:proofErr w:type="spellStart"/>
      <w:r w:rsidRPr="00BE346F">
        <w:rPr>
          <w:lang w:val="ru-RU"/>
        </w:rPr>
        <w:t>IP</w:t>
      </w:r>
      <w:proofErr w:type="spellEnd"/>
      <w:r w:rsidRPr="00BE346F">
        <w:rPr>
          <w:lang w:val="ru-RU"/>
        </w:rPr>
        <w:t xml:space="preserve"> (</w:t>
      </w:r>
      <w:proofErr w:type="spellStart"/>
      <w:r w:rsidRPr="00BE346F">
        <w:rPr>
          <w:lang w:val="ru-RU"/>
        </w:rPr>
        <w:t>VoIP</w:t>
      </w:r>
      <w:proofErr w:type="spellEnd"/>
      <w:r w:rsidRPr="00BE346F">
        <w:rPr>
          <w:lang w:val="ru-RU"/>
        </w:rPr>
        <w:t>), представив информацию о современном состоянии регулирования и используемой классификации услуг и коммерческой деятельности</w:t>
      </w:r>
      <w:r w:rsidRPr="00FA5CF9">
        <w:rPr>
          <w:position w:val="6"/>
          <w:sz w:val="16"/>
          <w:szCs w:val="16"/>
          <w:lang w:val="ru-RU"/>
        </w:rPr>
        <w:footnoteReference w:id="21"/>
      </w:r>
      <w:r w:rsidRPr="00BE346F">
        <w:rPr>
          <w:lang w:val="ru-RU"/>
        </w:rPr>
        <w:t xml:space="preserve">. В отношении </w:t>
      </w:r>
      <w:r w:rsidRPr="00BE346F">
        <w:rPr>
          <w:lang w:val="ru-RU"/>
        </w:rPr>
        <w:lastRenderedPageBreak/>
        <w:t>поставщиков услуг электросвязи в Корее используются три класса коммерческой деятельности: предприятие электросвязи, располагающее техническими средствами (ответственное за прокладку линий электросвязи), предприятие, осуществляющее перепродажи (использует линии, которые обеспечивает предприятие, располагающее</w:t>
      </w:r>
      <w:proofErr w:type="gramEnd"/>
      <w:r w:rsidRPr="00BE346F">
        <w:rPr>
          <w:lang w:val="ru-RU"/>
        </w:rPr>
        <w:t xml:space="preserve"> техническими средствами, и монтирует средства электросвязи в зданиях), и предприятие связи, оказывающее услуги за дополнительную плату (арендующее средства электросвязи на базе выделенных линий, которые обеспечивают поставщики электросвязи, располагающие техническими средствами). В отношении услуг электросвязи в Корее существуют две категории: услуги электросвязи на базе технических средств и услуги связи, оказываемые за дополнительную плату. Услуги электросвязи на основе технических сре</w:t>
      </w:r>
      <w:proofErr w:type="gramStart"/>
      <w:r w:rsidRPr="00BE346F">
        <w:rPr>
          <w:lang w:val="ru-RU"/>
        </w:rPr>
        <w:t>дств вкл</w:t>
      </w:r>
      <w:proofErr w:type="gramEnd"/>
      <w:r w:rsidRPr="00BE346F">
        <w:rPr>
          <w:lang w:val="ru-RU"/>
        </w:rPr>
        <w:t xml:space="preserve">ючают услуги связи по телефонным и выделенным линиям, услуги беспроводной связи с распределением спектра, услуги подсоединения к интернету, </w:t>
      </w:r>
      <w:proofErr w:type="spellStart"/>
      <w:r w:rsidRPr="00BE346F">
        <w:rPr>
          <w:lang w:val="ru-RU"/>
        </w:rPr>
        <w:t>VoIP</w:t>
      </w:r>
      <w:proofErr w:type="spellEnd"/>
      <w:r w:rsidRPr="00BE346F">
        <w:rPr>
          <w:lang w:val="ru-RU"/>
        </w:rPr>
        <w:t xml:space="preserve"> и другие услуги. Услуги, предоставляемые за дополнительную плату, включают все прочие услуги электросвязи.</w:t>
      </w:r>
    </w:p>
    <w:p w:rsidR="00BE346F" w:rsidRPr="00BE346F" w:rsidRDefault="00BE346F" w:rsidP="00BE346F">
      <w:pPr>
        <w:rPr>
          <w:lang w:val="ru-RU"/>
        </w:rPr>
      </w:pPr>
      <w:r w:rsidRPr="00BE346F">
        <w:rPr>
          <w:lang w:val="ru-RU"/>
        </w:rPr>
        <w:t xml:space="preserve">Несмотря на </w:t>
      </w:r>
      <w:proofErr w:type="gramStart"/>
      <w:r w:rsidRPr="00BE346F">
        <w:rPr>
          <w:lang w:val="ru-RU"/>
        </w:rPr>
        <w:t>то</w:t>
      </w:r>
      <w:proofErr w:type="gramEnd"/>
      <w:r w:rsidRPr="00BE346F">
        <w:rPr>
          <w:lang w:val="ru-RU"/>
        </w:rPr>
        <w:t xml:space="preserve"> что </w:t>
      </w:r>
      <w:proofErr w:type="spellStart"/>
      <w:r w:rsidRPr="00BE346F">
        <w:rPr>
          <w:lang w:val="ru-RU"/>
        </w:rPr>
        <w:t>VoIP</w:t>
      </w:r>
      <w:proofErr w:type="spellEnd"/>
      <w:r w:rsidRPr="00BE346F">
        <w:rPr>
          <w:lang w:val="ru-RU"/>
        </w:rPr>
        <w:t xml:space="preserve"> изначально была внедрена как услуга связи по фиксированным линиям, технический прогресс сделал возможным внедрение подвижной </w:t>
      </w:r>
      <w:proofErr w:type="spellStart"/>
      <w:r w:rsidRPr="00BE346F">
        <w:rPr>
          <w:lang w:val="ru-RU"/>
        </w:rPr>
        <w:t>VoIP</w:t>
      </w:r>
      <w:proofErr w:type="spellEnd"/>
      <w:r w:rsidRPr="00BE346F">
        <w:rPr>
          <w:lang w:val="ru-RU"/>
        </w:rPr>
        <w:t xml:space="preserve"> (т. е. </w:t>
      </w:r>
      <w:proofErr w:type="spellStart"/>
      <w:r w:rsidRPr="00BE346F">
        <w:rPr>
          <w:lang w:val="ru-RU"/>
        </w:rPr>
        <w:t>VoIP</w:t>
      </w:r>
      <w:proofErr w:type="spellEnd"/>
      <w:r w:rsidRPr="00BE346F">
        <w:rPr>
          <w:lang w:val="ru-RU"/>
        </w:rPr>
        <w:t xml:space="preserve"> по беспроводному интернету или широкополосным беспроводным сетям). Такое развитие поставило регуляторные органы Кореи перед необходимостью определения порядка своих действий в отношении входа поставщиков подвижной </w:t>
      </w:r>
      <w:proofErr w:type="spellStart"/>
      <w:r w:rsidRPr="00BE346F">
        <w:rPr>
          <w:lang w:val="ru-RU"/>
        </w:rPr>
        <w:t>VoIP</w:t>
      </w:r>
      <w:proofErr w:type="spellEnd"/>
      <w:r w:rsidRPr="00BE346F">
        <w:rPr>
          <w:lang w:val="ru-RU"/>
        </w:rPr>
        <w:t xml:space="preserve"> на существующий рынок услуг подвижной связи. По состоянию на момент представления вклада Кореи Группе Докладчика регуляторные органы рассматривали различные сценарии регулирования этого рынка </w:t>
      </w:r>
      <w:proofErr w:type="spellStart"/>
      <w:r w:rsidRPr="00BE346F">
        <w:rPr>
          <w:lang w:val="ru-RU"/>
        </w:rPr>
        <w:t>конвергирующих</w:t>
      </w:r>
      <w:proofErr w:type="spellEnd"/>
      <w:r w:rsidRPr="00BE346F">
        <w:rPr>
          <w:lang w:val="ru-RU"/>
        </w:rPr>
        <w:t xml:space="preserve"> услуг.</w:t>
      </w:r>
    </w:p>
    <w:p w:rsidR="00BE346F" w:rsidRPr="00BE346F" w:rsidRDefault="00BE346F" w:rsidP="00BE346F">
      <w:pPr>
        <w:rPr>
          <w:lang w:val="ru-RU"/>
        </w:rPr>
      </w:pPr>
      <w:proofErr w:type="gramStart"/>
      <w:r w:rsidRPr="00BE346F">
        <w:rPr>
          <w:lang w:val="ru-RU"/>
        </w:rPr>
        <w:t xml:space="preserve">Республика Корея представила также результаты тематического исследования по </w:t>
      </w:r>
      <w:proofErr w:type="spellStart"/>
      <w:r w:rsidRPr="00BE346F">
        <w:rPr>
          <w:lang w:val="ru-RU"/>
        </w:rPr>
        <w:t>IPTV</w:t>
      </w:r>
      <w:proofErr w:type="spellEnd"/>
      <w:r w:rsidRPr="00BE346F">
        <w:rPr>
          <w:lang w:val="ru-RU"/>
        </w:rPr>
        <w:t xml:space="preserve"> и информацию о различных факторах, препятствующих принятию в Корее этой технологии, в том числе о нормативной базе</w:t>
      </w:r>
      <w:r w:rsidRPr="00FA5CF9">
        <w:rPr>
          <w:position w:val="6"/>
          <w:sz w:val="16"/>
          <w:szCs w:val="16"/>
          <w:lang w:val="ru-RU"/>
        </w:rPr>
        <w:footnoteReference w:id="22"/>
      </w:r>
      <w:r w:rsidRPr="00BE346F">
        <w:rPr>
          <w:lang w:val="ru-RU"/>
        </w:rPr>
        <w:t xml:space="preserve">. В Корее потребности в регулировании, связанном с </w:t>
      </w:r>
      <w:proofErr w:type="spellStart"/>
      <w:r w:rsidRPr="00BE346F">
        <w:rPr>
          <w:lang w:val="ru-RU"/>
        </w:rPr>
        <w:t>IPTV</w:t>
      </w:r>
      <w:proofErr w:type="spellEnd"/>
      <w:r w:rsidRPr="00BE346F">
        <w:rPr>
          <w:lang w:val="ru-RU"/>
        </w:rPr>
        <w:t>, различаются в зависимости от оператора или радиовещательной организации, а также от регуляторных органов в области электросвязи и в области радиовещания.</w:t>
      </w:r>
      <w:proofErr w:type="gramEnd"/>
      <w:r w:rsidRPr="00BE346F">
        <w:rPr>
          <w:lang w:val="ru-RU"/>
        </w:rPr>
        <w:t xml:space="preserve"> Регуляторные органы в области электросвязи и операторы электросвязи воспринимают </w:t>
      </w:r>
      <w:proofErr w:type="spellStart"/>
      <w:r w:rsidRPr="00BE346F">
        <w:rPr>
          <w:lang w:val="ru-RU"/>
        </w:rPr>
        <w:t>IPTV</w:t>
      </w:r>
      <w:proofErr w:type="spellEnd"/>
      <w:r w:rsidRPr="00BE346F">
        <w:rPr>
          <w:lang w:val="ru-RU"/>
        </w:rPr>
        <w:t xml:space="preserve"> как совокупную услугу, т. е. как новую конвергентную услугу, отличающуюся от уже </w:t>
      </w:r>
      <w:proofErr w:type="gramStart"/>
      <w:r w:rsidRPr="00BE346F">
        <w:rPr>
          <w:lang w:val="ru-RU"/>
        </w:rPr>
        <w:t>существующих</w:t>
      </w:r>
      <w:proofErr w:type="gramEnd"/>
      <w:r w:rsidRPr="00BE346F">
        <w:rPr>
          <w:lang w:val="ru-RU"/>
        </w:rPr>
        <w:t xml:space="preserve"> и поэтому требующую нежесткого регулирования. </w:t>
      </w:r>
      <w:proofErr w:type="gramStart"/>
      <w:r w:rsidRPr="00BE346F">
        <w:rPr>
          <w:lang w:val="ru-RU"/>
        </w:rPr>
        <w:t xml:space="preserve">Вместе с тем, регуляторные органы в области радиовещания и радиовещательные организации рассматривают </w:t>
      </w:r>
      <w:proofErr w:type="spellStart"/>
      <w:r w:rsidRPr="00BE346F">
        <w:rPr>
          <w:lang w:val="ru-RU"/>
        </w:rPr>
        <w:t>IPTV</w:t>
      </w:r>
      <w:proofErr w:type="spellEnd"/>
      <w:r w:rsidRPr="00BE346F">
        <w:rPr>
          <w:lang w:val="ru-RU"/>
        </w:rPr>
        <w:t xml:space="preserve"> как услугу, аналогичную существующей кабельной услуге, приводя в качестве доказательства наличие в </w:t>
      </w:r>
      <w:proofErr w:type="spellStart"/>
      <w:r w:rsidRPr="00BE346F">
        <w:rPr>
          <w:lang w:val="ru-RU"/>
        </w:rPr>
        <w:t>IPTV</w:t>
      </w:r>
      <w:proofErr w:type="spellEnd"/>
      <w:r w:rsidRPr="00BE346F">
        <w:rPr>
          <w:lang w:val="ru-RU"/>
        </w:rPr>
        <w:t xml:space="preserve"> графика телевизионных передач, т. е. как услугу, подлежащую такому же регулированию, которое применяется к кабельным услугам, в соответствии с принципом применения одинакового режима регулирования к одинаковым услугам</w:t>
      </w:r>
      <w:r w:rsidRPr="00FA5CF9">
        <w:rPr>
          <w:position w:val="6"/>
          <w:sz w:val="16"/>
          <w:szCs w:val="16"/>
          <w:lang w:val="ru-RU"/>
        </w:rPr>
        <w:footnoteReference w:id="23"/>
      </w:r>
      <w:r w:rsidRPr="00BE346F">
        <w:rPr>
          <w:lang w:val="ru-RU"/>
        </w:rPr>
        <w:t>.</w:t>
      </w:r>
      <w:r w:rsidRPr="00BE346F">
        <w:rPr>
          <w:bCs/>
          <w:vertAlign w:val="superscript"/>
          <w:lang w:val="ru-RU"/>
        </w:rPr>
        <w:t xml:space="preserve"> </w:t>
      </w:r>
      <w:r w:rsidRPr="00BE346F">
        <w:rPr>
          <w:bCs/>
          <w:lang w:val="ru-RU"/>
        </w:rPr>
        <w:t>Кроме того, они настаивают на том, что</w:t>
      </w:r>
      <w:proofErr w:type="gramEnd"/>
      <w:r w:rsidRPr="00BE346F">
        <w:rPr>
          <w:bCs/>
          <w:lang w:val="ru-RU"/>
        </w:rPr>
        <w:t xml:space="preserve"> поскольку поставщик спутникового радиовещания и операторы цифрового кабельного ТВ предоставляют услугу видео по запросу</w:t>
      </w:r>
      <w:r w:rsidRPr="00BE346F">
        <w:rPr>
          <w:lang w:val="ru-RU"/>
        </w:rPr>
        <w:t xml:space="preserve"> (</w:t>
      </w:r>
      <w:proofErr w:type="spellStart"/>
      <w:r w:rsidRPr="00BE346F">
        <w:rPr>
          <w:lang w:val="ru-RU"/>
        </w:rPr>
        <w:t>VOD</w:t>
      </w:r>
      <w:proofErr w:type="spellEnd"/>
      <w:r w:rsidRPr="00BE346F">
        <w:rPr>
          <w:lang w:val="ru-RU"/>
        </w:rPr>
        <w:t xml:space="preserve">) только после получения разрешения от регуляторных органов в области радиовещания, операторы электросвязи, планирующие предоставлять услугу </w:t>
      </w:r>
      <w:proofErr w:type="spellStart"/>
      <w:r w:rsidRPr="00BE346F">
        <w:rPr>
          <w:lang w:val="ru-RU"/>
        </w:rPr>
        <w:t>VOD</w:t>
      </w:r>
      <w:proofErr w:type="spellEnd"/>
      <w:r w:rsidRPr="00BE346F">
        <w:rPr>
          <w:lang w:val="ru-RU"/>
        </w:rPr>
        <w:t>, также должны получать разрешение, как операторы радиовещания.</w:t>
      </w:r>
    </w:p>
    <w:p w:rsidR="00BE346F" w:rsidRPr="00BE346F" w:rsidRDefault="00BE346F" w:rsidP="00BE346F">
      <w:pPr>
        <w:rPr>
          <w:lang w:val="ru-RU"/>
        </w:rPr>
      </w:pPr>
      <w:r w:rsidRPr="00BE346F">
        <w:rPr>
          <w:lang w:val="ru-RU"/>
        </w:rPr>
        <w:t>Что касается регуляторных учреждений в контексте конвергенции, система регуляторных организаций Кореи была довольно сложна до создания в феврале 2008 года Комиссии по радиовещанию и связи Кореи (</w:t>
      </w:r>
      <w:proofErr w:type="spellStart"/>
      <w:r w:rsidRPr="00BE346F">
        <w:rPr>
          <w:lang w:val="ru-RU"/>
        </w:rPr>
        <w:t>BCC</w:t>
      </w:r>
      <w:proofErr w:type="spellEnd"/>
      <w:r w:rsidRPr="00BE346F">
        <w:rPr>
          <w:lang w:val="ru-RU"/>
        </w:rPr>
        <w:t xml:space="preserve">). До появления </w:t>
      </w:r>
      <w:proofErr w:type="spellStart"/>
      <w:r w:rsidRPr="00BE346F">
        <w:rPr>
          <w:lang w:val="ru-RU"/>
        </w:rPr>
        <w:t>BCC</w:t>
      </w:r>
      <w:proofErr w:type="spellEnd"/>
      <w:r w:rsidRPr="00BE346F">
        <w:rPr>
          <w:lang w:val="ru-RU"/>
        </w:rPr>
        <w:t xml:space="preserve"> полномочия в отношении секторов радиовещания и связи осуществлялись различными министерствами и ведомствами. Министерство внутренних дел и связи (</w:t>
      </w:r>
      <w:proofErr w:type="spellStart"/>
      <w:r w:rsidRPr="00BE346F">
        <w:rPr>
          <w:lang w:val="ru-RU"/>
        </w:rPr>
        <w:t>MIC</w:t>
      </w:r>
      <w:proofErr w:type="spellEnd"/>
      <w:r w:rsidRPr="00BE346F">
        <w:rPr>
          <w:lang w:val="ru-RU"/>
        </w:rPr>
        <w:t>) и Комиссия по связи Кореи (</w:t>
      </w:r>
      <w:proofErr w:type="spellStart"/>
      <w:r w:rsidRPr="00BE346F">
        <w:rPr>
          <w:lang w:val="ru-RU"/>
        </w:rPr>
        <w:t>KCC</w:t>
      </w:r>
      <w:proofErr w:type="spellEnd"/>
      <w:r w:rsidRPr="00BE346F">
        <w:rPr>
          <w:lang w:val="ru-RU"/>
        </w:rPr>
        <w:t xml:space="preserve">) осуществляли регулирование связи, а Министерство культуры и туризма отвечало за определенные разделы политики в области радиовещания и обладало полномочиями на разрешение и утверждение коммерческой деятельности в области радиовещания. Такая не являющаяся единой система регулирования сдерживала развитие конвергентных технологий, например </w:t>
      </w:r>
      <w:proofErr w:type="spellStart"/>
      <w:r w:rsidRPr="00BE346F">
        <w:rPr>
          <w:lang w:val="ru-RU"/>
        </w:rPr>
        <w:t>IPTV</w:t>
      </w:r>
      <w:proofErr w:type="spellEnd"/>
      <w:r w:rsidRPr="00BE346F">
        <w:rPr>
          <w:lang w:val="ru-RU"/>
        </w:rPr>
        <w:t>, поскольку, учитывая структурный аспект, было весьма сложно вести обсуждение и достигать согласия по вопросам, касающимся конвергенции электросвязи и радиовещания.</w:t>
      </w:r>
    </w:p>
    <w:p w:rsidR="00BE346F" w:rsidRPr="00BE346F" w:rsidRDefault="00BE346F" w:rsidP="00C54F22">
      <w:pPr>
        <w:pStyle w:val="Heading3"/>
        <w:rPr>
          <w:bCs/>
          <w:vertAlign w:val="superscript"/>
          <w:lang w:val="ru-RU"/>
        </w:rPr>
      </w:pPr>
      <w:bookmarkStart w:id="53" w:name="_Toc262721858"/>
      <w:r w:rsidRPr="00BE346F">
        <w:rPr>
          <w:lang w:val="ru-RU"/>
        </w:rPr>
        <w:lastRenderedPageBreak/>
        <w:t>4.1.4</w:t>
      </w:r>
      <w:r w:rsidRPr="00BE346F">
        <w:rPr>
          <w:lang w:val="ru-RU"/>
        </w:rPr>
        <w:tab/>
        <w:t>Лихтенштейн</w:t>
      </w:r>
      <w:r w:rsidRPr="00C54F22">
        <w:rPr>
          <w:b w:val="0"/>
          <w:bCs/>
          <w:position w:val="6"/>
          <w:sz w:val="16"/>
          <w:szCs w:val="16"/>
          <w:lang w:val="ru-RU"/>
        </w:rPr>
        <w:footnoteReference w:id="24"/>
      </w:r>
      <w:bookmarkEnd w:id="53"/>
    </w:p>
    <w:p w:rsidR="00BE346F" w:rsidRPr="00BE346F" w:rsidRDefault="00BE346F" w:rsidP="00BE346F">
      <w:pPr>
        <w:rPr>
          <w:lang w:val="ru-RU"/>
        </w:rPr>
      </w:pPr>
      <w:r w:rsidRPr="00BE346F">
        <w:rPr>
          <w:lang w:val="ru-RU"/>
        </w:rPr>
        <w:t>Законом о связи 2006 года</w:t>
      </w:r>
      <w:r w:rsidRPr="00BE346F">
        <w:rPr>
          <w:vertAlign w:val="superscript"/>
          <w:lang w:val="ru-RU"/>
        </w:rPr>
        <w:t xml:space="preserve"> </w:t>
      </w:r>
      <w:r w:rsidRPr="00BE346F">
        <w:rPr>
          <w:lang w:val="ru-RU"/>
        </w:rPr>
        <w:t xml:space="preserve">и соответствующими нормативными положениями Лихтенштейна был принят пакет документов Европейского союза от 2002 года по вопросам электросвязи (Рамочная директива, Директива об авторизации, Директива об универсальном обслуживании, Директива о доступе, Директива о конфиденциальности и электронных средствах связи, Директива о конкуренции и </w:t>
      </w:r>
      <w:proofErr w:type="gramStart"/>
      <w:r w:rsidRPr="00BE346F">
        <w:rPr>
          <w:lang w:val="ru-RU"/>
        </w:rPr>
        <w:t>решение</w:t>
      </w:r>
      <w:proofErr w:type="gramEnd"/>
      <w:r w:rsidRPr="00BE346F">
        <w:rPr>
          <w:lang w:val="ru-RU"/>
        </w:rPr>
        <w:t xml:space="preserve"> об управлении использованием спектра частот).</w:t>
      </w:r>
    </w:p>
    <w:p w:rsidR="00BE346F" w:rsidRPr="00BE346F" w:rsidRDefault="00BE346F" w:rsidP="00BE346F">
      <w:pPr>
        <w:rPr>
          <w:lang w:val="ru-RU"/>
        </w:rPr>
      </w:pPr>
      <w:proofErr w:type="gramStart"/>
      <w:r w:rsidRPr="00BE346F">
        <w:rPr>
          <w:lang w:val="ru-RU"/>
        </w:rPr>
        <w:t>Цель упомянутого Закона о связи заключалась в создании нейтральных в отношении технологии рамок для электронных средств связи, а также сетей и услуг электронной связи в целом, независимо от того, используются ли сети фиксированной и подвижной связи, спутниковые или широкополосные сети, или же наземные сети подвижной связи, а также независимо от предоставляемых услуг.</w:t>
      </w:r>
      <w:proofErr w:type="gramEnd"/>
    </w:p>
    <w:p w:rsidR="00BE346F" w:rsidRPr="00BE346F" w:rsidRDefault="00BE346F" w:rsidP="00BE346F">
      <w:pPr>
        <w:rPr>
          <w:u w:val="single"/>
          <w:lang w:val="ru-RU"/>
        </w:rPr>
      </w:pPr>
      <w:r w:rsidRPr="00BE346F">
        <w:rPr>
          <w:lang w:val="ru-RU"/>
        </w:rPr>
        <w:t>Инновационные преобразования в новой базе электронной связи не требуют режима лицензирования, и для предоставления новых услуг и осуществления новых видов деятельности в области электронной связи лицензии не требуются, однако они подлежат регистрации в национальном регуляторном органе.</w:t>
      </w:r>
    </w:p>
    <w:p w:rsidR="00BE346F" w:rsidRPr="00BE346F" w:rsidRDefault="00BE346F" w:rsidP="00C54F22">
      <w:pPr>
        <w:pStyle w:val="Heading3"/>
        <w:rPr>
          <w:bCs/>
          <w:vertAlign w:val="superscript"/>
          <w:lang w:val="ru-RU"/>
        </w:rPr>
      </w:pPr>
      <w:bookmarkStart w:id="54" w:name="_Toc262721859"/>
      <w:r w:rsidRPr="00BE346F">
        <w:rPr>
          <w:lang w:val="ru-RU"/>
        </w:rPr>
        <w:t>4.1.5</w:t>
      </w:r>
      <w:r w:rsidRPr="00BE346F">
        <w:rPr>
          <w:lang w:val="ru-RU"/>
        </w:rPr>
        <w:tab/>
        <w:t>Литва</w:t>
      </w:r>
      <w:r w:rsidRPr="00C54F22">
        <w:rPr>
          <w:b w:val="0"/>
          <w:bCs/>
          <w:position w:val="6"/>
          <w:sz w:val="16"/>
          <w:szCs w:val="16"/>
          <w:lang w:val="ru-RU"/>
        </w:rPr>
        <w:footnoteReference w:id="25"/>
      </w:r>
      <w:bookmarkEnd w:id="54"/>
    </w:p>
    <w:p w:rsidR="00BE346F" w:rsidRPr="00BE346F" w:rsidRDefault="00BE346F" w:rsidP="00BE346F">
      <w:pPr>
        <w:rPr>
          <w:lang w:val="ru-RU"/>
        </w:rPr>
      </w:pPr>
      <w:r w:rsidRPr="00BE346F">
        <w:rPr>
          <w:lang w:val="ru-RU"/>
        </w:rPr>
        <w:t>В соответствии</w:t>
      </w:r>
      <w:r w:rsidRPr="00BE346F">
        <w:rPr>
          <w:bCs/>
          <w:vertAlign w:val="superscript"/>
          <w:lang w:val="ru-RU"/>
        </w:rPr>
        <w:t xml:space="preserve"> </w:t>
      </w:r>
      <w:r w:rsidRPr="00BE346F">
        <w:rPr>
          <w:lang w:val="ru-RU"/>
        </w:rPr>
        <w:t>с Законом об электросвязи 2002 года лицензирование деятельности в области электросвязи было упразднено с 1 января 2003 года. Право на осуществление такой деятельности дается без индивидуального разрешения при соответствии требованиям, определенным в юридических актах. Согласно Общим положениям и условиям для ведения деятельности в области электросвязи все предприятия, предполагающие заниматься предоставлением сетей и/или услуг фиксированной телефонной связи общего пользования, а также предоставлением услуг выделенных линий, должны лишь подать уведомление о начале деятельности в области электросвязи. Литва одной из первых стран в ЕС упразднила систему лицензирования и перешла к системе общих разрешений в секторе электросвязи.</w:t>
      </w:r>
    </w:p>
    <w:p w:rsidR="00BE346F" w:rsidRPr="00BE346F" w:rsidRDefault="00BE346F" w:rsidP="00BE346F">
      <w:pPr>
        <w:rPr>
          <w:lang w:val="ru-RU"/>
        </w:rPr>
      </w:pPr>
      <w:r w:rsidRPr="00BE346F">
        <w:rPr>
          <w:lang w:val="ru-RU"/>
        </w:rPr>
        <w:t>После проведенной Литвой в январе 2003 года либерализации рынка сетей и услуг фиксированной телефонной связи общего пользования и введения нового закона сектор электросвязи этой страны претерпел стремительные и позитивные изменения. Следует отметить, что низкий уровень административных сборов обусловил низкие цены на услуги на розничном рынке.</w:t>
      </w:r>
    </w:p>
    <w:p w:rsidR="00BE346F" w:rsidRPr="00BE346F" w:rsidRDefault="00BE346F" w:rsidP="00BE346F">
      <w:pPr>
        <w:rPr>
          <w:lang w:val="ru-RU"/>
        </w:rPr>
      </w:pPr>
      <w:r w:rsidRPr="00BE346F">
        <w:rPr>
          <w:lang w:val="ru-RU"/>
        </w:rPr>
        <w:t>Закон об электронных средствах связи 2004 года вступил в силу 1 мая 2004 года. Его основная задача заключалась во введении в национальное законодательство принятых в 2002 году директив ЕС, касающихся новых рамок регулирования в области электронных сре</w:t>
      </w:r>
      <w:proofErr w:type="gramStart"/>
      <w:r w:rsidRPr="00BE346F">
        <w:rPr>
          <w:lang w:val="ru-RU"/>
        </w:rPr>
        <w:t>дств св</w:t>
      </w:r>
      <w:proofErr w:type="gramEnd"/>
      <w:r w:rsidRPr="00BE346F">
        <w:rPr>
          <w:lang w:val="ru-RU"/>
        </w:rPr>
        <w:t>язи и предоставляемых с их помощью услуг. В качестве основы регулирования этот закон вводил принцип нейтральности в отношении технологии.</w:t>
      </w:r>
    </w:p>
    <w:p w:rsidR="00BE346F" w:rsidRPr="00BE346F" w:rsidRDefault="00BE346F" w:rsidP="00BE346F">
      <w:pPr>
        <w:rPr>
          <w:lang w:val="ru-RU"/>
        </w:rPr>
      </w:pPr>
      <w:r w:rsidRPr="00BE346F">
        <w:rPr>
          <w:lang w:val="ru-RU"/>
        </w:rPr>
        <w:t xml:space="preserve">Что касается радиовещания, то в 2006 году были внесены поправки в Закон о предоставлении информации населению в рамках регулируемой государством деятельности в области радиовещания, с </w:t>
      </w:r>
      <w:proofErr w:type="gramStart"/>
      <w:r w:rsidRPr="00BE346F">
        <w:rPr>
          <w:lang w:val="ru-RU"/>
        </w:rPr>
        <w:t>тем</w:t>
      </w:r>
      <w:proofErr w:type="gramEnd"/>
      <w:r w:rsidRPr="00BE346F">
        <w:rPr>
          <w:lang w:val="ru-RU"/>
        </w:rPr>
        <w:t xml:space="preserve"> чтобы упразднить требование получения лицензии для осуществления определенных видов деятельности в области радиовещания, т. е. этот Закон не требует наличия лицензии для осуществления деятельности, не связанной с радиовещательной передачей программ и/или ретрансляцией или с радиовещанием в некоммерческих целях. Предусматривается дальнейшая адаптация системы регулирования к условиям конвергенции путем введения обновленных правовых рамок ЕС 2007 года для услуг телевещания (Директива </w:t>
      </w:r>
      <w:r w:rsidRPr="00BE346F">
        <w:rPr>
          <w:bCs/>
          <w:lang w:val="ru-RU"/>
        </w:rPr>
        <w:t>2007/65/</w:t>
      </w:r>
      <w:proofErr w:type="spellStart"/>
      <w:r w:rsidRPr="00BE346F">
        <w:rPr>
          <w:bCs/>
          <w:lang w:val="ru-RU"/>
        </w:rPr>
        <w:t>EC</w:t>
      </w:r>
      <w:proofErr w:type="spellEnd"/>
      <w:r w:rsidRPr="00BE346F">
        <w:rPr>
          <w:lang w:val="ru-RU"/>
        </w:rPr>
        <w:t>). Новая Директива </w:t>
      </w:r>
      <w:r w:rsidRPr="00BE346F">
        <w:rPr>
          <w:bCs/>
          <w:lang w:val="ru-RU"/>
        </w:rPr>
        <w:t>2007/65/</w:t>
      </w:r>
      <w:proofErr w:type="spellStart"/>
      <w:r w:rsidRPr="00BE346F">
        <w:rPr>
          <w:bCs/>
          <w:lang w:val="ru-RU"/>
        </w:rPr>
        <w:t>EC</w:t>
      </w:r>
      <w:proofErr w:type="spellEnd"/>
      <w:r w:rsidRPr="00BE346F">
        <w:rPr>
          <w:lang w:val="ru-RU"/>
        </w:rPr>
        <w:t xml:space="preserve"> направлена на обновление и обеспечение гибкости рамок для телевизионного радиовещания, включая прочие односторонние (предоставляемые по графику) услуги телевещания, и введение набора минимальных правил для не односторонних (по запросу) услуг телевещания.</w:t>
      </w:r>
    </w:p>
    <w:p w:rsidR="00BE346F" w:rsidRPr="00BE346F" w:rsidRDefault="00BE346F" w:rsidP="00BE346F">
      <w:pPr>
        <w:rPr>
          <w:lang w:val="ru-RU"/>
        </w:rPr>
      </w:pPr>
      <w:r w:rsidRPr="00BE346F">
        <w:rPr>
          <w:lang w:val="ru-RU"/>
        </w:rPr>
        <w:t>Что касается использования спектра, то после либерализации условий использования радиочастот регуляторный орган Литовской Республики в области связи (</w:t>
      </w:r>
      <w:proofErr w:type="spellStart"/>
      <w:r w:rsidRPr="00BE346F">
        <w:rPr>
          <w:lang w:val="ru-RU"/>
        </w:rPr>
        <w:t>RRT</w:t>
      </w:r>
      <w:proofErr w:type="spellEnd"/>
      <w:r w:rsidRPr="00BE346F">
        <w:rPr>
          <w:lang w:val="ru-RU"/>
        </w:rPr>
        <w:t xml:space="preserve">) направляет свою деятельность на </w:t>
      </w:r>
      <w:r w:rsidRPr="00BE346F">
        <w:rPr>
          <w:lang w:val="ru-RU"/>
        </w:rPr>
        <w:lastRenderedPageBreak/>
        <w:t>поощрение участников рынка к предоставлению наиболее широкого диапазона современных услуг беспроводной связи и использованию имеющихся ограниченных национальных ресурсов с максимальной эффективностью. С развитием рынков и появлением новых технологий в условиях конвергенции регулирование неизбежно становится все более либеральным и нейтральным в отношении технологий и услуг.</w:t>
      </w:r>
    </w:p>
    <w:p w:rsidR="00BE346F" w:rsidRPr="00BE346F" w:rsidRDefault="00BE346F" w:rsidP="00BE346F">
      <w:pPr>
        <w:rPr>
          <w:u w:val="single"/>
          <w:lang w:val="ru-RU"/>
        </w:rPr>
      </w:pPr>
      <w:r w:rsidRPr="00BE346F">
        <w:rPr>
          <w:lang w:val="ru-RU"/>
        </w:rPr>
        <w:t xml:space="preserve">Введенный с января 2003 года режим общих разрешений </w:t>
      </w:r>
      <w:proofErr w:type="gramStart"/>
      <w:r w:rsidRPr="00BE346F">
        <w:rPr>
          <w:lang w:val="ru-RU"/>
        </w:rPr>
        <w:t>принес положительные результаты</w:t>
      </w:r>
      <w:proofErr w:type="gramEnd"/>
      <w:r w:rsidRPr="00BE346F">
        <w:rPr>
          <w:lang w:val="ru-RU"/>
        </w:rPr>
        <w:t xml:space="preserve"> в отношении развития рынка. Регулирование тех сегментов, к которым система общих разрешений применяется еще не в полном масштабе, будет осуществляться в рамках этой системы в будущем, после завершения внесения соответствующих поправок в юридические акты. Поскольку, как показал пример сектора традиционных услуг электросвязи, регулирование по принципу технологической нейтральности способствует возникновению рыночных стимулов для инвестиций и развития перспективных технологий, пользователям будут предоставляться наилучшие </w:t>
      </w:r>
      <w:r w:rsidRPr="00BE346F">
        <w:rPr>
          <w:lang w:val="ru-RU"/>
        </w:rPr>
        <w:sym w:font="Symbol" w:char="F02D"/>
      </w:r>
      <w:r w:rsidRPr="00BE346F">
        <w:rPr>
          <w:lang w:val="ru-RU"/>
        </w:rPr>
        <w:t xml:space="preserve"> по цене и качеству </w:t>
      </w:r>
      <w:r w:rsidRPr="00BE346F">
        <w:rPr>
          <w:lang w:val="ru-RU"/>
        </w:rPr>
        <w:sym w:font="Symbol" w:char="F02D"/>
      </w:r>
      <w:r w:rsidRPr="00BE346F">
        <w:rPr>
          <w:lang w:val="ru-RU"/>
        </w:rPr>
        <w:t xml:space="preserve"> услуги. Это также будет способствовать более полному удовлетворению интересов пользователей и повышению общей экономической конкурентоспособности.</w:t>
      </w:r>
    </w:p>
    <w:p w:rsidR="00BE346F" w:rsidRPr="001616BD" w:rsidRDefault="00BE346F" w:rsidP="00531E61">
      <w:pPr>
        <w:pStyle w:val="Heading3"/>
        <w:rPr>
          <w:position w:val="6"/>
          <w:sz w:val="16"/>
          <w:szCs w:val="16"/>
          <w:vertAlign w:val="superscript"/>
          <w:lang w:val="ru-RU"/>
        </w:rPr>
      </w:pPr>
      <w:bookmarkStart w:id="55" w:name="_Toc262721860"/>
      <w:r w:rsidRPr="00BE346F">
        <w:rPr>
          <w:lang w:val="ru-RU"/>
        </w:rPr>
        <w:t>4.1.6</w:t>
      </w:r>
      <w:r w:rsidRPr="00BE346F">
        <w:rPr>
          <w:lang w:val="ru-RU"/>
        </w:rPr>
        <w:tab/>
        <w:t>Танзания</w:t>
      </w:r>
      <w:r w:rsidRPr="001616BD">
        <w:rPr>
          <w:position w:val="6"/>
          <w:sz w:val="16"/>
          <w:szCs w:val="16"/>
          <w:lang w:val="ru-RU"/>
        </w:rPr>
        <w:footnoteReference w:id="26"/>
      </w:r>
      <w:bookmarkEnd w:id="55"/>
    </w:p>
    <w:p w:rsidR="00BE346F" w:rsidRPr="00BE346F" w:rsidRDefault="00BE346F" w:rsidP="00BE346F">
      <w:pPr>
        <w:rPr>
          <w:lang w:val="ru-RU"/>
        </w:rPr>
      </w:pPr>
      <w:r w:rsidRPr="00BE346F">
        <w:rPr>
          <w:lang w:val="ru-RU"/>
        </w:rPr>
        <w:t>В феврале 2005 года</w:t>
      </w:r>
      <w:r w:rsidRPr="00BE346F">
        <w:rPr>
          <w:bCs/>
          <w:vertAlign w:val="superscript"/>
          <w:lang w:val="ru-RU"/>
        </w:rPr>
        <w:t xml:space="preserve"> </w:t>
      </w:r>
      <w:r w:rsidRPr="00BE346F">
        <w:rPr>
          <w:lang w:val="ru-RU"/>
        </w:rPr>
        <w:t>Регуляторный орган Танзании в области электросвязи (</w:t>
      </w:r>
      <w:proofErr w:type="spellStart"/>
      <w:r w:rsidRPr="00BE346F">
        <w:rPr>
          <w:lang w:val="ru-RU"/>
        </w:rPr>
        <w:t>TCRA</w:t>
      </w:r>
      <w:proofErr w:type="spellEnd"/>
      <w:r w:rsidRPr="00BE346F">
        <w:rPr>
          <w:lang w:val="ru-RU"/>
        </w:rPr>
        <w:t>) ввел в действие рамки лицензирования в условиях конвергенции (</w:t>
      </w:r>
      <w:proofErr w:type="spellStart"/>
      <w:r w:rsidRPr="00BE346F">
        <w:rPr>
          <w:lang w:val="ru-RU"/>
        </w:rPr>
        <w:t>CLF</w:t>
      </w:r>
      <w:proofErr w:type="spellEnd"/>
      <w:r w:rsidRPr="00BE346F">
        <w:rPr>
          <w:lang w:val="ru-RU"/>
        </w:rPr>
        <w:t xml:space="preserve">) по окончании периода исключительных прав, предоставленных оператору фиксированных линий, занимающему существенное положение в сети связи. Согласно нормативным положениям в области связи (лицензирование) (2005 г.) </w:t>
      </w:r>
      <w:proofErr w:type="spellStart"/>
      <w:r w:rsidRPr="00BE346F">
        <w:rPr>
          <w:lang w:val="ru-RU"/>
        </w:rPr>
        <w:t>CLF</w:t>
      </w:r>
      <w:proofErr w:type="spellEnd"/>
      <w:r w:rsidRPr="00BE346F">
        <w:rPr>
          <w:lang w:val="ru-RU"/>
        </w:rPr>
        <w:t xml:space="preserve"> вводят в действие принцип нейтральности в отношении технологий и услуг и направлены на обеспечение регуляторной гибкости, эффективного использования сетевых ресурсов и доступа на рынок для операторов малого масштаба.</w:t>
      </w:r>
    </w:p>
    <w:p w:rsidR="00BE346F" w:rsidRPr="00BE346F" w:rsidRDefault="00BE346F" w:rsidP="00BE346F">
      <w:pPr>
        <w:rPr>
          <w:lang w:val="ru-RU"/>
        </w:rPr>
      </w:pPr>
      <w:r w:rsidRPr="00BE346F">
        <w:rPr>
          <w:lang w:val="ru-RU"/>
        </w:rPr>
        <w:t xml:space="preserve">Как показано на схеме 2, ниже, в приложении к нормативным положениям предусматривается оказание услуг в четырех сегментах рынка </w:t>
      </w:r>
      <w:r w:rsidRPr="00BE346F">
        <w:rPr>
          <w:lang w:val="ru-RU"/>
        </w:rPr>
        <w:sym w:font="Symbol" w:char="F02D"/>
      </w:r>
      <w:r w:rsidRPr="00BE346F">
        <w:rPr>
          <w:lang w:val="ru-RU"/>
        </w:rPr>
        <w:t xml:space="preserve"> международном, национальном, региональном и окружном </w:t>
      </w:r>
      <w:r w:rsidRPr="00BE346F">
        <w:rPr>
          <w:lang w:val="ru-RU"/>
        </w:rPr>
        <w:sym w:font="Symbol" w:char="F02D"/>
      </w:r>
      <w:r w:rsidRPr="00BE346F">
        <w:rPr>
          <w:lang w:val="ru-RU"/>
        </w:rPr>
        <w:t xml:space="preserve"> по следующим четырем категориям лицензий: </w:t>
      </w:r>
    </w:p>
    <w:p w:rsidR="00BE346F" w:rsidRPr="00BE346F" w:rsidRDefault="00BE346F" w:rsidP="001616BD">
      <w:pPr>
        <w:pStyle w:val="enumlev1"/>
        <w:rPr>
          <w:lang w:val="ru-RU"/>
        </w:rPr>
      </w:pPr>
      <w:r w:rsidRPr="00BE346F">
        <w:rPr>
          <w:lang w:val="ru-RU"/>
        </w:rPr>
        <w:t>•</w:t>
      </w:r>
      <w:r w:rsidRPr="00BE346F">
        <w:rPr>
          <w:lang w:val="ru-RU"/>
        </w:rPr>
        <w:tab/>
        <w:t>лицензия на сетевые средства: уполномочивает держателей лицензий устанавливать средства электронной связи, такие как фиксированные линии, передатчики радиосвязи, спутниковые станции, подводные кабели, волоконно-оптические/медные кабели, мачты, коммутаторы и т. п., владеть ими, управлять их функционированием и обеспечивать к ним доступ;</w:t>
      </w:r>
    </w:p>
    <w:p w:rsidR="00BE346F" w:rsidRPr="00BE346F" w:rsidRDefault="00BE346F" w:rsidP="001616BD">
      <w:pPr>
        <w:pStyle w:val="enumlev1"/>
        <w:rPr>
          <w:lang w:val="ru-RU"/>
        </w:rPr>
      </w:pPr>
      <w:r w:rsidRPr="00BE346F">
        <w:rPr>
          <w:lang w:val="ru-RU"/>
        </w:rPr>
        <w:t>•</w:t>
      </w:r>
      <w:r w:rsidRPr="00BE346F">
        <w:rPr>
          <w:lang w:val="ru-RU"/>
        </w:rPr>
        <w:tab/>
        <w:t xml:space="preserve">лицензия на сетевые услуги: уполномочивает держателей лицензий эксплуатировать и поддерживать электронные сети связи общего пользования, используя для этого любые технологии, например </w:t>
      </w:r>
      <w:proofErr w:type="spellStart"/>
      <w:r w:rsidRPr="00BE346F">
        <w:rPr>
          <w:lang w:val="ru-RU"/>
        </w:rPr>
        <w:t>GSM</w:t>
      </w:r>
      <w:proofErr w:type="spellEnd"/>
      <w:r w:rsidRPr="00BE346F">
        <w:rPr>
          <w:lang w:val="ru-RU"/>
        </w:rPr>
        <w:t xml:space="preserve"> или </w:t>
      </w:r>
      <w:proofErr w:type="spellStart"/>
      <w:r w:rsidRPr="00BE346F">
        <w:rPr>
          <w:lang w:val="ru-RU"/>
        </w:rPr>
        <w:t>CDMA</w:t>
      </w:r>
      <w:proofErr w:type="spellEnd"/>
      <w:r w:rsidRPr="00BE346F">
        <w:rPr>
          <w:lang w:val="ru-RU"/>
        </w:rPr>
        <w:t xml:space="preserve"> (</w:t>
      </w:r>
      <w:proofErr w:type="spellStart"/>
      <w:r w:rsidRPr="00BE346F">
        <w:rPr>
          <w:lang w:val="ru-RU"/>
        </w:rPr>
        <w:t>многостанционный</w:t>
      </w:r>
      <w:proofErr w:type="spellEnd"/>
      <w:r w:rsidRPr="00BE346F">
        <w:rPr>
          <w:lang w:val="ru-RU"/>
        </w:rPr>
        <w:t xml:space="preserve"> доступ с кодовым разделением);</w:t>
      </w:r>
    </w:p>
    <w:p w:rsidR="00BE346F" w:rsidRPr="00BE346F" w:rsidRDefault="00BE346F" w:rsidP="001616BD">
      <w:pPr>
        <w:pStyle w:val="enumlev1"/>
        <w:rPr>
          <w:lang w:val="ru-RU"/>
        </w:rPr>
      </w:pPr>
      <w:r w:rsidRPr="00BE346F">
        <w:rPr>
          <w:lang w:val="ru-RU"/>
        </w:rPr>
        <w:t>•</w:t>
      </w:r>
      <w:r w:rsidRPr="00BE346F">
        <w:rPr>
          <w:lang w:val="ru-RU"/>
        </w:rPr>
        <w:tab/>
        <w:t>лицензия на прикладные услуги: уполномочивает держателей лицензий предоставлять услуги электронной связи конечным пользователям с помощью частных технических средств или перепродажи услуг от имеющих лицензию поставщиков услуг технических средств/услуг; и</w:t>
      </w:r>
    </w:p>
    <w:p w:rsidR="00BE346F" w:rsidRPr="00BE346F" w:rsidRDefault="00BE346F" w:rsidP="001616BD">
      <w:pPr>
        <w:pStyle w:val="enumlev1"/>
        <w:rPr>
          <w:lang w:val="ru-RU"/>
        </w:rPr>
      </w:pPr>
      <w:r w:rsidRPr="00BE346F">
        <w:rPr>
          <w:lang w:val="ru-RU"/>
        </w:rPr>
        <w:t>•</w:t>
      </w:r>
      <w:r w:rsidRPr="00BE346F">
        <w:rPr>
          <w:lang w:val="ru-RU"/>
        </w:rPr>
        <w:tab/>
        <w:t>лицензия на услуги контента: уполномочивает держателей лицензий предоставлять услуги контента для радиовещания.</w:t>
      </w:r>
    </w:p>
    <w:p w:rsidR="00BE346F" w:rsidRPr="00BE346F" w:rsidRDefault="00BE346F" w:rsidP="00BE346F">
      <w:pPr>
        <w:rPr>
          <w:lang w:val="ru-RU"/>
        </w:rPr>
      </w:pPr>
      <w:r w:rsidRPr="00BE346F">
        <w:rPr>
          <w:lang w:val="ru-RU"/>
        </w:rPr>
        <w:t xml:space="preserve">В период с декабря 2005 года по июнь 2008 года </w:t>
      </w:r>
      <w:proofErr w:type="spellStart"/>
      <w:r w:rsidRPr="00BE346F">
        <w:rPr>
          <w:lang w:val="ru-RU"/>
        </w:rPr>
        <w:t>TCRA</w:t>
      </w:r>
      <w:proofErr w:type="spellEnd"/>
      <w:r w:rsidRPr="00BE346F">
        <w:rPr>
          <w:lang w:val="ru-RU"/>
        </w:rPr>
        <w:t xml:space="preserve"> выдал свыше 150 лицензий согласно </w:t>
      </w:r>
      <w:proofErr w:type="spellStart"/>
      <w:r w:rsidRPr="00BE346F">
        <w:rPr>
          <w:lang w:val="ru-RU"/>
        </w:rPr>
        <w:t>CLF</w:t>
      </w:r>
      <w:proofErr w:type="spellEnd"/>
      <w:r w:rsidRPr="00BE346F">
        <w:rPr>
          <w:lang w:val="ru-RU"/>
        </w:rPr>
        <w:t xml:space="preserve">, которые охватывают как ранее действовавших держателей лицензий (перешедших в </w:t>
      </w:r>
      <w:proofErr w:type="spellStart"/>
      <w:r w:rsidRPr="00BE346F">
        <w:rPr>
          <w:lang w:val="ru-RU"/>
        </w:rPr>
        <w:t>CLF</w:t>
      </w:r>
      <w:proofErr w:type="spellEnd"/>
      <w:r w:rsidRPr="00BE346F">
        <w:rPr>
          <w:lang w:val="ru-RU"/>
        </w:rPr>
        <w:t>), так и новых участников рынка, решивших осуществлять деятельность в секторе связи.</w:t>
      </w:r>
    </w:p>
    <w:p w:rsidR="00BE346F" w:rsidRPr="00BE346F" w:rsidRDefault="00BE346F" w:rsidP="00BE346F">
      <w:pPr>
        <w:rPr>
          <w:lang w:val="ru-RU"/>
        </w:rPr>
      </w:pPr>
      <w:r w:rsidRPr="00BE346F">
        <w:rPr>
          <w:lang w:val="ru-RU"/>
        </w:rPr>
        <w:t xml:space="preserve">Наряду с увеличением числа операторов возросла и численность абонентов </w:t>
      </w:r>
      <w:r w:rsidRPr="00BE346F">
        <w:rPr>
          <w:lang w:val="ru-RU"/>
        </w:rPr>
        <w:sym w:font="Symbol" w:char="F02D"/>
      </w:r>
      <w:r w:rsidRPr="00BE346F">
        <w:rPr>
          <w:lang w:val="ru-RU"/>
        </w:rPr>
        <w:t xml:space="preserve"> с 3 118 157 в 2005 году до 9 523 392 в марте 2008 года, что </w:t>
      </w:r>
      <w:proofErr w:type="spellStart"/>
      <w:r w:rsidRPr="00BE346F">
        <w:rPr>
          <w:lang w:val="ru-RU"/>
        </w:rPr>
        <w:t>TCRA</w:t>
      </w:r>
      <w:proofErr w:type="spellEnd"/>
      <w:r w:rsidRPr="00BE346F">
        <w:rPr>
          <w:lang w:val="ru-RU"/>
        </w:rPr>
        <w:t xml:space="preserve"> объясняет увеличением числа держателей лицензий.</w:t>
      </w:r>
    </w:p>
    <w:p w:rsidR="00BE346F" w:rsidRPr="00BE346F" w:rsidRDefault="00BE346F" w:rsidP="00BE346F">
      <w:pPr>
        <w:rPr>
          <w:lang w:val="ru-RU"/>
        </w:rPr>
      </w:pPr>
      <w:r w:rsidRPr="00BE346F">
        <w:rPr>
          <w:lang w:val="ru-RU"/>
        </w:rPr>
        <w:t xml:space="preserve">Из опыта применения Танзанией </w:t>
      </w:r>
      <w:proofErr w:type="spellStart"/>
      <w:r w:rsidRPr="00BE346F">
        <w:rPr>
          <w:lang w:val="ru-RU"/>
        </w:rPr>
        <w:t>CLF</w:t>
      </w:r>
      <w:proofErr w:type="spellEnd"/>
      <w:r w:rsidRPr="00BE346F">
        <w:rPr>
          <w:lang w:val="ru-RU"/>
        </w:rPr>
        <w:t xml:space="preserve"> можно извлечь ряд уроков, которые будут полезны для стран, которые предполагают ввести процедуры лицензирования </w:t>
      </w:r>
      <w:proofErr w:type="spellStart"/>
      <w:r w:rsidRPr="00BE346F">
        <w:rPr>
          <w:lang w:val="ru-RU"/>
        </w:rPr>
        <w:t>конвергирующих</w:t>
      </w:r>
      <w:proofErr w:type="spellEnd"/>
      <w:r w:rsidRPr="00BE346F">
        <w:rPr>
          <w:lang w:val="ru-RU"/>
        </w:rPr>
        <w:t xml:space="preserve"> услуг.</w:t>
      </w:r>
    </w:p>
    <w:p w:rsidR="00BE346F" w:rsidRPr="00BE346F" w:rsidRDefault="00BE346F" w:rsidP="001616BD">
      <w:pPr>
        <w:pStyle w:val="enumlev1"/>
        <w:rPr>
          <w:lang w:val="ru-RU"/>
        </w:rPr>
      </w:pPr>
      <w:r w:rsidRPr="00BE346F">
        <w:rPr>
          <w:iCs/>
          <w:lang w:val="ru-RU"/>
        </w:rPr>
        <w:t>•</w:t>
      </w:r>
      <w:r w:rsidRPr="00BE346F">
        <w:rPr>
          <w:iCs/>
          <w:lang w:val="ru-RU"/>
        </w:rPr>
        <w:tab/>
        <w:t>Гибкость:</w:t>
      </w:r>
      <w:r w:rsidRPr="00BE346F">
        <w:rPr>
          <w:lang w:val="ru-RU"/>
        </w:rPr>
        <w:t xml:space="preserve"> </w:t>
      </w:r>
      <w:proofErr w:type="spellStart"/>
      <w:r w:rsidRPr="00BE346F">
        <w:rPr>
          <w:lang w:val="ru-RU"/>
        </w:rPr>
        <w:t>TCRA</w:t>
      </w:r>
      <w:proofErr w:type="spellEnd"/>
      <w:r w:rsidRPr="00BE346F">
        <w:rPr>
          <w:lang w:val="ru-RU"/>
        </w:rPr>
        <w:t xml:space="preserve"> привлек заинтересованные стороны, в первую очередь операторов, к диалогу и установил гибкие временные рамки для внедрения </w:t>
      </w:r>
      <w:proofErr w:type="spellStart"/>
      <w:r w:rsidRPr="00BE346F">
        <w:rPr>
          <w:lang w:val="ru-RU"/>
        </w:rPr>
        <w:t>CLF</w:t>
      </w:r>
      <w:proofErr w:type="spellEnd"/>
      <w:r w:rsidRPr="00BE346F">
        <w:rPr>
          <w:lang w:val="ru-RU"/>
        </w:rPr>
        <w:t xml:space="preserve">. Хотя первоначально </w:t>
      </w:r>
      <w:r w:rsidRPr="00BE346F">
        <w:rPr>
          <w:lang w:val="ru-RU"/>
        </w:rPr>
        <w:lastRenderedPageBreak/>
        <w:t xml:space="preserve">период, в течение которого действующие операторы связи имели возможность перейти в </w:t>
      </w:r>
      <w:proofErr w:type="spellStart"/>
      <w:r w:rsidRPr="00BE346F">
        <w:rPr>
          <w:lang w:val="ru-RU"/>
        </w:rPr>
        <w:t>CLF</w:t>
      </w:r>
      <w:proofErr w:type="spellEnd"/>
      <w:r w:rsidRPr="00BE346F">
        <w:rPr>
          <w:lang w:val="ru-RU"/>
        </w:rPr>
        <w:t xml:space="preserve">, составлял 12 месяцев, </w:t>
      </w:r>
      <w:proofErr w:type="spellStart"/>
      <w:r w:rsidRPr="00BE346F">
        <w:rPr>
          <w:lang w:val="ru-RU"/>
        </w:rPr>
        <w:t>TCRA</w:t>
      </w:r>
      <w:proofErr w:type="spellEnd"/>
      <w:r w:rsidRPr="00BE346F">
        <w:rPr>
          <w:lang w:val="ru-RU"/>
        </w:rPr>
        <w:t xml:space="preserve"> продлил его еще на шесть месяцев ввиду отсутствия у операторов ясности относительно того, лицензию какой категории им следует получить. </w:t>
      </w:r>
      <w:proofErr w:type="spellStart"/>
      <w:r w:rsidRPr="00BE346F">
        <w:rPr>
          <w:lang w:val="ru-RU"/>
        </w:rPr>
        <w:t>TCRA</w:t>
      </w:r>
      <w:proofErr w:type="spellEnd"/>
      <w:r w:rsidRPr="00BE346F">
        <w:rPr>
          <w:lang w:val="ru-RU"/>
        </w:rPr>
        <w:t xml:space="preserve"> провел ряд совещаний с операторами, с </w:t>
      </w:r>
      <w:proofErr w:type="gramStart"/>
      <w:r w:rsidRPr="00BE346F">
        <w:rPr>
          <w:lang w:val="ru-RU"/>
        </w:rPr>
        <w:t>тем</w:t>
      </w:r>
      <w:proofErr w:type="gramEnd"/>
      <w:r w:rsidRPr="00BE346F">
        <w:rPr>
          <w:lang w:val="ru-RU"/>
        </w:rPr>
        <w:t xml:space="preserve"> чтобы проинформировать их относительно </w:t>
      </w:r>
      <w:proofErr w:type="spellStart"/>
      <w:r w:rsidRPr="00BE346F">
        <w:rPr>
          <w:lang w:val="ru-RU"/>
        </w:rPr>
        <w:t>CLF</w:t>
      </w:r>
      <w:proofErr w:type="spellEnd"/>
      <w:r w:rsidRPr="00BE346F">
        <w:rPr>
          <w:lang w:val="ru-RU"/>
        </w:rPr>
        <w:t xml:space="preserve"> и разъяснить их преимущества. Наряду с этим держатели лицензий должны в качестве приложения к лицензии предоставлять планы развертывания, и одно из условий лицензий предусматривает ежегодное обновление этих планов, тем самым давая держателям лицензий возможность обновлять планы развертывания для учета новых технологий и услуг.</w:t>
      </w:r>
    </w:p>
    <w:p w:rsidR="00BE346F" w:rsidRPr="00BE346F" w:rsidRDefault="00BE346F" w:rsidP="001616BD">
      <w:pPr>
        <w:pStyle w:val="enumlev1"/>
        <w:rPr>
          <w:lang w:val="ru-RU"/>
        </w:rPr>
      </w:pPr>
      <w:r w:rsidRPr="00BE346F">
        <w:rPr>
          <w:iCs/>
          <w:lang w:val="ru-RU"/>
        </w:rPr>
        <w:t>•</w:t>
      </w:r>
      <w:r w:rsidRPr="00BE346F">
        <w:rPr>
          <w:iCs/>
          <w:lang w:val="ru-RU"/>
        </w:rPr>
        <w:tab/>
        <w:t>Стимулы регуляторного характера:</w:t>
      </w:r>
      <w:r w:rsidRPr="00BE346F">
        <w:rPr>
          <w:lang w:val="ru-RU"/>
        </w:rPr>
        <w:t xml:space="preserve"> переходящим в </w:t>
      </w:r>
      <w:proofErr w:type="spellStart"/>
      <w:r w:rsidRPr="00BE346F">
        <w:rPr>
          <w:lang w:val="ru-RU"/>
        </w:rPr>
        <w:t>CLF</w:t>
      </w:r>
      <w:proofErr w:type="spellEnd"/>
      <w:r w:rsidRPr="00BE346F">
        <w:rPr>
          <w:lang w:val="ru-RU"/>
        </w:rPr>
        <w:t xml:space="preserve"> операторам обеспечиваются стимулы – они освобождаются от сборов за подачу заявки и первоначальных лицензионных сборов и им предлагается продление действия лицензии – срок действия новой лицензии начинается </w:t>
      </w:r>
      <w:proofErr w:type="gramStart"/>
      <w:r w:rsidRPr="00BE346F">
        <w:rPr>
          <w:lang w:val="ru-RU"/>
        </w:rPr>
        <w:t>с даты выдачи</w:t>
      </w:r>
      <w:proofErr w:type="gramEnd"/>
      <w:r w:rsidRPr="00BE346F">
        <w:rPr>
          <w:lang w:val="ru-RU"/>
        </w:rPr>
        <w:t xml:space="preserve"> лицензии, вне зависимости от остающегося срока действия имеющихся у них лицензий.</w:t>
      </w:r>
    </w:p>
    <w:p w:rsidR="00BE346F" w:rsidRPr="00BE346F" w:rsidRDefault="00BE346F" w:rsidP="001616BD">
      <w:pPr>
        <w:pStyle w:val="enumlev1"/>
        <w:rPr>
          <w:lang w:val="ru-RU"/>
        </w:rPr>
      </w:pPr>
      <w:r w:rsidRPr="00BE346F">
        <w:rPr>
          <w:iCs/>
          <w:lang w:val="ru-RU"/>
        </w:rPr>
        <w:t>•</w:t>
      </w:r>
      <w:r w:rsidRPr="00BE346F">
        <w:rPr>
          <w:iCs/>
          <w:lang w:val="ru-RU"/>
        </w:rPr>
        <w:tab/>
        <w:t>Низкие темпы развертывания конвергентных сетей:</w:t>
      </w:r>
      <w:r w:rsidRPr="00BE346F">
        <w:rPr>
          <w:lang w:val="ru-RU"/>
        </w:rPr>
        <w:t xml:space="preserve"> хотя </w:t>
      </w:r>
      <w:proofErr w:type="spellStart"/>
      <w:r w:rsidRPr="00BE346F">
        <w:rPr>
          <w:lang w:val="ru-RU"/>
        </w:rPr>
        <w:t>CLF</w:t>
      </w:r>
      <w:proofErr w:type="spellEnd"/>
      <w:r w:rsidRPr="00BE346F">
        <w:rPr>
          <w:lang w:val="ru-RU"/>
        </w:rPr>
        <w:t xml:space="preserve"> были введены в действие более четырех лет назад, развертывание конвергентных сетей, в первую очередь СПП, происходит медленно. Одна из возможных причин этого – отсутствие понимания </w:t>
      </w:r>
      <w:proofErr w:type="spellStart"/>
      <w:r w:rsidRPr="00BE346F">
        <w:rPr>
          <w:lang w:val="ru-RU"/>
        </w:rPr>
        <w:t>CLF</w:t>
      </w:r>
      <w:proofErr w:type="spellEnd"/>
      <w:r w:rsidRPr="00BE346F">
        <w:rPr>
          <w:lang w:val="ru-RU"/>
        </w:rPr>
        <w:t>, как пути перехода к СПП.</w:t>
      </w:r>
    </w:p>
    <w:p w:rsidR="002266DA" w:rsidRPr="00D5490C" w:rsidRDefault="00BE346F" w:rsidP="00BE346F">
      <w:pPr>
        <w:spacing w:after="120"/>
        <w:rPr>
          <w:sz w:val="8"/>
          <w:szCs w:val="8"/>
          <w:lang w:val="en-US"/>
        </w:rPr>
      </w:pPr>
      <w:r w:rsidRPr="00BE346F">
        <w:rPr>
          <w:bCs/>
          <w:lang w:val="ru-RU"/>
        </w:rPr>
        <w:t xml:space="preserve">В ходе применения </w:t>
      </w:r>
      <w:proofErr w:type="spellStart"/>
      <w:r w:rsidRPr="00BE346F">
        <w:rPr>
          <w:bCs/>
          <w:lang w:val="ru-RU"/>
        </w:rPr>
        <w:t>CLF</w:t>
      </w:r>
      <w:proofErr w:type="spellEnd"/>
      <w:r w:rsidRPr="00BE346F">
        <w:rPr>
          <w:bCs/>
          <w:lang w:val="ru-RU"/>
        </w:rPr>
        <w:t xml:space="preserve"> также возникает ряд трудностей. Наиболее остро стоит проблема обеспечения доступных цен на товары и услуги в области связи для удовлетворения ожиданий потребителей. Еще одна проблема для </w:t>
      </w:r>
      <w:proofErr w:type="spellStart"/>
      <w:r w:rsidRPr="00BE346F">
        <w:rPr>
          <w:bCs/>
          <w:lang w:val="ru-RU"/>
        </w:rPr>
        <w:t>TCRA</w:t>
      </w:r>
      <w:proofErr w:type="spellEnd"/>
      <w:r w:rsidRPr="00BE346F">
        <w:rPr>
          <w:bCs/>
          <w:lang w:val="ru-RU"/>
        </w:rPr>
        <w:t xml:space="preserve"> заключается в поддержании четкой, комплексной и прозрачной основы лицензирования. И наконец, после внедрения конкуренции и </w:t>
      </w:r>
      <w:proofErr w:type="spellStart"/>
      <w:r w:rsidRPr="00BE346F">
        <w:rPr>
          <w:bCs/>
          <w:lang w:val="ru-RU"/>
        </w:rPr>
        <w:t>CLF</w:t>
      </w:r>
      <w:proofErr w:type="spellEnd"/>
      <w:r w:rsidRPr="00BE346F">
        <w:rPr>
          <w:bCs/>
          <w:lang w:val="ru-RU"/>
        </w:rPr>
        <w:t xml:space="preserve"> </w:t>
      </w:r>
      <w:proofErr w:type="spellStart"/>
      <w:r w:rsidRPr="00BE346F">
        <w:rPr>
          <w:bCs/>
          <w:lang w:val="ru-RU"/>
        </w:rPr>
        <w:t>бóльшую</w:t>
      </w:r>
      <w:proofErr w:type="spellEnd"/>
      <w:r w:rsidRPr="00BE346F">
        <w:rPr>
          <w:bCs/>
          <w:lang w:val="ru-RU"/>
        </w:rPr>
        <w:t xml:space="preserve"> важность приобретает обеспечение того, чтобы ресурсы спектра распределялись претендентам, имеющим проработанные бизнес-планы и технические планы, а также обладающим финансовым и техническим потенциалом для оказания услуг связи.</w:t>
      </w:r>
    </w:p>
    <w:p w:rsidR="002266DA" w:rsidRPr="00470146" w:rsidRDefault="00470146" w:rsidP="00470146">
      <w:pPr>
        <w:pStyle w:val="FigureTitle"/>
        <w:rPr>
          <w:rFonts w:asciiTheme="majorBidi" w:hAnsiTheme="majorBidi" w:cstheme="majorBidi"/>
          <w:lang w:val="ru-RU"/>
        </w:rPr>
      </w:pPr>
      <w:r>
        <w:rPr>
          <w:rFonts w:asciiTheme="majorBidi" w:hAnsiTheme="majorBidi" w:cstheme="majorBidi"/>
          <w:lang w:val="ru-RU"/>
        </w:rPr>
        <w:t>Схема</w:t>
      </w:r>
      <w:r w:rsidR="002266DA" w:rsidRPr="00EF6D54">
        <w:rPr>
          <w:rFonts w:asciiTheme="majorBidi" w:hAnsiTheme="majorBidi" w:cstheme="majorBidi"/>
        </w:rPr>
        <w:t xml:space="preserve"> 2</w:t>
      </w:r>
      <w:r w:rsidR="002266DA" w:rsidRPr="00470146">
        <w:rPr>
          <w:rFonts w:asciiTheme="majorBidi" w:hAnsiTheme="majorBidi" w:cstheme="majorBidi"/>
          <w:lang w:val="ru-RU"/>
        </w:rPr>
        <w:t xml:space="preserve">: </w:t>
      </w:r>
      <w:proofErr w:type="spellStart"/>
      <w:proofErr w:type="gramStart"/>
      <w:r w:rsidRPr="00470146">
        <w:rPr>
          <w:rFonts w:asciiTheme="majorBidi" w:hAnsiTheme="majorBidi" w:cstheme="majorBidi"/>
          <w:bCs/>
        </w:rPr>
        <w:t>Число</w:t>
      </w:r>
      <w:proofErr w:type="spellEnd"/>
      <w:r w:rsidRPr="00470146">
        <w:rPr>
          <w:rFonts w:asciiTheme="majorBidi" w:hAnsiTheme="majorBidi" w:cstheme="majorBidi"/>
          <w:bCs/>
        </w:rPr>
        <w:t xml:space="preserve"> </w:t>
      </w:r>
      <w:proofErr w:type="spellStart"/>
      <w:r w:rsidRPr="00470146">
        <w:rPr>
          <w:rFonts w:asciiTheme="majorBidi" w:hAnsiTheme="majorBidi" w:cstheme="majorBidi"/>
          <w:bCs/>
        </w:rPr>
        <w:t>лицензированных</w:t>
      </w:r>
      <w:proofErr w:type="spellEnd"/>
      <w:r w:rsidRPr="00470146">
        <w:rPr>
          <w:rFonts w:asciiTheme="majorBidi" w:hAnsiTheme="majorBidi" w:cstheme="majorBidi"/>
          <w:bCs/>
        </w:rPr>
        <w:t xml:space="preserve"> </w:t>
      </w:r>
      <w:proofErr w:type="spellStart"/>
      <w:r w:rsidRPr="00470146">
        <w:rPr>
          <w:rFonts w:asciiTheme="majorBidi" w:hAnsiTheme="majorBidi" w:cstheme="majorBidi"/>
          <w:bCs/>
        </w:rPr>
        <w:t>операторов</w:t>
      </w:r>
      <w:proofErr w:type="spellEnd"/>
      <w:r w:rsidRPr="00470146">
        <w:rPr>
          <w:rFonts w:asciiTheme="majorBidi" w:hAnsiTheme="majorBidi" w:cstheme="majorBidi"/>
          <w:bCs/>
        </w:rPr>
        <w:t xml:space="preserve"> в </w:t>
      </w:r>
      <w:proofErr w:type="spellStart"/>
      <w:r w:rsidRPr="00470146">
        <w:rPr>
          <w:rFonts w:asciiTheme="majorBidi" w:hAnsiTheme="majorBidi" w:cstheme="majorBidi"/>
          <w:bCs/>
        </w:rPr>
        <w:t>рамках</w:t>
      </w:r>
      <w:proofErr w:type="spellEnd"/>
      <w:r w:rsidRPr="00470146">
        <w:rPr>
          <w:rFonts w:asciiTheme="majorBidi" w:hAnsiTheme="majorBidi" w:cstheme="majorBidi"/>
          <w:bCs/>
        </w:rPr>
        <w:t xml:space="preserve"> </w:t>
      </w:r>
      <w:proofErr w:type="spellStart"/>
      <w:r w:rsidRPr="00470146">
        <w:rPr>
          <w:rFonts w:asciiTheme="majorBidi" w:hAnsiTheme="majorBidi" w:cstheme="majorBidi"/>
          <w:bCs/>
        </w:rPr>
        <w:t>CLF</w:t>
      </w:r>
      <w:proofErr w:type="spellEnd"/>
      <w:r w:rsidRPr="00470146">
        <w:rPr>
          <w:rFonts w:asciiTheme="majorBidi" w:hAnsiTheme="majorBidi" w:cstheme="majorBidi"/>
          <w:bCs/>
        </w:rPr>
        <w:t xml:space="preserve"> </w:t>
      </w:r>
      <w:proofErr w:type="spellStart"/>
      <w:r w:rsidRPr="00470146">
        <w:rPr>
          <w:rFonts w:asciiTheme="majorBidi" w:hAnsiTheme="majorBidi" w:cstheme="majorBidi"/>
          <w:bCs/>
        </w:rPr>
        <w:t>Танзании</w:t>
      </w:r>
      <w:proofErr w:type="spellEnd"/>
      <w:r w:rsidRPr="00470146">
        <w:rPr>
          <w:rFonts w:asciiTheme="majorBidi" w:hAnsiTheme="majorBidi" w:cstheme="majorBidi"/>
          <w:bCs/>
        </w:rPr>
        <w:t xml:space="preserve"> (30 </w:t>
      </w:r>
      <w:proofErr w:type="spellStart"/>
      <w:r w:rsidRPr="00470146">
        <w:rPr>
          <w:rFonts w:asciiTheme="majorBidi" w:hAnsiTheme="majorBidi" w:cstheme="majorBidi"/>
          <w:bCs/>
        </w:rPr>
        <w:t>июня</w:t>
      </w:r>
      <w:proofErr w:type="spellEnd"/>
      <w:r w:rsidRPr="00470146">
        <w:rPr>
          <w:rFonts w:asciiTheme="majorBidi" w:hAnsiTheme="majorBidi" w:cstheme="majorBidi"/>
          <w:bCs/>
        </w:rPr>
        <w:t xml:space="preserve"> 2008 г.)</w:t>
      </w:r>
      <w:proofErr w:type="gramEnd"/>
      <w:r w:rsidRPr="00470146">
        <w:rPr>
          <w:rFonts w:asciiTheme="majorBidi" w:hAnsiTheme="majorBidi" w:cstheme="majorBidi"/>
          <w:b w:val="0"/>
          <w:bCs/>
          <w:position w:val="6"/>
          <w:sz w:val="16"/>
          <w:szCs w:val="16"/>
        </w:rPr>
        <w:footnoteReference w:id="27"/>
      </w:r>
    </w:p>
    <w:p w:rsidR="002266DA" w:rsidRPr="00DF54ED" w:rsidRDefault="002266DA" w:rsidP="002266DA">
      <w:pPr>
        <w:rPr>
          <w:sz w:val="8"/>
          <w:szCs w:val="8"/>
        </w:rPr>
      </w:pPr>
    </w:p>
    <w:tbl>
      <w:tblPr>
        <w:tblStyle w:val="TableGrid"/>
        <w:tblW w:w="0" w:type="auto"/>
        <w:jc w:val="center"/>
        <w:tblLook w:val="04A0"/>
      </w:tblPr>
      <w:tblGrid>
        <w:gridCol w:w="392"/>
        <w:gridCol w:w="1984"/>
        <w:gridCol w:w="3402"/>
        <w:gridCol w:w="2857"/>
      </w:tblGrid>
      <w:tr w:rsidR="00470146" w:rsidRPr="00470146" w:rsidTr="00470146">
        <w:trPr>
          <w:trHeight w:val="137"/>
          <w:jc w:val="center"/>
        </w:trPr>
        <w:tc>
          <w:tcPr>
            <w:tcW w:w="392" w:type="dxa"/>
          </w:tcPr>
          <w:p w:rsidR="00470146" w:rsidRPr="00470146" w:rsidRDefault="00470146" w:rsidP="00D77986">
            <w:pPr>
              <w:pStyle w:val="CEONormal"/>
              <w:spacing w:before="40" w:after="40" w:line="200" w:lineRule="exact"/>
              <w:jc w:val="center"/>
              <w:rPr>
                <w:rStyle w:val="FootnoteReference"/>
                <w:rFonts w:asciiTheme="majorBidi" w:hAnsiTheme="majorBidi" w:cstheme="majorBidi"/>
                <w:b/>
                <w:bCs/>
                <w:sz w:val="20"/>
                <w:szCs w:val="20"/>
                <w:lang w:val="ru-RU"/>
              </w:rPr>
            </w:pPr>
          </w:p>
        </w:tc>
        <w:tc>
          <w:tcPr>
            <w:tcW w:w="1984" w:type="dxa"/>
            <w:vAlign w:val="center"/>
          </w:tcPr>
          <w:p w:rsidR="00470146" w:rsidRPr="00470146" w:rsidRDefault="00470146" w:rsidP="00D77986">
            <w:pPr>
              <w:pStyle w:val="CEONormal"/>
              <w:spacing w:before="40" w:after="40" w:line="200" w:lineRule="exact"/>
              <w:jc w:val="center"/>
              <w:rPr>
                <w:rStyle w:val="FootnoteReference"/>
                <w:rFonts w:asciiTheme="majorBidi" w:hAnsiTheme="majorBidi" w:cstheme="majorBidi"/>
                <w:b/>
                <w:bCs/>
                <w:sz w:val="20"/>
                <w:szCs w:val="20"/>
                <w:lang w:val="ru-RU"/>
              </w:rPr>
            </w:pPr>
            <w:r w:rsidRPr="00470146">
              <w:rPr>
                <w:rFonts w:asciiTheme="majorBidi" w:hAnsiTheme="majorBidi" w:cstheme="majorBidi"/>
                <w:b/>
                <w:bCs/>
                <w:sz w:val="20"/>
                <w:szCs w:val="20"/>
                <w:lang w:val="ru-RU"/>
              </w:rPr>
              <w:t>Тип лицензии</w:t>
            </w:r>
          </w:p>
        </w:tc>
        <w:tc>
          <w:tcPr>
            <w:tcW w:w="3402" w:type="dxa"/>
            <w:vAlign w:val="center"/>
          </w:tcPr>
          <w:p w:rsidR="00470146" w:rsidRPr="00470146" w:rsidRDefault="00470146" w:rsidP="00D77986">
            <w:pPr>
              <w:pStyle w:val="CEONormal"/>
              <w:spacing w:before="40" w:after="40" w:line="200" w:lineRule="exact"/>
              <w:jc w:val="center"/>
              <w:rPr>
                <w:rStyle w:val="FootnoteReference"/>
                <w:rFonts w:asciiTheme="majorBidi" w:hAnsiTheme="majorBidi" w:cstheme="majorBidi"/>
                <w:b/>
                <w:bCs/>
                <w:sz w:val="20"/>
                <w:szCs w:val="20"/>
                <w:lang w:val="ru-RU"/>
              </w:rPr>
            </w:pPr>
            <w:r w:rsidRPr="00470146">
              <w:rPr>
                <w:rFonts w:asciiTheme="majorBidi" w:hAnsiTheme="majorBidi" w:cstheme="majorBidi"/>
                <w:b/>
                <w:bCs/>
                <w:sz w:val="20"/>
                <w:szCs w:val="20"/>
                <w:lang w:val="ru-RU"/>
              </w:rPr>
              <w:t>Сегмент рынка</w:t>
            </w:r>
          </w:p>
        </w:tc>
        <w:tc>
          <w:tcPr>
            <w:tcW w:w="2857" w:type="dxa"/>
            <w:vAlign w:val="center"/>
          </w:tcPr>
          <w:p w:rsidR="00470146" w:rsidRPr="00470146" w:rsidRDefault="00470146" w:rsidP="00D77986">
            <w:pPr>
              <w:pStyle w:val="CEONormal"/>
              <w:spacing w:before="40" w:after="40" w:line="200" w:lineRule="exact"/>
              <w:jc w:val="center"/>
              <w:rPr>
                <w:rStyle w:val="FootnoteReference"/>
                <w:rFonts w:asciiTheme="majorBidi" w:hAnsiTheme="majorBidi" w:cstheme="majorBidi"/>
                <w:b/>
                <w:bCs/>
                <w:sz w:val="20"/>
                <w:szCs w:val="20"/>
                <w:lang w:val="ru-RU"/>
              </w:rPr>
            </w:pPr>
            <w:r w:rsidRPr="00470146">
              <w:rPr>
                <w:rFonts w:asciiTheme="majorBidi" w:hAnsiTheme="majorBidi" w:cstheme="majorBidi"/>
                <w:b/>
                <w:bCs/>
                <w:sz w:val="20"/>
                <w:szCs w:val="20"/>
                <w:lang w:val="ru-RU"/>
              </w:rPr>
              <w:t>Число выданных лицензий</w:t>
            </w:r>
          </w:p>
        </w:tc>
      </w:tr>
      <w:tr w:rsidR="00470146" w:rsidRPr="00470146" w:rsidTr="00470146">
        <w:trPr>
          <w:jc w:val="center"/>
        </w:trPr>
        <w:tc>
          <w:tcPr>
            <w:tcW w:w="392" w:type="dxa"/>
            <w:vMerge w:val="restart"/>
          </w:tcPr>
          <w:p w:rsidR="00470146" w:rsidRPr="00470146" w:rsidRDefault="00470146" w:rsidP="00D77986">
            <w:pPr>
              <w:pStyle w:val="CEONormal"/>
              <w:spacing w:before="40" w:after="40" w:line="200" w:lineRule="exact"/>
              <w:rPr>
                <w:rStyle w:val="FootnoteReference"/>
                <w:rFonts w:asciiTheme="majorBidi" w:hAnsiTheme="majorBidi" w:cstheme="majorBidi"/>
                <w:sz w:val="20"/>
                <w:szCs w:val="20"/>
                <w:lang w:val="ru-RU"/>
              </w:rPr>
            </w:pPr>
            <w:r w:rsidRPr="00470146">
              <w:rPr>
                <w:rFonts w:asciiTheme="majorBidi" w:hAnsiTheme="majorBidi" w:cstheme="majorBidi"/>
                <w:sz w:val="20"/>
                <w:szCs w:val="20"/>
                <w:lang w:val="ru-RU"/>
              </w:rPr>
              <w:t>1</w:t>
            </w:r>
          </w:p>
        </w:tc>
        <w:tc>
          <w:tcPr>
            <w:tcW w:w="1984" w:type="dxa"/>
            <w:vMerge w:val="restart"/>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Сетевые средства</w:t>
            </w: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Международный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4</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 xml:space="preserve">Национальный </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8</w:t>
            </w:r>
          </w:p>
        </w:tc>
      </w:tr>
      <w:tr w:rsidR="00470146" w:rsidRPr="00470146" w:rsidTr="00470146">
        <w:trPr>
          <w:jc w:val="center"/>
        </w:trPr>
        <w:tc>
          <w:tcPr>
            <w:tcW w:w="392" w:type="dxa"/>
            <w:vMerge w:val="restart"/>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2</w:t>
            </w:r>
          </w:p>
        </w:tc>
        <w:tc>
          <w:tcPr>
            <w:tcW w:w="1984" w:type="dxa"/>
            <w:vMerge w:val="restart"/>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Сетевые услуги</w:t>
            </w: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Международный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4</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Национальный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8</w:t>
            </w:r>
          </w:p>
        </w:tc>
      </w:tr>
      <w:tr w:rsidR="00470146" w:rsidRPr="00470146" w:rsidTr="00470146">
        <w:trPr>
          <w:jc w:val="center"/>
        </w:trPr>
        <w:tc>
          <w:tcPr>
            <w:tcW w:w="392" w:type="dxa"/>
            <w:vMerge w:val="restart"/>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3</w:t>
            </w:r>
          </w:p>
        </w:tc>
        <w:tc>
          <w:tcPr>
            <w:tcW w:w="1984" w:type="dxa"/>
            <w:vMerge w:val="restart"/>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Прикладные услуги</w:t>
            </w: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Международный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12</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Национальный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41</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Региональный</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5</w:t>
            </w:r>
          </w:p>
        </w:tc>
      </w:tr>
      <w:tr w:rsidR="00470146" w:rsidRPr="00470146" w:rsidTr="00470146">
        <w:trPr>
          <w:jc w:val="center"/>
        </w:trPr>
        <w:tc>
          <w:tcPr>
            <w:tcW w:w="392" w:type="dxa"/>
            <w:vMerge w:val="restart"/>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4</w:t>
            </w:r>
          </w:p>
        </w:tc>
        <w:tc>
          <w:tcPr>
            <w:tcW w:w="1984" w:type="dxa"/>
            <w:vMerge w:val="restart"/>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Услуги контента</w:t>
            </w: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Национальное телевидение</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5</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Национальное радио</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5</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Региональное телевидение</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1</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Региональное радио</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6</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Окружное телевидение</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18</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Окружное радио</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30</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Общинное телевидение</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0</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Общинное радио</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2</w:t>
            </w:r>
          </w:p>
        </w:tc>
      </w:tr>
      <w:tr w:rsidR="00470146" w:rsidRPr="00470146" w:rsidTr="00470146">
        <w:trPr>
          <w:jc w:val="center"/>
        </w:trPr>
        <w:tc>
          <w:tcPr>
            <w:tcW w:w="392" w:type="dxa"/>
            <w:vMerge/>
          </w:tcPr>
          <w:p w:rsidR="00470146" w:rsidRPr="00470146" w:rsidRDefault="00470146" w:rsidP="00D77986">
            <w:pPr>
              <w:pStyle w:val="CEONormal"/>
              <w:spacing w:before="40" w:after="40" w:line="200" w:lineRule="exact"/>
              <w:rPr>
                <w:rFonts w:asciiTheme="majorBidi" w:hAnsiTheme="majorBidi" w:cstheme="majorBidi"/>
                <w:sz w:val="20"/>
                <w:szCs w:val="20"/>
                <w:lang w:val="ru-RU"/>
              </w:rPr>
            </w:pPr>
          </w:p>
        </w:tc>
        <w:tc>
          <w:tcPr>
            <w:tcW w:w="1984" w:type="dxa"/>
            <w:vMerge/>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p>
        </w:tc>
        <w:tc>
          <w:tcPr>
            <w:tcW w:w="3402" w:type="dxa"/>
          </w:tcPr>
          <w:p w:rsidR="00470146" w:rsidRPr="00470146" w:rsidRDefault="00470146" w:rsidP="00D77986">
            <w:pPr>
              <w:pStyle w:val="CEONormal"/>
              <w:tabs>
                <w:tab w:val="left" w:pos="851"/>
              </w:tabs>
              <w:spacing w:before="40" w:after="40" w:line="200" w:lineRule="exact"/>
              <w:rPr>
                <w:rFonts w:asciiTheme="majorBidi" w:hAnsiTheme="majorBidi" w:cstheme="majorBidi"/>
                <w:sz w:val="20"/>
                <w:szCs w:val="20"/>
                <w:lang w:val="ru-RU"/>
              </w:rPr>
            </w:pPr>
            <w:r w:rsidRPr="00470146">
              <w:rPr>
                <w:rFonts w:asciiTheme="majorBidi" w:hAnsiTheme="majorBidi" w:cstheme="majorBidi"/>
                <w:sz w:val="20"/>
                <w:szCs w:val="20"/>
                <w:lang w:val="ru-RU"/>
              </w:rPr>
              <w:t xml:space="preserve">Вспомогательные услуги для служб </w:t>
            </w:r>
            <w:proofErr w:type="gramStart"/>
            <w:r w:rsidRPr="00470146">
              <w:rPr>
                <w:rFonts w:asciiTheme="majorBidi" w:hAnsiTheme="majorBidi" w:cstheme="majorBidi"/>
                <w:sz w:val="20"/>
                <w:szCs w:val="20"/>
                <w:lang w:val="ru-RU"/>
              </w:rPr>
              <w:t>спутникового</w:t>
            </w:r>
            <w:proofErr w:type="gramEnd"/>
            <w:r w:rsidRPr="00470146">
              <w:rPr>
                <w:rFonts w:asciiTheme="majorBidi" w:hAnsiTheme="majorBidi" w:cstheme="majorBidi"/>
                <w:sz w:val="20"/>
                <w:szCs w:val="20"/>
                <w:lang w:val="ru-RU"/>
              </w:rPr>
              <w:t xml:space="preserve"> контента по подписке</w:t>
            </w:r>
          </w:p>
        </w:tc>
        <w:tc>
          <w:tcPr>
            <w:tcW w:w="2857" w:type="dxa"/>
          </w:tcPr>
          <w:p w:rsidR="00470146" w:rsidRPr="00470146" w:rsidRDefault="00470146" w:rsidP="00D77986">
            <w:pPr>
              <w:pStyle w:val="CEONormal"/>
              <w:spacing w:before="40" w:after="40" w:line="200" w:lineRule="exact"/>
              <w:jc w:val="center"/>
              <w:rPr>
                <w:rFonts w:asciiTheme="majorBidi" w:hAnsiTheme="majorBidi" w:cstheme="majorBidi"/>
                <w:sz w:val="20"/>
                <w:szCs w:val="20"/>
                <w:lang w:val="ru-RU"/>
              </w:rPr>
            </w:pPr>
            <w:r w:rsidRPr="00470146">
              <w:rPr>
                <w:rFonts w:asciiTheme="majorBidi" w:hAnsiTheme="majorBidi" w:cstheme="majorBidi"/>
                <w:sz w:val="20"/>
                <w:szCs w:val="20"/>
                <w:lang w:val="ru-RU"/>
              </w:rPr>
              <w:t>3</w:t>
            </w:r>
          </w:p>
        </w:tc>
      </w:tr>
    </w:tbl>
    <w:p w:rsidR="002266DA" w:rsidRPr="00CD18B1" w:rsidRDefault="002266DA" w:rsidP="00D77986">
      <w:pPr>
        <w:pStyle w:val="FigureSource"/>
        <w:keepNext w:val="0"/>
        <w:ind w:left="567" w:hanging="567"/>
        <w:rPr>
          <w:rFonts w:asciiTheme="majorBidi" w:hAnsiTheme="majorBidi" w:cstheme="majorBidi"/>
        </w:rPr>
      </w:pPr>
    </w:p>
    <w:p w:rsidR="00470146" w:rsidRPr="00470146" w:rsidRDefault="00470146" w:rsidP="00470146">
      <w:pPr>
        <w:pStyle w:val="Heading3"/>
        <w:rPr>
          <w:rStyle w:val="FootnoteReference"/>
          <w:position w:val="0"/>
          <w:sz w:val="22"/>
          <w:szCs w:val="16"/>
        </w:rPr>
      </w:pPr>
      <w:bookmarkStart w:id="56" w:name="_Toc262721861"/>
      <w:r w:rsidRPr="00470146">
        <w:rPr>
          <w:szCs w:val="18"/>
        </w:rPr>
        <w:lastRenderedPageBreak/>
        <w:t>4.1.7</w:t>
      </w:r>
      <w:r w:rsidRPr="00470146">
        <w:rPr>
          <w:szCs w:val="18"/>
        </w:rPr>
        <w:tab/>
      </w:r>
      <w:proofErr w:type="spellStart"/>
      <w:r w:rsidRPr="00470146">
        <w:rPr>
          <w:szCs w:val="18"/>
        </w:rPr>
        <w:t>Соединенное</w:t>
      </w:r>
      <w:proofErr w:type="spellEnd"/>
      <w:r w:rsidRPr="00470146">
        <w:rPr>
          <w:szCs w:val="18"/>
        </w:rPr>
        <w:t xml:space="preserve"> </w:t>
      </w:r>
      <w:proofErr w:type="spellStart"/>
      <w:r w:rsidRPr="00470146">
        <w:rPr>
          <w:szCs w:val="18"/>
        </w:rPr>
        <w:t>Королевство</w:t>
      </w:r>
      <w:proofErr w:type="spellEnd"/>
      <w:r w:rsidRPr="00FA5CF9">
        <w:rPr>
          <w:rStyle w:val="Verdana"/>
          <w:rFonts w:ascii="Times New Roman" w:hAnsi="Times New Roman"/>
          <w:b w:val="0"/>
          <w:bCs/>
          <w:sz w:val="16"/>
          <w:szCs w:val="16"/>
        </w:rPr>
        <w:footnoteReference w:id="28"/>
      </w:r>
      <w:bookmarkEnd w:id="56"/>
    </w:p>
    <w:p w:rsidR="00470146" w:rsidRPr="00470146" w:rsidRDefault="00470146" w:rsidP="00470146">
      <w:pPr>
        <w:rPr>
          <w:lang w:val="ru-RU"/>
        </w:rPr>
      </w:pPr>
      <w:r w:rsidRPr="00470146">
        <w:rPr>
          <w:lang w:val="ru-RU"/>
        </w:rPr>
        <w:t>В 2003 году правительство приняло Закон</w:t>
      </w:r>
      <w:r w:rsidRPr="00470146">
        <w:rPr>
          <w:rStyle w:val="FootnoteReference"/>
          <w:rFonts w:asciiTheme="majorBidi" w:hAnsiTheme="majorBidi" w:cstheme="majorBidi"/>
          <w:sz w:val="22"/>
          <w:szCs w:val="22"/>
          <w:vertAlign w:val="superscript"/>
          <w:lang w:val="ru-RU"/>
        </w:rPr>
        <w:t xml:space="preserve"> </w:t>
      </w:r>
      <w:r w:rsidRPr="00470146">
        <w:rPr>
          <w:lang w:val="ru-RU"/>
        </w:rPr>
        <w:t xml:space="preserve">о связи, с </w:t>
      </w:r>
      <w:proofErr w:type="gramStart"/>
      <w:r w:rsidRPr="00470146">
        <w:rPr>
          <w:lang w:val="ru-RU"/>
        </w:rPr>
        <w:t>тем</w:t>
      </w:r>
      <w:proofErr w:type="gramEnd"/>
      <w:r w:rsidRPr="00470146">
        <w:rPr>
          <w:lang w:val="ru-RU"/>
        </w:rPr>
        <w:t xml:space="preserve"> чтобы подготовить Соединенное Королевство к решению проблем конвергенции между информационными технологиями и радиовещанием. В Законе о связи вопросы конвергенции электросвязи и радиовещания решаются путем реформирования рамок регулирования, в том числе путем установления единого регуляторного органа для всего сектора электронной связи. Целью Закона является формирование рассчитанных на будущее рамок – посредством </w:t>
      </w:r>
      <w:proofErr w:type="gramStart"/>
      <w:r w:rsidRPr="00470146">
        <w:rPr>
          <w:lang w:val="ru-RU"/>
        </w:rPr>
        <w:t>создания</w:t>
      </w:r>
      <w:proofErr w:type="gramEnd"/>
      <w:r w:rsidRPr="00470146">
        <w:rPr>
          <w:lang w:val="ru-RU"/>
        </w:rPr>
        <w:t xml:space="preserve"> сотрудничающего с заинтересованными сторонами регуляторного органа и учета роста числа конвергентных услуг в сферах связи и радиовещания. Законом предусматривается следующее:</w:t>
      </w:r>
    </w:p>
    <w:p w:rsidR="00470146" w:rsidRPr="00470146" w:rsidRDefault="00470146" w:rsidP="00470146">
      <w:pPr>
        <w:pStyle w:val="enumlev1"/>
      </w:pPr>
      <w:r w:rsidRPr="00470146">
        <w:t>•</w:t>
      </w:r>
      <w:r w:rsidRPr="00470146">
        <w:tab/>
      </w:r>
      <w:proofErr w:type="spellStart"/>
      <w:r w:rsidRPr="00470146">
        <w:t>Управление</w:t>
      </w:r>
      <w:proofErr w:type="spellEnd"/>
      <w:r w:rsidRPr="00470146">
        <w:t xml:space="preserve"> </w:t>
      </w:r>
      <w:proofErr w:type="spellStart"/>
      <w:r w:rsidRPr="00470146">
        <w:t>связи</w:t>
      </w:r>
      <w:proofErr w:type="spellEnd"/>
      <w:r w:rsidRPr="00470146">
        <w:t xml:space="preserve"> (</w:t>
      </w:r>
      <w:proofErr w:type="spellStart"/>
      <w:r w:rsidRPr="00470146">
        <w:t>Ofcom</w:t>
      </w:r>
      <w:proofErr w:type="spellEnd"/>
      <w:r w:rsidRPr="00470146">
        <w:t xml:space="preserve">) </w:t>
      </w:r>
      <w:proofErr w:type="spellStart"/>
      <w:r w:rsidRPr="00470146">
        <w:t>является</w:t>
      </w:r>
      <w:proofErr w:type="spellEnd"/>
      <w:r w:rsidRPr="00470146">
        <w:t xml:space="preserve"> </w:t>
      </w:r>
      <w:proofErr w:type="spellStart"/>
      <w:r w:rsidRPr="00470146">
        <w:t>единым</w:t>
      </w:r>
      <w:proofErr w:type="spellEnd"/>
      <w:r w:rsidRPr="00470146">
        <w:t xml:space="preserve"> </w:t>
      </w:r>
      <w:proofErr w:type="spellStart"/>
      <w:r w:rsidRPr="00470146">
        <w:t>регуляторным</w:t>
      </w:r>
      <w:proofErr w:type="spellEnd"/>
      <w:r w:rsidRPr="00470146">
        <w:t xml:space="preserve"> </w:t>
      </w:r>
      <w:proofErr w:type="spellStart"/>
      <w:r w:rsidRPr="00470146">
        <w:t>органом</w:t>
      </w:r>
      <w:proofErr w:type="spellEnd"/>
      <w:r w:rsidRPr="00470146">
        <w:t xml:space="preserve">, </w:t>
      </w:r>
      <w:proofErr w:type="spellStart"/>
      <w:r w:rsidRPr="00470146">
        <w:t>выполняющим</w:t>
      </w:r>
      <w:proofErr w:type="spellEnd"/>
      <w:r w:rsidRPr="00470146">
        <w:t xml:space="preserve"> </w:t>
      </w:r>
      <w:proofErr w:type="spellStart"/>
      <w:r w:rsidRPr="00470146">
        <w:t>функции</w:t>
      </w:r>
      <w:proofErr w:type="spellEnd"/>
      <w:r w:rsidRPr="00470146">
        <w:t xml:space="preserve"> </w:t>
      </w:r>
      <w:proofErr w:type="spellStart"/>
      <w:r w:rsidRPr="00470146">
        <w:t>пяти</w:t>
      </w:r>
      <w:proofErr w:type="spellEnd"/>
      <w:r w:rsidRPr="00470146">
        <w:t xml:space="preserve"> </w:t>
      </w:r>
      <w:proofErr w:type="spellStart"/>
      <w:r w:rsidRPr="00470146">
        <w:t>существовавших</w:t>
      </w:r>
      <w:proofErr w:type="spellEnd"/>
      <w:r w:rsidRPr="00470146">
        <w:t xml:space="preserve"> </w:t>
      </w:r>
      <w:proofErr w:type="spellStart"/>
      <w:r w:rsidRPr="00470146">
        <w:t>ранее</w:t>
      </w:r>
      <w:proofErr w:type="spellEnd"/>
      <w:r w:rsidRPr="00470146">
        <w:t xml:space="preserve"> </w:t>
      </w:r>
      <w:proofErr w:type="spellStart"/>
      <w:r w:rsidRPr="00470146">
        <w:t>регуляторных</w:t>
      </w:r>
      <w:proofErr w:type="spellEnd"/>
      <w:r w:rsidRPr="00470146">
        <w:t xml:space="preserve"> </w:t>
      </w:r>
      <w:proofErr w:type="spellStart"/>
      <w:r w:rsidRPr="00470146">
        <w:t>органов</w:t>
      </w:r>
      <w:proofErr w:type="spellEnd"/>
      <w:r w:rsidRPr="00470146">
        <w:t xml:space="preserve"> (</w:t>
      </w:r>
      <w:proofErr w:type="spellStart"/>
      <w:r w:rsidRPr="00470146">
        <w:t>Oftel</w:t>
      </w:r>
      <w:proofErr w:type="spellEnd"/>
      <w:r w:rsidRPr="00470146">
        <w:t xml:space="preserve">, </w:t>
      </w:r>
      <w:proofErr w:type="spellStart"/>
      <w:r w:rsidRPr="00470146">
        <w:t>Комиссии</w:t>
      </w:r>
      <w:proofErr w:type="spellEnd"/>
      <w:r w:rsidRPr="00470146">
        <w:t xml:space="preserve"> </w:t>
      </w:r>
      <w:proofErr w:type="spellStart"/>
      <w:r w:rsidRPr="00470146">
        <w:t>по</w:t>
      </w:r>
      <w:proofErr w:type="spellEnd"/>
      <w:r w:rsidRPr="00470146">
        <w:t xml:space="preserve"> </w:t>
      </w:r>
      <w:proofErr w:type="spellStart"/>
      <w:r w:rsidRPr="00470146">
        <w:t>независимому</w:t>
      </w:r>
      <w:proofErr w:type="spellEnd"/>
      <w:r w:rsidRPr="00470146">
        <w:t xml:space="preserve"> </w:t>
      </w:r>
      <w:proofErr w:type="spellStart"/>
      <w:r w:rsidRPr="00470146">
        <w:t>телевидению</w:t>
      </w:r>
      <w:proofErr w:type="spellEnd"/>
      <w:r w:rsidRPr="00470146">
        <w:t xml:space="preserve">, </w:t>
      </w:r>
      <w:proofErr w:type="spellStart"/>
      <w:r w:rsidRPr="00470146">
        <w:t>Агентства</w:t>
      </w:r>
      <w:proofErr w:type="spellEnd"/>
      <w:r w:rsidRPr="00470146">
        <w:t xml:space="preserve"> </w:t>
      </w:r>
      <w:proofErr w:type="spellStart"/>
      <w:r w:rsidRPr="00470146">
        <w:t>по</w:t>
      </w:r>
      <w:proofErr w:type="spellEnd"/>
      <w:r w:rsidRPr="00470146">
        <w:t xml:space="preserve"> </w:t>
      </w:r>
      <w:proofErr w:type="spellStart"/>
      <w:r w:rsidRPr="00470146">
        <w:t>радиосвязи</w:t>
      </w:r>
      <w:proofErr w:type="spellEnd"/>
      <w:r w:rsidRPr="00470146">
        <w:t xml:space="preserve">, </w:t>
      </w:r>
      <w:proofErr w:type="spellStart"/>
      <w:r w:rsidRPr="00470146">
        <w:t>Радиоуправления</w:t>
      </w:r>
      <w:proofErr w:type="spellEnd"/>
      <w:r w:rsidRPr="00470146">
        <w:t xml:space="preserve"> и </w:t>
      </w:r>
      <w:proofErr w:type="spellStart"/>
      <w:r w:rsidRPr="00470146">
        <w:t>Комиссии</w:t>
      </w:r>
      <w:proofErr w:type="spellEnd"/>
      <w:r w:rsidRPr="00470146">
        <w:t xml:space="preserve"> </w:t>
      </w:r>
      <w:proofErr w:type="spellStart"/>
      <w:r w:rsidRPr="00470146">
        <w:t>по</w:t>
      </w:r>
      <w:proofErr w:type="spellEnd"/>
      <w:r w:rsidRPr="00470146">
        <w:t xml:space="preserve"> </w:t>
      </w:r>
      <w:proofErr w:type="spellStart"/>
      <w:r w:rsidRPr="00470146">
        <w:t>стандартам</w:t>
      </w:r>
      <w:proofErr w:type="spellEnd"/>
      <w:r w:rsidRPr="00470146">
        <w:t xml:space="preserve"> </w:t>
      </w:r>
      <w:proofErr w:type="spellStart"/>
      <w:r w:rsidRPr="00470146">
        <w:t>вещания</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применение</w:t>
      </w:r>
      <w:proofErr w:type="spellEnd"/>
      <w:proofErr w:type="gramEnd"/>
      <w:r w:rsidRPr="00470146">
        <w:t xml:space="preserve"> </w:t>
      </w:r>
      <w:proofErr w:type="spellStart"/>
      <w:r w:rsidRPr="00470146">
        <w:t>Ofcom</w:t>
      </w:r>
      <w:proofErr w:type="spellEnd"/>
      <w:r w:rsidRPr="00470146">
        <w:t xml:space="preserve"> к </w:t>
      </w:r>
      <w:proofErr w:type="spellStart"/>
      <w:r w:rsidRPr="00470146">
        <w:t>сектору</w:t>
      </w:r>
      <w:proofErr w:type="spellEnd"/>
      <w:r w:rsidRPr="00470146">
        <w:t xml:space="preserve"> </w:t>
      </w:r>
      <w:proofErr w:type="spellStart"/>
      <w:r w:rsidRPr="00470146">
        <w:t>связи</w:t>
      </w:r>
      <w:proofErr w:type="spellEnd"/>
      <w:r w:rsidRPr="00470146">
        <w:t xml:space="preserve"> </w:t>
      </w:r>
      <w:proofErr w:type="spellStart"/>
      <w:r w:rsidRPr="00470146">
        <w:t>полномочий</w:t>
      </w:r>
      <w:proofErr w:type="spellEnd"/>
      <w:r w:rsidRPr="00470146">
        <w:t xml:space="preserve">, </w:t>
      </w:r>
      <w:proofErr w:type="spellStart"/>
      <w:r w:rsidRPr="00470146">
        <w:t>предусмотренных</w:t>
      </w:r>
      <w:proofErr w:type="spellEnd"/>
      <w:r w:rsidRPr="00470146">
        <w:t xml:space="preserve"> </w:t>
      </w:r>
      <w:proofErr w:type="spellStart"/>
      <w:r w:rsidRPr="00470146">
        <w:t>Законом</w:t>
      </w:r>
      <w:proofErr w:type="spellEnd"/>
      <w:r w:rsidRPr="00470146">
        <w:t xml:space="preserve"> о </w:t>
      </w:r>
      <w:proofErr w:type="spellStart"/>
      <w:r w:rsidRPr="00470146">
        <w:t>конкуренции</w:t>
      </w:r>
      <w:proofErr w:type="spellEnd"/>
      <w:r w:rsidRPr="00470146">
        <w:t xml:space="preserve"> и </w:t>
      </w:r>
      <w:proofErr w:type="spellStart"/>
      <w:r w:rsidRPr="00470146">
        <w:t>иными</w:t>
      </w:r>
      <w:proofErr w:type="spellEnd"/>
      <w:r w:rsidRPr="00470146">
        <w:t xml:space="preserve"> </w:t>
      </w:r>
      <w:proofErr w:type="spellStart"/>
      <w:r w:rsidRPr="00470146">
        <w:t>относящимися</w:t>
      </w:r>
      <w:proofErr w:type="spellEnd"/>
      <w:r w:rsidRPr="00470146">
        <w:t xml:space="preserve"> к </w:t>
      </w:r>
      <w:proofErr w:type="spellStart"/>
      <w:r w:rsidRPr="00470146">
        <w:t>конкуренции</w:t>
      </w:r>
      <w:proofErr w:type="spellEnd"/>
      <w:r w:rsidRPr="00470146">
        <w:t xml:space="preserve"> </w:t>
      </w:r>
      <w:proofErr w:type="spellStart"/>
      <w:r w:rsidRPr="00470146">
        <w:t>законодательными</w:t>
      </w:r>
      <w:proofErr w:type="spellEnd"/>
      <w:r w:rsidRPr="00470146">
        <w:t xml:space="preserve"> </w:t>
      </w:r>
      <w:proofErr w:type="spellStart"/>
      <w:r w:rsidRPr="00470146">
        <w:t>актами</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новые</w:t>
      </w:r>
      <w:proofErr w:type="spellEnd"/>
      <w:proofErr w:type="gramEnd"/>
      <w:r w:rsidRPr="00470146">
        <w:t xml:space="preserve"> </w:t>
      </w:r>
      <w:proofErr w:type="spellStart"/>
      <w:r w:rsidRPr="00470146">
        <w:t>участники</w:t>
      </w:r>
      <w:proofErr w:type="spellEnd"/>
      <w:r w:rsidRPr="00470146">
        <w:t xml:space="preserve"> </w:t>
      </w:r>
      <w:proofErr w:type="spellStart"/>
      <w:r w:rsidRPr="00470146">
        <w:t>рынка</w:t>
      </w:r>
      <w:proofErr w:type="spellEnd"/>
      <w:r w:rsidRPr="00470146">
        <w:t xml:space="preserve"> </w:t>
      </w:r>
      <w:proofErr w:type="spellStart"/>
      <w:r w:rsidRPr="00470146">
        <w:t>имеют</w:t>
      </w:r>
      <w:proofErr w:type="spellEnd"/>
      <w:r w:rsidRPr="00470146">
        <w:t xml:space="preserve"> </w:t>
      </w:r>
      <w:proofErr w:type="spellStart"/>
      <w:r w:rsidRPr="00470146">
        <w:t>право</w:t>
      </w:r>
      <w:proofErr w:type="spellEnd"/>
      <w:r w:rsidRPr="00470146">
        <w:t xml:space="preserve"> </w:t>
      </w:r>
      <w:proofErr w:type="spellStart"/>
      <w:r w:rsidRPr="00470146">
        <w:t>предоставлять</w:t>
      </w:r>
      <w:proofErr w:type="spellEnd"/>
      <w:r w:rsidRPr="00470146">
        <w:t xml:space="preserve"> </w:t>
      </w:r>
      <w:proofErr w:type="spellStart"/>
      <w:r w:rsidRPr="00470146">
        <w:t>сети</w:t>
      </w:r>
      <w:proofErr w:type="spellEnd"/>
      <w:r w:rsidRPr="00470146">
        <w:t xml:space="preserve"> и </w:t>
      </w:r>
      <w:proofErr w:type="spellStart"/>
      <w:r w:rsidRPr="00470146">
        <w:t>услуги</w:t>
      </w:r>
      <w:proofErr w:type="spellEnd"/>
      <w:r w:rsidRPr="00470146">
        <w:t xml:space="preserve"> </w:t>
      </w:r>
      <w:proofErr w:type="spellStart"/>
      <w:r w:rsidRPr="00470146">
        <w:t>связи</w:t>
      </w:r>
      <w:proofErr w:type="spellEnd"/>
      <w:r w:rsidRPr="00470146">
        <w:t xml:space="preserve"> </w:t>
      </w:r>
      <w:proofErr w:type="spellStart"/>
      <w:r w:rsidRPr="00470146">
        <w:t>без</w:t>
      </w:r>
      <w:proofErr w:type="spellEnd"/>
      <w:r w:rsidRPr="00470146">
        <w:t xml:space="preserve"> </w:t>
      </w:r>
      <w:proofErr w:type="spellStart"/>
      <w:r w:rsidRPr="00470146">
        <w:t>получения</w:t>
      </w:r>
      <w:proofErr w:type="spellEnd"/>
      <w:r w:rsidRPr="00470146">
        <w:t xml:space="preserve"> </w:t>
      </w:r>
      <w:proofErr w:type="spellStart"/>
      <w:r w:rsidRPr="00470146">
        <w:t>лицензии</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торговый</w:t>
      </w:r>
      <w:proofErr w:type="spellEnd"/>
      <w:proofErr w:type="gramEnd"/>
      <w:r w:rsidRPr="00470146">
        <w:t xml:space="preserve"> </w:t>
      </w:r>
      <w:proofErr w:type="spellStart"/>
      <w:r w:rsidRPr="00470146">
        <w:t>обмен</w:t>
      </w:r>
      <w:proofErr w:type="spellEnd"/>
      <w:r w:rsidRPr="00470146">
        <w:t xml:space="preserve"> </w:t>
      </w:r>
      <w:proofErr w:type="spellStart"/>
      <w:r w:rsidRPr="00470146">
        <w:t>ресурсами</w:t>
      </w:r>
      <w:proofErr w:type="spellEnd"/>
      <w:r w:rsidRPr="00470146">
        <w:t xml:space="preserve"> </w:t>
      </w:r>
      <w:proofErr w:type="spellStart"/>
      <w:r w:rsidRPr="00470146">
        <w:t>спектра</w:t>
      </w:r>
      <w:proofErr w:type="spellEnd"/>
      <w:r w:rsidRPr="00470146">
        <w:t xml:space="preserve"> </w:t>
      </w:r>
      <w:proofErr w:type="spellStart"/>
      <w:r w:rsidRPr="00470146">
        <w:t>радиочастот</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новая</w:t>
      </w:r>
      <w:proofErr w:type="spellEnd"/>
      <w:proofErr w:type="gramEnd"/>
      <w:r w:rsidRPr="00470146">
        <w:t xml:space="preserve"> и </w:t>
      </w:r>
      <w:proofErr w:type="spellStart"/>
      <w:r w:rsidRPr="00470146">
        <w:t>более</w:t>
      </w:r>
      <w:proofErr w:type="spellEnd"/>
      <w:r w:rsidRPr="00470146">
        <w:t xml:space="preserve"> </w:t>
      </w:r>
      <w:proofErr w:type="spellStart"/>
      <w:r w:rsidRPr="00470146">
        <w:t>согласованная</w:t>
      </w:r>
      <w:proofErr w:type="spellEnd"/>
      <w:r w:rsidRPr="00470146">
        <w:t xml:space="preserve"> </w:t>
      </w:r>
      <w:proofErr w:type="spellStart"/>
      <w:r w:rsidRPr="00470146">
        <w:t>система</w:t>
      </w:r>
      <w:proofErr w:type="spellEnd"/>
      <w:r w:rsidRPr="00470146">
        <w:t xml:space="preserve"> </w:t>
      </w:r>
      <w:proofErr w:type="spellStart"/>
      <w:r w:rsidRPr="00470146">
        <w:t>регулирования</w:t>
      </w:r>
      <w:proofErr w:type="spellEnd"/>
      <w:r w:rsidRPr="00470146">
        <w:t xml:space="preserve"> </w:t>
      </w:r>
      <w:proofErr w:type="spellStart"/>
      <w:r w:rsidRPr="00470146">
        <w:t>радиовещания</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расширение</w:t>
      </w:r>
      <w:proofErr w:type="spellEnd"/>
      <w:proofErr w:type="gramEnd"/>
      <w:r w:rsidRPr="00470146">
        <w:t xml:space="preserve"> </w:t>
      </w:r>
      <w:proofErr w:type="spellStart"/>
      <w:r w:rsidRPr="00470146">
        <w:t>возможностей</w:t>
      </w:r>
      <w:proofErr w:type="spellEnd"/>
      <w:r w:rsidRPr="00470146">
        <w:t xml:space="preserve"> </w:t>
      </w:r>
      <w:proofErr w:type="spellStart"/>
      <w:r w:rsidRPr="00470146">
        <w:t>компаний</w:t>
      </w:r>
      <w:proofErr w:type="spellEnd"/>
      <w:r w:rsidRPr="00470146">
        <w:t xml:space="preserve"> </w:t>
      </w:r>
      <w:proofErr w:type="spellStart"/>
      <w:r w:rsidRPr="00470146">
        <w:t>общественного</w:t>
      </w:r>
      <w:proofErr w:type="spellEnd"/>
      <w:r w:rsidRPr="00470146">
        <w:t xml:space="preserve"> </w:t>
      </w:r>
      <w:proofErr w:type="spellStart"/>
      <w:r w:rsidRPr="00470146">
        <w:t>радиовещания</w:t>
      </w:r>
      <w:proofErr w:type="spellEnd"/>
      <w:r w:rsidRPr="00470146">
        <w:t xml:space="preserve"> в </w:t>
      </w:r>
      <w:proofErr w:type="spellStart"/>
      <w:r w:rsidRPr="00470146">
        <w:t>отношении</w:t>
      </w:r>
      <w:proofErr w:type="spellEnd"/>
      <w:r w:rsidRPr="00470146">
        <w:t xml:space="preserve"> </w:t>
      </w:r>
      <w:proofErr w:type="spellStart"/>
      <w:r w:rsidRPr="00470146">
        <w:t>саморегулирования</w:t>
      </w:r>
      <w:proofErr w:type="spellEnd"/>
      <w:r w:rsidRPr="00470146">
        <w:t>.</w:t>
      </w:r>
    </w:p>
    <w:p w:rsidR="00470146" w:rsidRPr="00470146" w:rsidRDefault="00470146" w:rsidP="00470146">
      <w:pPr>
        <w:rPr>
          <w:lang w:val="ru-RU"/>
        </w:rPr>
      </w:pPr>
      <w:r w:rsidRPr="00470146">
        <w:rPr>
          <w:lang w:val="ru-RU"/>
        </w:rPr>
        <w:t xml:space="preserve">Наряду с проведением политики в сферах торговли и либерализации Соединенное Королевство вводит рыночные механизмы в управлении использованием спектра, стремясь повысить гибкость лицензий путем либерализации их условий, с </w:t>
      </w:r>
      <w:proofErr w:type="gramStart"/>
      <w:r w:rsidRPr="00470146">
        <w:rPr>
          <w:lang w:val="ru-RU"/>
        </w:rPr>
        <w:t>тем</w:t>
      </w:r>
      <w:proofErr w:type="gramEnd"/>
      <w:r w:rsidRPr="00470146">
        <w:rPr>
          <w:lang w:val="ru-RU"/>
        </w:rPr>
        <w:t xml:space="preserve"> чтобы дать держателям лицензий возможность изменять способ ее применения, не обращаясь к регуляторному органу. </w:t>
      </w:r>
      <w:proofErr w:type="spellStart"/>
      <w:r w:rsidRPr="00470146">
        <w:rPr>
          <w:lang w:val="ru-RU"/>
        </w:rPr>
        <w:t>Ofcom</w:t>
      </w:r>
      <w:proofErr w:type="spellEnd"/>
      <w:r w:rsidRPr="00470146">
        <w:rPr>
          <w:lang w:val="ru-RU"/>
        </w:rPr>
        <w:t xml:space="preserve"> намеревается сделать лицензии гибкими и нейтральными в технологическом отношении, обеспечивая при этом защиту других держателей лицензий от помех. </w:t>
      </w:r>
    </w:p>
    <w:p w:rsidR="00470146" w:rsidRPr="00470146" w:rsidRDefault="00470146" w:rsidP="00470146">
      <w:pPr>
        <w:rPr>
          <w:lang w:val="ru-RU"/>
        </w:rPr>
      </w:pPr>
      <w:r w:rsidRPr="00470146">
        <w:rPr>
          <w:lang w:val="ru-RU"/>
        </w:rPr>
        <w:t xml:space="preserve">Являясь "мягким" регуляторным органом, </w:t>
      </w:r>
      <w:proofErr w:type="spellStart"/>
      <w:r w:rsidRPr="00470146">
        <w:rPr>
          <w:lang w:val="ru-RU"/>
        </w:rPr>
        <w:t>Ofcom</w:t>
      </w:r>
      <w:proofErr w:type="spellEnd"/>
      <w:r w:rsidRPr="00470146">
        <w:rPr>
          <w:lang w:val="ru-RU"/>
        </w:rPr>
        <w:t xml:space="preserve"> намеревается отказаться от централизованного управления и расширить применение освобождения от лицензий. Вопрос об освобождении от лицензий тщательно изучается, в первую очередь применительно к устройствам малой мощности, и такое освобождение будет осуществляться, насколько это практически возможно, поскольку оно является одним из ключевых факторов инноваций и роста.</w:t>
      </w:r>
    </w:p>
    <w:p w:rsidR="00470146" w:rsidRPr="00470146" w:rsidRDefault="00470146" w:rsidP="00470146">
      <w:pPr>
        <w:pStyle w:val="Heading2"/>
      </w:pPr>
      <w:bookmarkStart w:id="57" w:name="_Toc262721862"/>
      <w:r w:rsidRPr="00470146">
        <w:t>4.2</w:t>
      </w:r>
      <w:r w:rsidRPr="00470146">
        <w:tab/>
      </w:r>
      <w:proofErr w:type="spellStart"/>
      <w:r w:rsidRPr="00470146">
        <w:t>Планы</w:t>
      </w:r>
      <w:proofErr w:type="spellEnd"/>
      <w:r w:rsidRPr="00470146">
        <w:t xml:space="preserve"> </w:t>
      </w:r>
      <w:proofErr w:type="spellStart"/>
      <w:r w:rsidRPr="00470146">
        <w:t>на</w:t>
      </w:r>
      <w:proofErr w:type="spellEnd"/>
      <w:r w:rsidRPr="00470146">
        <w:t xml:space="preserve"> </w:t>
      </w:r>
      <w:proofErr w:type="spellStart"/>
      <w:r w:rsidRPr="00470146">
        <w:t>будущее</w:t>
      </w:r>
      <w:proofErr w:type="spellEnd"/>
      <w:r w:rsidRPr="00470146">
        <w:t xml:space="preserve"> в </w:t>
      </w:r>
      <w:proofErr w:type="spellStart"/>
      <w:r w:rsidRPr="00470146">
        <w:t>отношении</w:t>
      </w:r>
      <w:proofErr w:type="spellEnd"/>
      <w:r w:rsidRPr="00470146">
        <w:t xml:space="preserve"> </w:t>
      </w:r>
      <w:proofErr w:type="spellStart"/>
      <w:r w:rsidRPr="00470146">
        <w:t>лицензирования</w:t>
      </w:r>
      <w:proofErr w:type="spellEnd"/>
      <w:r w:rsidRPr="00470146">
        <w:t xml:space="preserve"> </w:t>
      </w:r>
      <w:proofErr w:type="spellStart"/>
      <w:r w:rsidRPr="00470146">
        <w:t>конвергирующих</w:t>
      </w:r>
      <w:proofErr w:type="spellEnd"/>
      <w:r w:rsidRPr="00470146">
        <w:t xml:space="preserve"> </w:t>
      </w:r>
      <w:proofErr w:type="spellStart"/>
      <w:r w:rsidRPr="00470146">
        <w:t>услуг</w:t>
      </w:r>
      <w:bookmarkEnd w:id="57"/>
      <w:proofErr w:type="spellEnd"/>
    </w:p>
    <w:p w:rsidR="00470146" w:rsidRPr="00470146" w:rsidRDefault="00470146" w:rsidP="00470146">
      <w:pPr>
        <w:pStyle w:val="Heading3"/>
      </w:pPr>
      <w:bookmarkStart w:id="58" w:name="_Toc262721863"/>
      <w:r w:rsidRPr="00470146">
        <w:t>4.2.1</w:t>
      </w:r>
      <w:r w:rsidRPr="00470146">
        <w:tab/>
      </w:r>
      <w:proofErr w:type="spellStart"/>
      <w:r w:rsidRPr="00470146">
        <w:t>Бангладеш</w:t>
      </w:r>
      <w:bookmarkEnd w:id="58"/>
      <w:proofErr w:type="spellEnd"/>
    </w:p>
    <w:p w:rsidR="00470146" w:rsidRPr="00470146" w:rsidRDefault="00470146" w:rsidP="00470146">
      <w:pPr>
        <w:rPr>
          <w:lang w:val="ru-RU"/>
        </w:rPr>
      </w:pPr>
      <w:r w:rsidRPr="00470146">
        <w:rPr>
          <w:lang w:val="ru-RU"/>
        </w:rPr>
        <w:t>Согласно вкладу, представленному Бангладеш Группе Докладчика</w:t>
      </w:r>
      <w:r w:rsidRPr="00FA5CF9">
        <w:rPr>
          <w:rStyle w:val="Verdana"/>
          <w:rFonts w:asciiTheme="majorBidi" w:eastAsia="SimHei" w:hAnsiTheme="majorBidi" w:cstheme="majorBidi"/>
          <w:sz w:val="16"/>
          <w:szCs w:val="16"/>
          <w:lang w:eastAsia="zh-CN"/>
        </w:rPr>
        <w:footnoteReference w:id="29"/>
      </w:r>
      <w:r w:rsidRPr="00470146">
        <w:rPr>
          <w:lang w:val="ru-RU"/>
        </w:rPr>
        <w:t>, страна планирует осуществить в 2011 году переход на нейтральный в отношении технологий и услуг режим лицензирования, что даст операторам возможность внедрять технологические инновации и более гибко и творчески подходить к развитию услуг связи. В настоящее время Регуляторная комиссия Бангладеш в области электросвязи (</w:t>
      </w:r>
      <w:proofErr w:type="spellStart"/>
      <w:r w:rsidRPr="00470146">
        <w:rPr>
          <w:lang w:val="ru-RU"/>
        </w:rPr>
        <w:t>BTRC</w:t>
      </w:r>
      <w:proofErr w:type="spellEnd"/>
      <w:r w:rsidRPr="00470146">
        <w:rPr>
          <w:lang w:val="ru-RU"/>
        </w:rPr>
        <w:t>) не планирует выдавать лицензии на конвергентные услуги, но будет рассматривать вопрос о конвергенции применительно к новому режиму лицензирования в будущем. Пока что Бангладеш будет ожидать от МСЭ руководящих указаний для плавного перехода от действующего режима лицензирования к режиму лицензирования услуг в условиях конвергенции.</w:t>
      </w:r>
    </w:p>
    <w:p w:rsidR="00470146" w:rsidRPr="00470146" w:rsidRDefault="00470146" w:rsidP="00470146">
      <w:pPr>
        <w:pStyle w:val="Heading3"/>
        <w:rPr>
          <w:rStyle w:val="FootnoteReference"/>
          <w:position w:val="0"/>
          <w:sz w:val="22"/>
          <w:szCs w:val="16"/>
        </w:rPr>
      </w:pPr>
      <w:bookmarkStart w:id="59" w:name="_Toc262721864"/>
      <w:r w:rsidRPr="00470146">
        <w:rPr>
          <w:szCs w:val="18"/>
        </w:rPr>
        <w:lastRenderedPageBreak/>
        <w:t>4.2.2</w:t>
      </w:r>
      <w:r w:rsidRPr="00470146">
        <w:rPr>
          <w:szCs w:val="18"/>
        </w:rPr>
        <w:tab/>
      </w:r>
      <w:proofErr w:type="spellStart"/>
      <w:r w:rsidRPr="00470146">
        <w:rPr>
          <w:szCs w:val="18"/>
        </w:rPr>
        <w:t>Камерун</w:t>
      </w:r>
      <w:proofErr w:type="spellEnd"/>
      <w:r w:rsidRPr="00470146">
        <w:rPr>
          <w:rStyle w:val="Verdana"/>
          <w:rFonts w:ascii="Times New Roman" w:hAnsi="Times New Roman"/>
          <w:b w:val="0"/>
          <w:bCs/>
          <w:sz w:val="16"/>
          <w:szCs w:val="16"/>
        </w:rPr>
        <w:footnoteReference w:id="30"/>
      </w:r>
      <w:bookmarkEnd w:id="59"/>
    </w:p>
    <w:p w:rsidR="00470146" w:rsidRPr="00470146" w:rsidRDefault="00470146" w:rsidP="00470146">
      <w:pPr>
        <w:rPr>
          <w:lang w:val="ru-RU"/>
        </w:rPr>
      </w:pPr>
      <w:r w:rsidRPr="00470146">
        <w:rPr>
          <w:lang w:val="ru-RU"/>
        </w:rPr>
        <w:t>Правительство Камеруна</w:t>
      </w:r>
      <w:r w:rsidRPr="00470146">
        <w:rPr>
          <w:rStyle w:val="FootnoteReference"/>
          <w:rFonts w:asciiTheme="majorBidi" w:hAnsiTheme="majorBidi" w:cstheme="majorBidi"/>
          <w:bCs/>
          <w:sz w:val="22"/>
          <w:szCs w:val="22"/>
          <w:vertAlign w:val="superscript"/>
          <w:lang w:val="ru-RU"/>
        </w:rPr>
        <w:t xml:space="preserve"> </w:t>
      </w:r>
      <w:r w:rsidRPr="00470146">
        <w:rPr>
          <w:lang w:val="ru-RU"/>
        </w:rPr>
        <w:t>признает, что его законы и нормы в области электросвязи следует пересмотреть, с тем чтобы адаптировать их к конвергентным технологиям и содействовать их внедрению</w:t>
      </w:r>
      <w:proofErr w:type="gramStart"/>
      <w:r w:rsidRPr="00470146">
        <w:rPr>
          <w:lang w:val="ru-RU"/>
        </w:rPr>
        <w:t>.</w:t>
      </w:r>
      <w:proofErr w:type="gramEnd"/>
      <w:r w:rsidRPr="00470146">
        <w:rPr>
          <w:lang w:val="ru-RU"/>
        </w:rPr>
        <w:t xml:space="preserve"> </w:t>
      </w:r>
      <w:proofErr w:type="gramStart"/>
      <w:r w:rsidRPr="00470146">
        <w:rPr>
          <w:lang w:val="ru-RU"/>
        </w:rPr>
        <w:t>д</w:t>
      </w:r>
      <w:proofErr w:type="gramEnd"/>
      <w:r w:rsidRPr="00470146">
        <w:rPr>
          <w:lang w:val="ru-RU"/>
        </w:rPr>
        <w:t>ля осуществления таких реформ потребуется сотрудничество различных министерств и ведомств, в том числе Министерства почт и электросвязи (</w:t>
      </w:r>
      <w:proofErr w:type="spellStart"/>
      <w:r w:rsidRPr="00470146">
        <w:rPr>
          <w:lang w:val="ru-RU"/>
        </w:rPr>
        <w:t>MINPOSTEL</w:t>
      </w:r>
      <w:proofErr w:type="spellEnd"/>
      <w:r w:rsidRPr="00470146">
        <w:rPr>
          <w:lang w:val="ru-RU"/>
        </w:rPr>
        <w:t>), Министерства связи (</w:t>
      </w:r>
      <w:proofErr w:type="spellStart"/>
      <w:r w:rsidRPr="00470146">
        <w:rPr>
          <w:lang w:val="ru-RU"/>
        </w:rPr>
        <w:t>MINCOM</w:t>
      </w:r>
      <w:proofErr w:type="spellEnd"/>
      <w:r w:rsidRPr="00470146">
        <w:rPr>
          <w:lang w:val="ru-RU"/>
        </w:rPr>
        <w:t>), Управления регулирования электросвязи (</w:t>
      </w:r>
      <w:proofErr w:type="spellStart"/>
      <w:r w:rsidRPr="00470146">
        <w:rPr>
          <w:lang w:val="ru-RU"/>
        </w:rPr>
        <w:t>ART</w:t>
      </w:r>
      <w:proofErr w:type="spellEnd"/>
      <w:r w:rsidRPr="00470146">
        <w:rPr>
          <w:lang w:val="ru-RU"/>
        </w:rPr>
        <w:t>), Национального управления информационно-коммуникационных технологий (</w:t>
      </w:r>
      <w:proofErr w:type="spellStart"/>
      <w:r w:rsidRPr="00470146">
        <w:rPr>
          <w:lang w:val="ru-RU"/>
        </w:rPr>
        <w:t>ANTIC</w:t>
      </w:r>
      <w:proofErr w:type="spellEnd"/>
      <w:r w:rsidRPr="00470146">
        <w:rPr>
          <w:lang w:val="ru-RU"/>
        </w:rPr>
        <w:t>) и Национального совета по связи (</w:t>
      </w:r>
      <w:proofErr w:type="spellStart"/>
      <w:proofErr w:type="gramStart"/>
      <w:r w:rsidRPr="00470146">
        <w:rPr>
          <w:lang w:val="ru-RU"/>
        </w:rPr>
        <w:t>CNC</w:t>
      </w:r>
      <w:proofErr w:type="spellEnd"/>
      <w:r w:rsidRPr="00470146">
        <w:rPr>
          <w:lang w:val="ru-RU"/>
        </w:rPr>
        <w:t>).</w:t>
      </w:r>
      <w:proofErr w:type="gramEnd"/>
      <w:r w:rsidRPr="00470146">
        <w:rPr>
          <w:lang w:val="ru-RU"/>
        </w:rPr>
        <w:t xml:space="preserve"> Камерун должен также согласовать свои правовые рамки и нормы с Центральноафриканским валютно-экономическим сообществом (</w:t>
      </w:r>
      <w:proofErr w:type="spellStart"/>
      <w:r w:rsidRPr="00470146">
        <w:rPr>
          <w:lang w:val="ru-RU"/>
        </w:rPr>
        <w:t>ЦАВЭС</w:t>
      </w:r>
      <w:proofErr w:type="spellEnd"/>
      <w:r w:rsidRPr="00470146">
        <w:rPr>
          <w:lang w:val="ru-RU"/>
        </w:rPr>
        <w:t>).</w:t>
      </w:r>
    </w:p>
    <w:p w:rsidR="00470146" w:rsidRPr="00470146" w:rsidRDefault="00470146" w:rsidP="00470146">
      <w:pPr>
        <w:rPr>
          <w:lang w:val="ru-RU"/>
        </w:rPr>
      </w:pPr>
      <w:r w:rsidRPr="00470146">
        <w:rPr>
          <w:lang w:val="ru-RU"/>
        </w:rPr>
        <w:t xml:space="preserve">В 1998 году, с принятием закона об электросвязи, в Камеруне начался процесс либерализации – было создано </w:t>
      </w:r>
      <w:proofErr w:type="spellStart"/>
      <w:r w:rsidRPr="00470146">
        <w:rPr>
          <w:lang w:val="ru-RU"/>
        </w:rPr>
        <w:t>ART</w:t>
      </w:r>
      <w:proofErr w:type="spellEnd"/>
      <w:r w:rsidRPr="00470146">
        <w:rPr>
          <w:lang w:val="ru-RU"/>
        </w:rPr>
        <w:t xml:space="preserve"> как независимый регуляторный орган, отвечающий за регулирование и контроль сектора электросвязи, в том числе за управление использованием радиочастот для электросвязи</w:t>
      </w:r>
      <w:r w:rsidRPr="00FA5CF9">
        <w:rPr>
          <w:rStyle w:val="Verdana"/>
          <w:rFonts w:asciiTheme="majorBidi" w:hAnsiTheme="majorBidi" w:cstheme="majorBidi"/>
          <w:sz w:val="16"/>
          <w:szCs w:val="16"/>
          <w:lang w:val="ru-RU"/>
        </w:rPr>
        <w:footnoteReference w:id="31"/>
      </w:r>
      <w:r w:rsidRPr="00470146">
        <w:rPr>
          <w:lang w:val="ru-RU"/>
        </w:rPr>
        <w:t xml:space="preserve">. Хотя </w:t>
      </w:r>
      <w:proofErr w:type="spellStart"/>
      <w:r w:rsidRPr="00470146">
        <w:rPr>
          <w:lang w:val="ru-RU"/>
        </w:rPr>
        <w:t>ART</w:t>
      </w:r>
      <w:proofErr w:type="spellEnd"/>
      <w:r w:rsidRPr="00470146">
        <w:rPr>
          <w:lang w:val="ru-RU"/>
        </w:rPr>
        <w:t xml:space="preserve"> управляет использованием радиочастот для электросвязи, оно не уполномочено регулировать использование спектра. Взамен этого </w:t>
      </w:r>
      <w:proofErr w:type="spellStart"/>
      <w:r w:rsidRPr="00470146">
        <w:rPr>
          <w:lang w:val="ru-RU"/>
        </w:rPr>
        <w:t>MINPOSTEL</w:t>
      </w:r>
      <w:proofErr w:type="spellEnd"/>
      <w:r w:rsidRPr="00470146">
        <w:rPr>
          <w:lang w:val="ru-RU"/>
        </w:rPr>
        <w:t xml:space="preserve"> сохраняет полномочия по регулированию использования спектра для электросвязи, тогда как право регулировать использование спектра радиовещания предоставлено </w:t>
      </w:r>
      <w:proofErr w:type="spellStart"/>
      <w:r w:rsidRPr="00470146">
        <w:rPr>
          <w:lang w:val="ru-RU"/>
        </w:rPr>
        <w:t>MINCOM</w:t>
      </w:r>
      <w:proofErr w:type="spellEnd"/>
      <w:r w:rsidRPr="00470146">
        <w:rPr>
          <w:lang w:val="ru-RU"/>
        </w:rPr>
        <w:t>.</w:t>
      </w:r>
    </w:p>
    <w:p w:rsidR="00470146" w:rsidRPr="00470146" w:rsidRDefault="00470146" w:rsidP="00470146">
      <w:pPr>
        <w:rPr>
          <w:lang w:val="ru-RU"/>
        </w:rPr>
      </w:pPr>
      <w:r w:rsidRPr="00470146">
        <w:rPr>
          <w:lang w:val="ru-RU"/>
        </w:rPr>
        <w:t>Режим лицензирования установлен в Законе Камеруна об электросвязи и предусматривает три категории: концессии, разрешения и декларации.</w:t>
      </w:r>
    </w:p>
    <w:p w:rsidR="00470146" w:rsidRPr="00470146" w:rsidRDefault="00470146" w:rsidP="00470146">
      <w:pPr>
        <w:pStyle w:val="enumlev1"/>
      </w:pPr>
      <w:proofErr w:type="gramStart"/>
      <w:r w:rsidRPr="00470146">
        <w:t>•</w:t>
      </w:r>
      <w:r w:rsidRPr="00470146">
        <w:tab/>
      </w:r>
      <w:proofErr w:type="spellStart"/>
      <w:r w:rsidRPr="00470146">
        <w:t>Концессии</w:t>
      </w:r>
      <w:proofErr w:type="spellEnd"/>
      <w:r w:rsidRPr="00470146">
        <w:t xml:space="preserve"> </w:t>
      </w:r>
      <w:proofErr w:type="spellStart"/>
      <w:r w:rsidRPr="00470146">
        <w:t>предоставляют</w:t>
      </w:r>
      <w:proofErr w:type="spellEnd"/>
      <w:r w:rsidRPr="00470146">
        <w:t xml:space="preserve"> </w:t>
      </w:r>
      <w:proofErr w:type="spellStart"/>
      <w:r w:rsidRPr="00470146">
        <w:t>субъектам</w:t>
      </w:r>
      <w:proofErr w:type="spellEnd"/>
      <w:r w:rsidRPr="00470146">
        <w:t xml:space="preserve"> </w:t>
      </w:r>
      <w:proofErr w:type="spellStart"/>
      <w:r w:rsidRPr="00470146">
        <w:t>право</w:t>
      </w:r>
      <w:proofErr w:type="spellEnd"/>
      <w:r w:rsidRPr="00470146">
        <w:t xml:space="preserve"> </w:t>
      </w:r>
      <w:proofErr w:type="spellStart"/>
      <w:r w:rsidRPr="00470146">
        <w:t>создавать</w:t>
      </w:r>
      <w:proofErr w:type="spellEnd"/>
      <w:r w:rsidRPr="00470146">
        <w:t xml:space="preserve"> и/</w:t>
      </w:r>
      <w:proofErr w:type="spellStart"/>
      <w:r w:rsidRPr="00470146">
        <w:t>или</w:t>
      </w:r>
      <w:proofErr w:type="spellEnd"/>
      <w:r w:rsidRPr="00470146">
        <w:t xml:space="preserve"> </w:t>
      </w:r>
      <w:proofErr w:type="spellStart"/>
      <w:r w:rsidRPr="00470146">
        <w:t>эксплуатировать</w:t>
      </w:r>
      <w:proofErr w:type="spellEnd"/>
      <w:r w:rsidRPr="00470146">
        <w:t xml:space="preserve"> </w:t>
      </w:r>
      <w:proofErr w:type="spellStart"/>
      <w:r w:rsidRPr="00470146">
        <w:t>сети</w:t>
      </w:r>
      <w:proofErr w:type="spellEnd"/>
      <w:r w:rsidRPr="00470146">
        <w:t xml:space="preserve"> </w:t>
      </w:r>
      <w:proofErr w:type="spellStart"/>
      <w:r w:rsidRPr="00470146">
        <w:t>электросвязи</w:t>
      </w:r>
      <w:proofErr w:type="spellEnd"/>
      <w:r w:rsidRPr="00470146">
        <w:t xml:space="preserve"> </w:t>
      </w:r>
      <w:proofErr w:type="spellStart"/>
      <w:r w:rsidRPr="00470146">
        <w:t>общего</w:t>
      </w:r>
      <w:proofErr w:type="spellEnd"/>
      <w:r w:rsidRPr="00470146">
        <w:t xml:space="preserve"> </w:t>
      </w:r>
      <w:proofErr w:type="spellStart"/>
      <w:r w:rsidRPr="00470146">
        <w:t>пользования</w:t>
      </w:r>
      <w:proofErr w:type="spellEnd"/>
      <w:r w:rsidRPr="00470146">
        <w:t>.</w:t>
      </w:r>
      <w:proofErr w:type="gramEnd"/>
    </w:p>
    <w:p w:rsidR="00470146" w:rsidRPr="00470146" w:rsidRDefault="00470146" w:rsidP="00470146">
      <w:pPr>
        <w:pStyle w:val="enumlev1"/>
      </w:pPr>
      <w:proofErr w:type="gramStart"/>
      <w:r w:rsidRPr="00470146">
        <w:t>•</w:t>
      </w:r>
      <w:r w:rsidRPr="00470146">
        <w:tab/>
      </w:r>
      <w:proofErr w:type="spellStart"/>
      <w:r w:rsidRPr="00470146">
        <w:t>Разрешения</w:t>
      </w:r>
      <w:proofErr w:type="spellEnd"/>
      <w:r w:rsidRPr="00470146">
        <w:t xml:space="preserve"> </w:t>
      </w:r>
      <w:proofErr w:type="spellStart"/>
      <w:r w:rsidRPr="00470146">
        <w:t>дают</w:t>
      </w:r>
      <w:proofErr w:type="spellEnd"/>
      <w:r w:rsidRPr="00470146">
        <w:t xml:space="preserve"> </w:t>
      </w:r>
      <w:proofErr w:type="spellStart"/>
      <w:r w:rsidRPr="00470146">
        <w:t>субъектам</w:t>
      </w:r>
      <w:proofErr w:type="spellEnd"/>
      <w:r w:rsidRPr="00470146">
        <w:t xml:space="preserve"> </w:t>
      </w:r>
      <w:proofErr w:type="spellStart"/>
      <w:r w:rsidRPr="00470146">
        <w:t>право</w:t>
      </w:r>
      <w:proofErr w:type="spellEnd"/>
      <w:r w:rsidRPr="00470146">
        <w:t xml:space="preserve"> </w:t>
      </w:r>
      <w:proofErr w:type="spellStart"/>
      <w:r w:rsidRPr="00470146">
        <w:t>создавать</w:t>
      </w:r>
      <w:proofErr w:type="spellEnd"/>
      <w:r w:rsidRPr="00470146">
        <w:t xml:space="preserve"> </w:t>
      </w:r>
      <w:proofErr w:type="spellStart"/>
      <w:r w:rsidRPr="00470146">
        <w:t>сети</w:t>
      </w:r>
      <w:proofErr w:type="spellEnd"/>
      <w:r w:rsidRPr="00470146">
        <w:t xml:space="preserve"> </w:t>
      </w:r>
      <w:proofErr w:type="spellStart"/>
      <w:r w:rsidRPr="00470146">
        <w:t>электросвязи</w:t>
      </w:r>
      <w:proofErr w:type="spellEnd"/>
      <w:r w:rsidRPr="00470146">
        <w:t xml:space="preserve"> с </w:t>
      </w:r>
      <w:proofErr w:type="spellStart"/>
      <w:r w:rsidRPr="00470146">
        <w:t>целью</w:t>
      </w:r>
      <w:proofErr w:type="spellEnd"/>
      <w:r w:rsidRPr="00470146">
        <w:t xml:space="preserve"> </w:t>
      </w:r>
      <w:proofErr w:type="spellStart"/>
      <w:r w:rsidRPr="00470146">
        <w:t>предложения</w:t>
      </w:r>
      <w:proofErr w:type="spellEnd"/>
      <w:r w:rsidRPr="00470146">
        <w:t xml:space="preserve"> </w:t>
      </w:r>
      <w:proofErr w:type="spellStart"/>
      <w:r w:rsidRPr="00470146">
        <w:t>услуг</w:t>
      </w:r>
      <w:proofErr w:type="spellEnd"/>
      <w:r w:rsidRPr="00470146">
        <w:t xml:space="preserve"> </w:t>
      </w:r>
      <w:proofErr w:type="spellStart"/>
      <w:r w:rsidRPr="00470146">
        <w:t>электросвязи</w:t>
      </w:r>
      <w:proofErr w:type="spellEnd"/>
      <w:r w:rsidRPr="00470146">
        <w:t xml:space="preserve"> </w:t>
      </w:r>
      <w:proofErr w:type="spellStart"/>
      <w:r w:rsidRPr="00470146">
        <w:t>общего</w:t>
      </w:r>
      <w:proofErr w:type="spellEnd"/>
      <w:r w:rsidRPr="00470146">
        <w:t xml:space="preserve"> </w:t>
      </w:r>
      <w:proofErr w:type="spellStart"/>
      <w:r w:rsidRPr="00470146">
        <w:t>пользования</w:t>
      </w:r>
      <w:proofErr w:type="spellEnd"/>
      <w:r w:rsidRPr="00470146">
        <w:t xml:space="preserve">, </w:t>
      </w:r>
      <w:proofErr w:type="spellStart"/>
      <w:r w:rsidRPr="00470146">
        <w:t>помимо</w:t>
      </w:r>
      <w:proofErr w:type="spellEnd"/>
      <w:r w:rsidRPr="00470146">
        <w:t xml:space="preserve"> </w:t>
      </w:r>
      <w:proofErr w:type="spellStart"/>
      <w:r w:rsidRPr="00470146">
        <w:t>базовых</w:t>
      </w:r>
      <w:proofErr w:type="spellEnd"/>
      <w:r w:rsidRPr="00470146">
        <w:t xml:space="preserve"> </w:t>
      </w:r>
      <w:proofErr w:type="spellStart"/>
      <w:r w:rsidRPr="00470146">
        <w:t>услуг</w:t>
      </w:r>
      <w:proofErr w:type="spellEnd"/>
      <w:r w:rsidRPr="00470146">
        <w:t xml:space="preserve"> </w:t>
      </w:r>
      <w:proofErr w:type="spellStart"/>
      <w:r w:rsidRPr="00470146">
        <w:t>электросвязи</w:t>
      </w:r>
      <w:proofErr w:type="spellEnd"/>
      <w:r w:rsidRPr="00470146">
        <w:t xml:space="preserve">, </w:t>
      </w:r>
      <w:proofErr w:type="spellStart"/>
      <w:r w:rsidRPr="00470146">
        <w:t>таких</w:t>
      </w:r>
      <w:proofErr w:type="spellEnd"/>
      <w:r w:rsidRPr="00470146">
        <w:t xml:space="preserve"> </w:t>
      </w:r>
      <w:proofErr w:type="spellStart"/>
      <w:r w:rsidRPr="00470146">
        <w:t>как</w:t>
      </w:r>
      <w:proofErr w:type="spellEnd"/>
      <w:r w:rsidRPr="00470146">
        <w:t xml:space="preserve"> интернет и </w:t>
      </w:r>
      <w:proofErr w:type="spellStart"/>
      <w:r w:rsidRPr="00470146">
        <w:t>услуги</w:t>
      </w:r>
      <w:proofErr w:type="spellEnd"/>
      <w:r w:rsidRPr="00470146">
        <w:t xml:space="preserve">, </w:t>
      </w:r>
      <w:proofErr w:type="spellStart"/>
      <w:r w:rsidRPr="00470146">
        <w:t>предоставляемые</w:t>
      </w:r>
      <w:proofErr w:type="spellEnd"/>
      <w:r w:rsidRPr="00470146">
        <w:t xml:space="preserve"> </w:t>
      </w:r>
      <w:proofErr w:type="spellStart"/>
      <w:r w:rsidRPr="00470146">
        <w:t>за</w:t>
      </w:r>
      <w:proofErr w:type="spellEnd"/>
      <w:r w:rsidRPr="00470146">
        <w:t xml:space="preserve"> </w:t>
      </w:r>
      <w:proofErr w:type="spellStart"/>
      <w:r w:rsidRPr="00470146">
        <w:t>дополнительную</w:t>
      </w:r>
      <w:proofErr w:type="spellEnd"/>
      <w:r w:rsidRPr="00470146">
        <w:t xml:space="preserve"> </w:t>
      </w:r>
      <w:proofErr w:type="spellStart"/>
      <w:r w:rsidRPr="00470146">
        <w:t>плату</w:t>
      </w:r>
      <w:proofErr w:type="spellEnd"/>
      <w:r w:rsidRPr="00470146">
        <w:t>.</w:t>
      </w:r>
      <w:proofErr w:type="gramEnd"/>
      <w:r w:rsidRPr="00470146">
        <w:t xml:space="preserve"> </w:t>
      </w:r>
      <w:proofErr w:type="spellStart"/>
      <w:proofErr w:type="gramStart"/>
      <w:r w:rsidRPr="00470146">
        <w:t>Для</w:t>
      </w:r>
      <w:proofErr w:type="spellEnd"/>
      <w:r w:rsidRPr="00470146">
        <w:t xml:space="preserve"> </w:t>
      </w:r>
      <w:proofErr w:type="spellStart"/>
      <w:r w:rsidRPr="00470146">
        <w:t>получения</w:t>
      </w:r>
      <w:proofErr w:type="spellEnd"/>
      <w:r w:rsidRPr="00470146">
        <w:t xml:space="preserve"> </w:t>
      </w:r>
      <w:proofErr w:type="spellStart"/>
      <w:r w:rsidRPr="00470146">
        <w:t>таких</w:t>
      </w:r>
      <w:proofErr w:type="spellEnd"/>
      <w:r w:rsidRPr="00470146">
        <w:t xml:space="preserve"> </w:t>
      </w:r>
      <w:proofErr w:type="spellStart"/>
      <w:r w:rsidRPr="00470146">
        <w:t>разрешений</w:t>
      </w:r>
      <w:proofErr w:type="spellEnd"/>
      <w:r w:rsidRPr="00470146">
        <w:t xml:space="preserve"> </w:t>
      </w:r>
      <w:proofErr w:type="spellStart"/>
      <w:r w:rsidRPr="00470146">
        <w:t>требуются</w:t>
      </w:r>
      <w:proofErr w:type="spellEnd"/>
      <w:r w:rsidRPr="00470146">
        <w:t xml:space="preserve"> </w:t>
      </w:r>
      <w:proofErr w:type="spellStart"/>
      <w:r w:rsidRPr="00470146">
        <w:t>лицензии</w:t>
      </w:r>
      <w:proofErr w:type="spellEnd"/>
      <w:r w:rsidRPr="00470146">
        <w:t xml:space="preserve">, и </w:t>
      </w:r>
      <w:proofErr w:type="spellStart"/>
      <w:r w:rsidRPr="00470146">
        <w:t>таким</w:t>
      </w:r>
      <w:proofErr w:type="spellEnd"/>
      <w:r w:rsidRPr="00470146">
        <w:t xml:space="preserve"> </w:t>
      </w:r>
      <w:proofErr w:type="spellStart"/>
      <w:r w:rsidRPr="00470146">
        <w:t>образом</w:t>
      </w:r>
      <w:proofErr w:type="spellEnd"/>
      <w:r w:rsidRPr="00470146">
        <w:t xml:space="preserve"> </w:t>
      </w:r>
      <w:proofErr w:type="spellStart"/>
      <w:r w:rsidRPr="00470146">
        <w:t>операторы</w:t>
      </w:r>
      <w:proofErr w:type="spellEnd"/>
      <w:r w:rsidRPr="00470146">
        <w:t xml:space="preserve"> </w:t>
      </w:r>
      <w:proofErr w:type="spellStart"/>
      <w:r w:rsidRPr="00470146">
        <w:t>могут</w:t>
      </w:r>
      <w:proofErr w:type="spellEnd"/>
      <w:r w:rsidRPr="00470146">
        <w:t xml:space="preserve"> </w:t>
      </w:r>
      <w:proofErr w:type="spellStart"/>
      <w:r w:rsidRPr="00470146">
        <w:t>иметь</w:t>
      </w:r>
      <w:proofErr w:type="spellEnd"/>
      <w:r w:rsidRPr="00470146">
        <w:t xml:space="preserve"> </w:t>
      </w:r>
      <w:proofErr w:type="spellStart"/>
      <w:r w:rsidRPr="00470146">
        <w:t>лицензии</w:t>
      </w:r>
      <w:proofErr w:type="spellEnd"/>
      <w:r w:rsidRPr="00470146">
        <w:t xml:space="preserve"> </w:t>
      </w:r>
      <w:proofErr w:type="spellStart"/>
      <w:r w:rsidRPr="00470146">
        <w:t>нескольких</w:t>
      </w:r>
      <w:proofErr w:type="spellEnd"/>
      <w:r w:rsidRPr="00470146">
        <w:t xml:space="preserve"> </w:t>
      </w:r>
      <w:proofErr w:type="spellStart"/>
      <w:r w:rsidRPr="00470146">
        <w:t>типов</w:t>
      </w:r>
      <w:proofErr w:type="spellEnd"/>
      <w:r w:rsidRPr="00470146">
        <w:t>.</w:t>
      </w:r>
      <w:proofErr w:type="gramEnd"/>
    </w:p>
    <w:p w:rsidR="00470146" w:rsidRPr="00470146" w:rsidRDefault="00470146" w:rsidP="00470146">
      <w:pPr>
        <w:pStyle w:val="enumlev1"/>
      </w:pPr>
      <w:r w:rsidRPr="00470146">
        <w:t>•</w:t>
      </w:r>
      <w:r w:rsidRPr="00470146">
        <w:tab/>
      </w:r>
      <w:proofErr w:type="spellStart"/>
      <w:r w:rsidRPr="00470146">
        <w:t>Декларации</w:t>
      </w:r>
      <w:proofErr w:type="spellEnd"/>
      <w:r w:rsidRPr="00470146">
        <w:t xml:space="preserve"> </w:t>
      </w:r>
      <w:proofErr w:type="spellStart"/>
      <w:r w:rsidRPr="00470146">
        <w:t>позволяют</w:t>
      </w:r>
      <w:proofErr w:type="spellEnd"/>
      <w:r w:rsidRPr="00470146">
        <w:t xml:space="preserve"> </w:t>
      </w:r>
      <w:proofErr w:type="spellStart"/>
      <w:r w:rsidRPr="00470146">
        <w:t>субъектам</w:t>
      </w:r>
      <w:proofErr w:type="spellEnd"/>
      <w:r w:rsidRPr="00470146">
        <w:t xml:space="preserve"> </w:t>
      </w:r>
      <w:proofErr w:type="spellStart"/>
      <w:r w:rsidRPr="00470146">
        <w:t>создавать</w:t>
      </w:r>
      <w:proofErr w:type="spellEnd"/>
      <w:r w:rsidRPr="00470146">
        <w:t xml:space="preserve"> </w:t>
      </w:r>
      <w:proofErr w:type="spellStart"/>
      <w:r w:rsidRPr="00470146">
        <w:t>частные</w:t>
      </w:r>
      <w:proofErr w:type="spellEnd"/>
      <w:r w:rsidRPr="00470146">
        <w:t xml:space="preserve"> </w:t>
      </w:r>
      <w:proofErr w:type="spellStart"/>
      <w:r w:rsidRPr="00470146">
        <w:t>сети</w:t>
      </w:r>
      <w:proofErr w:type="spellEnd"/>
      <w:r w:rsidRPr="00470146">
        <w:t xml:space="preserve"> </w:t>
      </w:r>
      <w:proofErr w:type="spellStart"/>
      <w:r w:rsidRPr="00470146">
        <w:t>малого</w:t>
      </w:r>
      <w:proofErr w:type="spellEnd"/>
      <w:r w:rsidRPr="00470146">
        <w:t xml:space="preserve"> </w:t>
      </w:r>
      <w:proofErr w:type="spellStart"/>
      <w:r w:rsidRPr="00470146">
        <w:t>диапазона</w:t>
      </w:r>
      <w:proofErr w:type="spellEnd"/>
      <w:r w:rsidRPr="00470146">
        <w:t xml:space="preserve"> и </w:t>
      </w:r>
      <w:proofErr w:type="spellStart"/>
      <w:r w:rsidRPr="00470146">
        <w:t>малой</w:t>
      </w:r>
      <w:proofErr w:type="spellEnd"/>
      <w:r w:rsidRPr="00470146">
        <w:t xml:space="preserve"> </w:t>
      </w:r>
      <w:proofErr w:type="spellStart"/>
      <w:r w:rsidRPr="00470146">
        <w:t>мощности</w:t>
      </w:r>
      <w:proofErr w:type="spellEnd"/>
      <w:r w:rsidRPr="00470146">
        <w:t xml:space="preserve"> </w:t>
      </w:r>
    </w:p>
    <w:p w:rsidR="00470146" w:rsidRPr="00470146" w:rsidRDefault="00470146" w:rsidP="00470146">
      <w:pPr>
        <w:pStyle w:val="Heading3"/>
        <w:rPr>
          <w:rStyle w:val="FootnoteReference"/>
          <w:position w:val="0"/>
          <w:sz w:val="22"/>
          <w:szCs w:val="16"/>
        </w:rPr>
      </w:pPr>
      <w:bookmarkStart w:id="60" w:name="_Toc262721865"/>
      <w:r w:rsidRPr="00470146">
        <w:rPr>
          <w:szCs w:val="18"/>
        </w:rPr>
        <w:t>4.2.3</w:t>
      </w:r>
      <w:r w:rsidRPr="00470146">
        <w:rPr>
          <w:szCs w:val="18"/>
        </w:rPr>
        <w:tab/>
      </w:r>
      <w:proofErr w:type="spellStart"/>
      <w:r w:rsidRPr="00470146">
        <w:rPr>
          <w:szCs w:val="18"/>
        </w:rPr>
        <w:t>Китай</w:t>
      </w:r>
      <w:proofErr w:type="spellEnd"/>
      <w:r w:rsidRPr="00470146">
        <w:rPr>
          <w:rStyle w:val="Verdana"/>
          <w:rFonts w:ascii="Times New Roman" w:hAnsi="Times New Roman"/>
          <w:b w:val="0"/>
          <w:bCs/>
          <w:sz w:val="16"/>
          <w:szCs w:val="16"/>
        </w:rPr>
        <w:footnoteReference w:id="32"/>
      </w:r>
      <w:bookmarkEnd w:id="60"/>
    </w:p>
    <w:p w:rsidR="00470146" w:rsidRPr="00470146" w:rsidRDefault="00470146" w:rsidP="00470146">
      <w:pPr>
        <w:rPr>
          <w:lang w:val="ru-RU"/>
        </w:rPr>
      </w:pPr>
      <w:r w:rsidRPr="00470146">
        <w:rPr>
          <w:lang w:val="ru-RU"/>
        </w:rPr>
        <w:t>В Китае серьезной</w:t>
      </w:r>
      <w:r w:rsidRPr="00470146">
        <w:rPr>
          <w:rStyle w:val="FootnoteReference"/>
          <w:rFonts w:asciiTheme="majorBidi" w:hAnsiTheme="majorBidi" w:cstheme="majorBidi"/>
          <w:bCs/>
          <w:sz w:val="22"/>
          <w:szCs w:val="22"/>
          <w:vertAlign w:val="superscript"/>
          <w:lang w:val="ru-RU"/>
        </w:rPr>
        <w:t xml:space="preserve"> </w:t>
      </w:r>
      <w:r w:rsidRPr="00470146">
        <w:rPr>
          <w:lang w:val="ru-RU"/>
        </w:rPr>
        <w:t xml:space="preserve">проблемой в области регулирования электросвязи является адаптация к конвергентной рыночной среде. По мере развития новых технологий и услуг конвергенция превратилась в основную тенденцию в отрасли электросвязи всего мира. Происходит конвергенция сетей фиксированной и подвижной связи; сетей электросвязи, интернета, радиовещания и телевидения; и элементов сетей последующих поколений. </w:t>
      </w:r>
    </w:p>
    <w:p w:rsidR="00470146" w:rsidRPr="00470146" w:rsidRDefault="00470146" w:rsidP="00470146">
      <w:pPr>
        <w:rPr>
          <w:lang w:val="ru-RU"/>
        </w:rPr>
      </w:pPr>
      <w:r w:rsidRPr="00470146">
        <w:rPr>
          <w:lang w:val="ru-RU"/>
        </w:rPr>
        <w:t xml:space="preserve">Правительство Китая придает большое значение конвергенции этих трех сетей. В 2001 году на четвертом съезде Всекитайского собрания народных представителей, принявшем десятый пятилетний план, было заявлено, что страна будет содействовать конвергенции отраслей электросвязи, телевидения и компьютерной отрасли. В 2005 году в одиннадцатом пятилетнем плане было заявлено, что способность информационной инфраструктуры к адаптации должна удовлетворять потребности в информатизации, что значительно повысится потенциал универсального обслуживания, в целом, </w:t>
      </w:r>
      <w:proofErr w:type="gramStart"/>
      <w:r w:rsidRPr="00470146">
        <w:rPr>
          <w:lang w:val="ru-RU"/>
        </w:rPr>
        <w:t>возможно</w:t>
      </w:r>
      <w:proofErr w:type="gramEnd"/>
      <w:r w:rsidRPr="00470146">
        <w:rPr>
          <w:lang w:val="ru-RU"/>
        </w:rPr>
        <w:t xml:space="preserve"> осуществить конвергенцию трех видов сетей и создать предварительный механизм совместного использования информации.</w:t>
      </w:r>
    </w:p>
    <w:p w:rsidR="00470146" w:rsidRPr="00470146" w:rsidRDefault="00470146" w:rsidP="00470146">
      <w:pPr>
        <w:rPr>
          <w:lang w:val="ru-RU"/>
        </w:rPr>
      </w:pPr>
      <w:r w:rsidRPr="00470146">
        <w:rPr>
          <w:lang w:val="ru-RU"/>
        </w:rPr>
        <w:t>В рамках системы регулирования Китая функционируют два независимых органа. Министерство промышленности и информационных технологий (</w:t>
      </w:r>
      <w:proofErr w:type="spellStart"/>
      <w:r w:rsidRPr="00470146">
        <w:rPr>
          <w:lang w:val="ru-RU"/>
        </w:rPr>
        <w:t>MIIT</w:t>
      </w:r>
      <w:proofErr w:type="spellEnd"/>
      <w:r w:rsidRPr="00470146">
        <w:rPr>
          <w:lang w:val="ru-RU"/>
        </w:rPr>
        <w:t xml:space="preserve">) отвечает за строительство, эксплуатацию сетей электросвязи и интернета и управление ими и было создано прошедшим в 2008 году съездом Всекитайского собрания народных представителей в результате слияния четырех существовавших </w:t>
      </w:r>
      <w:r w:rsidRPr="00470146">
        <w:rPr>
          <w:lang w:val="ru-RU"/>
        </w:rPr>
        <w:lastRenderedPageBreak/>
        <w:t>ранее министерств. Государственное управление радио, кино и телевидения (</w:t>
      </w:r>
      <w:proofErr w:type="spellStart"/>
      <w:r w:rsidRPr="00470146">
        <w:rPr>
          <w:lang w:val="ru-RU"/>
        </w:rPr>
        <w:t>SARFT</w:t>
      </w:r>
      <w:proofErr w:type="spellEnd"/>
      <w:r w:rsidRPr="00470146">
        <w:rPr>
          <w:lang w:val="ru-RU"/>
        </w:rPr>
        <w:t xml:space="preserve">) отвечает за </w:t>
      </w:r>
      <w:proofErr w:type="spellStart"/>
      <w:r w:rsidRPr="00470146">
        <w:rPr>
          <w:lang w:val="ru-RU"/>
        </w:rPr>
        <w:t>контент</w:t>
      </w:r>
      <w:proofErr w:type="spellEnd"/>
      <w:r w:rsidRPr="00470146">
        <w:rPr>
          <w:lang w:val="ru-RU"/>
        </w:rPr>
        <w:t xml:space="preserve"> радиовещательных и телевизионных услуг.</w:t>
      </w:r>
    </w:p>
    <w:p w:rsidR="00470146" w:rsidRPr="00470146" w:rsidRDefault="00470146" w:rsidP="00470146">
      <w:pPr>
        <w:rPr>
          <w:lang w:val="ru-RU"/>
        </w:rPr>
      </w:pPr>
      <w:r w:rsidRPr="00470146">
        <w:rPr>
          <w:lang w:val="ru-RU"/>
        </w:rPr>
        <w:t xml:space="preserve">В некоторых крупных городах Китая предлагаются такие новые услуги, как </w:t>
      </w:r>
      <w:proofErr w:type="spellStart"/>
      <w:r w:rsidRPr="00470146">
        <w:rPr>
          <w:lang w:val="ru-RU"/>
        </w:rPr>
        <w:t>IPTV</w:t>
      </w:r>
      <w:proofErr w:type="spellEnd"/>
      <w:r w:rsidRPr="00470146">
        <w:rPr>
          <w:lang w:val="ru-RU"/>
        </w:rPr>
        <w:t xml:space="preserve"> и мобильное телевидение, и </w:t>
      </w:r>
      <w:proofErr w:type="spellStart"/>
      <w:r w:rsidRPr="00470146">
        <w:rPr>
          <w:lang w:val="ru-RU"/>
        </w:rPr>
        <w:t>MIIT</w:t>
      </w:r>
      <w:proofErr w:type="spellEnd"/>
      <w:r w:rsidRPr="00470146">
        <w:rPr>
          <w:lang w:val="ru-RU"/>
        </w:rPr>
        <w:t xml:space="preserve"> активно поощряет развертывание этих новых приложений.</w:t>
      </w:r>
    </w:p>
    <w:p w:rsidR="00470146" w:rsidRPr="00470146" w:rsidRDefault="00470146" w:rsidP="00470146">
      <w:pPr>
        <w:pStyle w:val="Heading3"/>
        <w:rPr>
          <w:rStyle w:val="FootnoteReference"/>
          <w:position w:val="0"/>
          <w:sz w:val="22"/>
          <w:szCs w:val="16"/>
        </w:rPr>
      </w:pPr>
      <w:bookmarkStart w:id="61" w:name="_Toc262721866"/>
      <w:r w:rsidRPr="00470146">
        <w:rPr>
          <w:szCs w:val="18"/>
        </w:rPr>
        <w:t>4.2.4</w:t>
      </w:r>
      <w:r w:rsidRPr="00470146">
        <w:rPr>
          <w:szCs w:val="18"/>
        </w:rPr>
        <w:tab/>
      </w:r>
      <w:proofErr w:type="spellStart"/>
      <w:r w:rsidRPr="00470146">
        <w:rPr>
          <w:szCs w:val="18"/>
        </w:rPr>
        <w:t>Непал</w:t>
      </w:r>
      <w:proofErr w:type="spellEnd"/>
      <w:r w:rsidRPr="00FA5CF9">
        <w:rPr>
          <w:rStyle w:val="Verdana"/>
          <w:rFonts w:ascii="Times New Roman" w:hAnsi="Times New Roman"/>
          <w:b w:val="0"/>
          <w:bCs/>
          <w:sz w:val="16"/>
          <w:szCs w:val="16"/>
        </w:rPr>
        <w:footnoteReference w:id="33"/>
      </w:r>
      <w:bookmarkEnd w:id="61"/>
    </w:p>
    <w:p w:rsidR="00470146" w:rsidRPr="00470146" w:rsidRDefault="00470146" w:rsidP="00470146">
      <w:pPr>
        <w:rPr>
          <w:lang w:val="ru-RU"/>
        </w:rPr>
      </w:pPr>
      <w:proofErr w:type="gramStart"/>
      <w:r w:rsidRPr="00470146">
        <w:rPr>
          <w:lang w:val="ru-RU"/>
        </w:rPr>
        <w:t>К числу основных</w:t>
      </w:r>
      <w:r w:rsidRPr="00470146">
        <w:rPr>
          <w:rStyle w:val="FootnoteReference"/>
          <w:rFonts w:asciiTheme="majorBidi" w:hAnsiTheme="majorBidi" w:cstheme="majorBidi"/>
          <w:sz w:val="22"/>
          <w:szCs w:val="22"/>
          <w:vertAlign w:val="superscript"/>
          <w:lang w:val="ru-RU"/>
        </w:rPr>
        <w:t xml:space="preserve"> </w:t>
      </w:r>
      <w:r w:rsidRPr="00470146">
        <w:rPr>
          <w:lang w:val="ru-RU"/>
        </w:rPr>
        <w:t>учреждений, которые в Непале регулируют секторы электросвязи, радиовещания информационных технологий, относятся Управление электросвязи Непала (</w:t>
      </w:r>
      <w:proofErr w:type="spellStart"/>
      <w:r w:rsidRPr="00470146">
        <w:rPr>
          <w:lang w:val="ru-RU"/>
        </w:rPr>
        <w:t>NTA</w:t>
      </w:r>
      <w:proofErr w:type="spellEnd"/>
      <w:r w:rsidRPr="00470146">
        <w:rPr>
          <w:lang w:val="ru-RU"/>
        </w:rPr>
        <w:t xml:space="preserve">) </w:t>
      </w:r>
      <w:r w:rsidRPr="00470146">
        <w:rPr>
          <w:lang w:val="ru-RU"/>
        </w:rPr>
        <w:sym w:font="Symbol" w:char="F02D"/>
      </w:r>
      <w:r w:rsidRPr="00470146">
        <w:rPr>
          <w:lang w:val="ru-RU"/>
        </w:rPr>
        <w:t xml:space="preserve"> по электросвязи, Министерство информации и связи (</w:t>
      </w:r>
      <w:proofErr w:type="spellStart"/>
      <w:r w:rsidRPr="00470146">
        <w:rPr>
          <w:lang w:val="ru-RU"/>
        </w:rPr>
        <w:t>MOIC</w:t>
      </w:r>
      <w:proofErr w:type="spellEnd"/>
      <w:r w:rsidRPr="00470146">
        <w:rPr>
          <w:lang w:val="ru-RU"/>
        </w:rPr>
        <w:t xml:space="preserve">) </w:t>
      </w:r>
      <w:r w:rsidRPr="00470146">
        <w:rPr>
          <w:lang w:val="ru-RU"/>
        </w:rPr>
        <w:sym w:font="Symbol" w:char="F02D"/>
      </w:r>
      <w:r w:rsidRPr="00470146">
        <w:rPr>
          <w:lang w:val="ru-RU"/>
        </w:rPr>
        <w:t xml:space="preserve"> по радиовещанию и Министерство науки и техники (</w:t>
      </w:r>
      <w:proofErr w:type="spellStart"/>
      <w:r w:rsidRPr="00470146">
        <w:rPr>
          <w:lang w:val="ru-RU"/>
        </w:rPr>
        <w:t>MOST</w:t>
      </w:r>
      <w:proofErr w:type="spellEnd"/>
      <w:r w:rsidRPr="00470146">
        <w:rPr>
          <w:lang w:val="ru-RU"/>
        </w:rPr>
        <w:t xml:space="preserve">) </w:t>
      </w:r>
      <w:r w:rsidRPr="00470146">
        <w:rPr>
          <w:lang w:val="ru-RU"/>
        </w:rPr>
        <w:sym w:font="Symbol" w:char="F02D"/>
      </w:r>
      <w:r w:rsidRPr="00470146">
        <w:rPr>
          <w:lang w:val="ru-RU"/>
        </w:rPr>
        <w:t xml:space="preserve"> в секторе ИТ. </w:t>
      </w:r>
      <w:proofErr w:type="spellStart"/>
      <w:r w:rsidRPr="00470146">
        <w:rPr>
          <w:lang w:val="ru-RU"/>
        </w:rPr>
        <w:t>NTA</w:t>
      </w:r>
      <w:proofErr w:type="spellEnd"/>
      <w:r w:rsidRPr="00470146">
        <w:rPr>
          <w:lang w:val="ru-RU"/>
        </w:rPr>
        <w:t xml:space="preserve"> является независимым регуляторным органом, но на практике </w:t>
      </w:r>
      <w:proofErr w:type="spellStart"/>
      <w:r w:rsidRPr="00470146">
        <w:rPr>
          <w:lang w:val="ru-RU"/>
        </w:rPr>
        <w:t>MOIC</w:t>
      </w:r>
      <w:proofErr w:type="spellEnd"/>
      <w:r w:rsidRPr="00470146">
        <w:rPr>
          <w:lang w:val="ru-RU"/>
        </w:rPr>
        <w:t xml:space="preserve"> является основным действующим лицом в секторе электросвязи.</w:t>
      </w:r>
      <w:proofErr w:type="gramEnd"/>
      <w:r w:rsidRPr="00470146">
        <w:rPr>
          <w:lang w:val="ru-RU"/>
        </w:rPr>
        <w:t xml:space="preserve"> </w:t>
      </w:r>
      <w:proofErr w:type="spellStart"/>
      <w:r w:rsidRPr="00470146">
        <w:rPr>
          <w:lang w:val="ru-RU"/>
        </w:rPr>
        <w:t>MOIC</w:t>
      </w:r>
      <w:proofErr w:type="spellEnd"/>
      <w:r w:rsidRPr="00470146">
        <w:rPr>
          <w:lang w:val="ru-RU"/>
        </w:rPr>
        <w:t xml:space="preserve"> также является высшим органом страны, ответственным за разработку политики в области радиовещания. Таким образом, </w:t>
      </w:r>
      <w:proofErr w:type="spellStart"/>
      <w:r w:rsidRPr="00470146">
        <w:rPr>
          <w:lang w:val="ru-RU"/>
        </w:rPr>
        <w:t>MOIC</w:t>
      </w:r>
      <w:proofErr w:type="spellEnd"/>
      <w:r w:rsidRPr="00470146">
        <w:rPr>
          <w:lang w:val="ru-RU"/>
        </w:rPr>
        <w:t xml:space="preserve"> и </w:t>
      </w:r>
      <w:proofErr w:type="spellStart"/>
      <w:r w:rsidRPr="00470146">
        <w:rPr>
          <w:lang w:val="ru-RU"/>
        </w:rPr>
        <w:t>NTA</w:t>
      </w:r>
      <w:proofErr w:type="spellEnd"/>
      <w:r w:rsidRPr="00470146">
        <w:rPr>
          <w:lang w:val="ru-RU"/>
        </w:rPr>
        <w:t xml:space="preserve"> совместно несут ответственность за руководство поставщиками услуг электросвязи, тогда как </w:t>
      </w:r>
      <w:proofErr w:type="spellStart"/>
      <w:r w:rsidRPr="00470146">
        <w:rPr>
          <w:lang w:val="ru-RU"/>
        </w:rPr>
        <w:t>MOIC</w:t>
      </w:r>
      <w:proofErr w:type="spellEnd"/>
      <w:r w:rsidRPr="00470146">
        <w:rPr>
          <w:lang w:val="ru-RU"/>
        </w:rPr>
        <w:t xml:space="preserve"> является единственным органом, обладающим властью над радиовещательными и телевизионными организациями.</w:t>
      </w:r>
    </w:p>
    <w:p w:rsidR="00470146" w:rsidRPr="00470146" w:rsidRDefault="00470146" w:rsidP="00470146">
      <w:pPr>
        <w:rPr>
          <w:lang w:val="ru-RU"/>
        </w:rPr>
      </w:pPr>
      <w:r w:rsidRPr="00470146">
        <w:rPr>
          <w:lang w:val="ru-RU"/>
        </w:rPr>
        <w:t xml:space="preserve">Что касается управления использованием спектра, под эгидой </w:t>
      </w:r>
      <w:proofErr w:type="spellStart"/>
      <w:r w:rsidRPr="00470146">
        <w:rPr>
          <w:lang w:val="ru-RU"/>
        </w:rPr>
        <w:t>MOIC</w:t>
      </w:r>
      <w:proofErr w:type="spellEnd"/>
      <w:r w:rsidRPr="00470146">
        <w:rPr>
          <w:lang w:val="ru-RU"/>
        </w:rPr>
        <w:t xml:space="preserve"> функционирует комитет высокого уровня, куда входят специалисты различных министерств и </w:t>
      </w:r>
      <w:proofErr w:type="spellStart"/>
      <w:r w:rsidRPr="00470146">
        <w:rPr>
          <w:lang w:val="ru-RU"/>
        </w:rPr>
        <w:t>NTA</w:t>
      </w:r>
      <w:proofErr w:type="spellEnd"/>
      <w:r w:rsidRPr="00470146">
        <w:rPr>
          <w:lang w:val="ru-RU"/>
        </w:rPr>
        <w:t>. В результате ни один отдельно взятый орган не осуществляет руководство управлением использованием спектра.</w:t>
      </w:r>
    </w:p>
    <w:p w:rsidR="00470146" w:rsidRPr="00470146" w:rsidRDefault="00470146" w:rsidP="00470146">
      <w:pPr>
        <w:rPr>
          <w:lang w:val="ru-RU"/>
        </w:rPr>
      </w:pPr>
      <w:r w:rsidRPr="00470146">
        <w:rPr>
          <w:lang w:val="ru-RU"/>
        </w:rPr>
        <w:t xml:space="preserve">В Непале конвергенция вызвала обсуждение классификации определенных услуг электросвязи и радиовещания. По мере размывания граней между передачей данных, радиовещанием и передачей голоса на регуляторные органы возлагаются задачи классификации </w:t>
      </w:r>
      <w:proofErr w:type="spellStart"/>
      <w:r w:rsidRPr="00470146">
        <w:rPr>
          <w:lang w:val="ru-RU"/>
        </w:rPr>
        <w:t>конвергирующих</w:t>
      </w:r>
      <w:proofErr w:type="spellEnd"/>
      <w:r w:rsidRPr="00470146">
        <w:rPr>
          <w:lang w:val="ru-RU"/>
        </w:rPr>
        <w:t xml:space="preserve"> элементов сектора связи. Ввиду этого регуляторная система в Непале испытывает сложности, обусловливаемые тенденцией к конвергенции. Поскольку разграничение ответственности в регуляторной сфере и в юрисдикциях основывается на том, является ли поставщик в основном поставщиком услуг электросвязи, радиовещания или услуг </w:t>
      </w:r>
      <w:proofErr w:type="spellStart"/>
      <w:proofErr w:type="gramStart"/>
      <w:r w:rsidRPr="00470146">
        <w:rPr>
          <w:lang w:val="ru-RU"/>
        </w:rPr>
        <w:t>ИТ</w:t>
      </w:r>
      <w:proofErr w:type="spellEnd"/>
      <w:proofErr w:type="gramEnd"/>
      <w:r w:rsidRPr="00470146">
        <w:rPr>
          <w:lang w:val="ru-RU"/>
        </w:rPr>
        <w:t>, правительство не в полной мере справляется с регулированием видов деятельности, которые нелегко классифицировать. Такое положение дел свидетельствует о необходимости реформирования регуляторной системы и организации сектора связи в Непале.</w:t>
      </w:r>
    </w:p>
    <w:p w:rsidR="00470146" w:rsidRPr="00470146" w:rsidRDefault="00470146" w:rsidP="00470146">
      <w:pPr>
        <w:pStyle w:val="Heading1"/>
      </w:pPr>
      <w:bookmarkStart w:id="62" w:name="_Toc262721867"/>
      <w:r w:rsidRPr="00470146">
        <w:rPr>
          <w:szCs w:val="18"/>
        </w:rPr>
        <w:t>5</w:t>
      </w:r>
      <w:r w:rsidRPr="00470146">
        <w:rPr>
          <w:szCs w:val="18"/>
        </w:rPr>
        <w:tab/>
      </w:r>
      <w:proofErr w:type="spellStart"/>
      <w:r w:rsidRPr="00470146">
        <w:rPr>
          <w:szCs w:val="18"/>
        </w:rPr>
        <w:t>Руководящие</w:t>
      </w:r>
      <w:proofErr w:type="spellEnd"/>
      <w:r w:rsidRPr="00470146">
        <w:rPr>
          <w:szCs w:val="18"/>
        </w:rPr>
        <w:t xml:space="preserve"> </w:t>
      </w:r>
      <w:proofErr w:type="spellStart"/>
      <w:r w:rsidRPr="00470146">
        <w:rPr>
          <w:szCs w:val="18"/>
        </w:rPr>
        <w:t>указания</w:t>
      </w:r>
      <w:proofErr w:type="spellEnd"/>
      <w:r w:rsidRPr="00470146">
        <w:rPr>
          <w:szCs w:val="18"/>
        </w:rPr>
        <w:t xml:space="preserve"> и </w:t>
      </w:r>
      <w:proofErr w:type="spellStart"/>
      <w:r w:rsidRPr="00470146">
        <w:rPr>
          <w:szCs w:val="18"/>
        </w:rPr>
        <w:t>рекомендации</w:t>
      </w:r>
      <w:bookmarkEnd w:id="62"/>
      <w:proofErr w:type="spellEnd"/>
    </w:p>
    <w:p w:rsidR="00470146" w:rsidRPr="00470146" w:rsidRDefault="00470146" w:rsidP="00470146">
      <w:pPr>
        <w:rPr>
          <w:lang w:val="ru-RU"/>
        </w:rPr>
      </w:pPr>
      <w:r w:rsidRPr="00470146">
        <w:rPr>
          <w:lang w:val="ru-RU"/>
        </w:rPr>
        <w:t xml:space="preserve">Для внедрения режима выдачи единых и охватывающих несколько услуг разрешений необходимо тщательное планирование. Регуляторные органы должны принимать в расчет множество вопросов, в том числе: </w:t>
      </w:r>
    </w:p>
    <w:p w:rsidR="00470146" w:rsidRPr="00470146" w:rsidRDefault="00470146" w:rsidP="00470146">
      <w:pPr>
        <w:pStyle w:val="enumlev1"/>
      </w:pPr>
      <w:r w:rsidRPr="00470146">
        <w:t>•</w:t>
      </w:r>
      <w:r w:rsidRPr="00470146">
        <w:tab/>
      </w:r>
      <w:proofErr w:type="spellStart"/>
      <w:proofErr w:type="gramStart"/>
      <w:r w:rsidRPr="00470146">
        <w:t>соответствует</w:t>
      </w:r>
      <w:proofErr w:type="spellEnd"/>
      <w:proofErr w:type="gramEnd"/>
      <w:r w:rsidRPr="00470146">
        <w:t xml:space="preserve"> </w:t>
      </w:r>
      <w:proofErr w:type="spellStart"/>
      <w:r w:rsidRPr="00470146">
        <w:t>ли</w:t>
      </w:r>
      <w:proofErr w:type="spellEnd"/>
      <w:r w:rsidRPr="00470146">
        <w:t xml:space="preserve"> </w:t>
      </w:r>
      <w:proofErr w:type="spellStart"/>
      <w:r w:rsidRPr="00470146">
        <w:t>условиям</w:t>
      </w:r>
      <w:proofErr w:type="spellEnd"/>
      <w:r w:rsidRPr="00470146">
        <w:t xml:space="preserve"> </w:t>
      </w:r>
      <w:proofErr w:type="spellStart"/>
      <w:r w:rsidRPr="00470146">
        <w:t>местного</w:t>
      </w:r>
      <w:proofErr w:type="spellEnd"/>
      <w:r w:rsidRPr="00470146">
        <w:t xml:space="preserve"> </w:t>
      </w:r>
      <w:proofErr w:type="spellStart"/>
      <w:r w:rsidRPr="00470146">
        <w:t>рынка</w:t>
      </w:r>
      <w:proofErr w:type="spellEnd"/>
      <w:r w:rsidRPr="00470146">
        <w:t xml:space="preserve"> </w:t>
      </w:r>
      <w:proofErr w:type="spellStart"/>
      <w:r w:rsidRPr="00470146">
        <w:t>ИКТ</w:t>
      </w:r>
      <w:proofErr w:type="spellEnd"/>
      <w:r w:rsidRPr="00470146">
        <w:t xml:space="preserve"> </w:t>
      </w:r>
      <w:proofErr w:type="spellStart"/>
      <w:r w:rsidRPr="00470146">
        <w:t>режим</w:t>
      </w:r>
      <w:proofErr w:type="spellEnd"/>
      <w:r w:rsidRPr="00470146">
        <w:t xml:space="preserve"> </w:t>
      </w:r>
      <w:proofErr w:type="spellStart"/>
      <w:r w:rsidRPr="00470146">
        <w:t>выдачи</w:t>
      </w:r>
      <w:proofErr w:type="spellEnd"/>
      <w:r w:rsidRPr="00470146">
        <w:t xml:space="preserve"> </w:t>
      </w:r>
      <w:proofErr w:type="spellStart"/>
      <w:r w:rsidRPr="00470146">
        <w:t>единых</w:t>
      </w:r>
      <w:proofErr w:type="spellEnd"/>
      <w:r w:rsidRPr="00470146">
        <w:t xml:space="preserve"> </w:t>
      </w:r>
      <w:proofErr w:type="spellStart"/>
      <w:r w:rsidRPr="00470146">
        <w:t>или</w:t>
      </w:r>
      <w:proofErr w:type="spellEnd"/>
      <w:r w:rsidRPr="00470146">
        <w:t xml:space="preserve"> </w:t>
      </w:r>
      <w:proofErr w:type="spellStart"/>
      <w:r w:rsidRPr="00470146">
        <w:t>охватывающих</w:t>
      </w:r>
      <w:proofErr w:type="spellEnd"/>
      <w:r w:rsidRPr="00470146">
        <w:t xml:space="preserve"> </w:t>
      </w:r>
      <w:proofErr w:type="spellStart"/>
      <w:r w:rsidRPr="00470146">
        <w:t>несколько</w:t>
      </w:r>
      <w:proofErr w:type="spellEnd"/>
      <w:r w:rsidRPr="00470146">
        <w:t xml:space="preserve"> </w:t>
      </w:r>
      <w:proofErr w:type="spellStart"/>
      <w:r w:rsidRPr="00470146">
        <w:t>услуг</w:t>
      </w:r>
      <w:proofErr w:type="spellEnd"/>
      <w:r w:rsidRPr="00470146">
        <w:t xml:space="preserve"> </w:t>
      </w:r>
      <w:proofErr w:type="spellStart"/>
      <w:r w:rsidRPr="00470146">
        <w:t>разрешений</w:t>
      </w:r>
      <w:proofErr w:type="spellEnd"/>
      <w:r w:rsidRPr="00470146">
        <w:t xml:space="preserve">; </w:t>
      </w:r>
    </w:p>
    <w:p w:rsidR="00470146" w:rsidRPr="00470146" w:rsidRDefault="00470146" w:rsidP="00470146">
      <w:pPr>
        <w:pStyle w:val="enumlev1"/>
      </w:pPr>
      <w:r w:rsidRPr="00470146">
        <w:t>•</w:t>
      </w:r>
      <w:r w:rsidRPr="00470146">
        <w:tab/>
      </w:r>
      <w:proofErr w:type="spellStart"/>
      <w:proofErr w:type="gramStart"/>
      <w:r w:rsidRPr="00470146">
        <w:t>принимать</w:t>
      </w:r>
      <w:proofErr w:type="spellEnd"/>
      <w:proofErr w:type="gramEnd"/>
      <w:r w:rsidRPr="00470146">
        <w:t xml:space="preserve"> </w:t>
      </w:r>
      <w:proofErr w:type="spellStart"/>
      <w:r w:rsidRPr="00470146">
        <w:t>ли</w:t>
      </w:r>
      <w:proofErr w:type="spellEnd"/>
      <w:r w:rsidRPr="00470146">
        <w:t xml:space="preserve"> </w:t>
      </w:r>
      <w:proofErr w:type="spellStart"/>
      <w:r w:rsidRPr="00470146">
        <w:t>режим</w:t>
      </w:r>
      <w:proofErr w:type="spellEnd"/>
      <w:r w:rsidRPr="00470146">
        <w:t xml:space="preserve"> </w:t>
      </w:r>
      <w:proofErr w:type="spellStart"/>
      <w:r w:rsidRPr="00470146">
        <w:t>выдачи</w:t>
      </w:r>
      <w:proofErr w:type="spellEnd"/>
      <w:r w:rsidRPr="00470146">
        <w:t xml:space="preserve"> </w:t>
      </w:r>
      <w:proofErr w:type="spellStart"/>
      <w:r w:rsidRPr="00470146">
        <w:t>единых</w:t>
      </w:r>
      <w:proofErr w:type="spellEnd"/>
      <w:r w:rsidRPr="00470146">
        <w:t xml:space="preserve"> </w:t>
      </w:r>
      <w:proofErr w:type="spellStart"/>
      <w:r w:rsidRPr="00470146">
        <w:t>или</w:t>
      </w:r>
      <w:proofErr w:type="spellEnd"/>
      <w:r w:rsidRPr="00470146">
        <w:t xml:space="preserve"> </w:t>
      </w:r>
      <w:proofErr w:type="spellStart"/>
      <w:r w:rsidRPr="00470146">
        <w:t>охватывающих</w:t>
      </w:r>
      <w:proofErr w:type="spellEnd"/>
      <w:r w:rsidRPr="00470146">
        <w:t xml:space="preserve"> </w:t>
      </w:r>
      <w:proofErr w:type="spellStart"/>
      <w:r w:rsidRPr="00470146">
        <w:t>несколько</w:t>
      </w:r>
      <w:proofErr w:type="spellEnd"/>
      <w:r w:rsidRPr="00470146">
        <w:t xml:space="preserve"> </w:t>
      </w:r>
      <w:proofErr w:type="spellStart"/>
      <w:r w:rsidRPr="00470146">
        <w:t>услуг</w:t>
      </w:r>
      <w:proofErr w:type="spellEnd"/>
      <w:r w:rsidRPr="00470146">
        <w:t xml:space="preserve"> </w:t>
      </w:r>
      <w:proofErr w:type="spellStart"/>
      <w:r w:rsidRPr="00470146">
        <w:t>разрешений</w:t>
      </w:r>
      <w:proofErr w:type="spellEnd"/>
      <w:r w:rsidRPr="00470146">
        <w:t xml:space="preserve">; </w:t>
      </w:r>
    </w:p>
    <w:p w:rsidR="00470146" w:rsidRPr="00470146" w:rsidRDefault="00470146" w:rsidP="00470146">
      <w:pPr>
        <w:pStyle w:val="enumlev1"/>
      </w:pPr>
      <w:r w:rsidRPr="00470146">
        <w:t>•</w:t>
      </w:r>
      <w:r w:rsidRPr="00470146">
        <w:tab/>
      </w:r>
      <w:proofErr w:type="spellStart"/>
      <w:proofErr w:type="gramStart"/>
      <w:r w:rsidRPr="00470146">
        <w:t>категории</w:t>
      </w:r>
      <w:proofErr w:type="spellEnd"/>
      <w:proofErr w:type="gramEnd"/>
      <w:r w:rsidRPr="00470146">
        <w:t xml:space="preserve"> </w:t>
      </w:r>
      <w:proofErr w:type="spellStart"/>
      <w:r w:rsidRPr="00470146">
        <w:t>разрешений</w:t>
      </w:r>
      <w:proofErr w:type="spellEnd"/>
      <w:r w:rsidRPr="00470146">
        <w:t xml:space="preserve"> </w:t>
      </w:r>
      <w:proofErr w:type="spellStart"/>
      <w:r w:rsidRPr="00470146">
        <w:t>при</w:t>
      </w:r>
      <w:proofErr w:type="spellEnd"/>
      <w:r w:rsidRPr="00470146">
        <w:t xml:space="preserve"> </w:t>
      </w:r>
      <w:proofErr w:type="spellStart"/>
      <w:r w:rsidRPr="00470146">
        <w:t>применении</w:t>
      </w:r>
      <w:proofErr w:type="spellEnd"/>
      <w:r w:rsidRPr="00470146">
        <w:t xml:space="preserve"> </w:t>
      </w:r>
      <w:proofErr w:type="spellStart"/>
      <w:r w:rsidRPr="00470146">
        <w:t>режима</w:t>
      </w:r>
      <w:proofErr w:type="spellEnd"/>
      <w:r w:rsidRPr="00470146">
        <w:t xml:space="preserve"> </w:t>
      </w:r>
      <w:proofErr w:type="spellStart"/>
      <w:r w:rsidRPr="00470146">
        <w:t>выдачи</w:t>
      </w:r>
      <w:proofErr w:type="spellEnd"/>
      <w:r w:rsidRPr="00470146">
        <w:t xml:space="preserve"> </w:t>
      </w:r>
      <w:proofErr w:type="spellStart"/>
      <w:r w:rsidRPr="00470146">
        <w:t>разрешений</w:t>
      </w:r>
      <w:proofErr w:type="spellEnd"/>
      <w:r w:rsidRPr="00470146">
        <w:t xml:space="preserve">, </w:t>
      </w:r>
      <w:proofErr w:type="spellStart"/>
      <w:r w:rsidRPr="00470146">
        <w:t>охватывающих</w:t>
      </w:r>
      <w:proofErr w:type="spellEnd"/>
      <w:r w:rsidRPr="00470146">
        <w:t xml:space="preserve"> </w:t>
      </w:r>
      <w:proofErr w:type="spellStart"/>
      <w:r w:rsidRPr="00470146">
        <w:t>несколько</w:t>
      </w:r>
      <w:proofErr w:type="spellEnd"/>
      <w:r w:rsidRPr="00470146">
        <w:t xml:space="preserve"> </w:t>
      </w:r>
      <w:proofErr w:type="spellStart"/>
      <w:r w:rsidRPr="00470146">
        <w:t>услуг</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процедуры</w:t>
      </w:r>
      <w:proofErr w:type="spellEnd"/>
      <w:proofErr w:type="gramEnd"/>
      <w:r w:rsidRPr="00470146">
        <w:t xml:space="preserve"> </w:t>
      </w:r>
      <w:proofErr w:type="spellStart"/>
      <w:r w:rsidRPr="00470146">
        <w:t>лицензирования</w:t>
      </w:r>
      <w:proofErr w:type="spellEnd"/>
      <w:r w:rsidRPr="00470146">
        <w:t xml:space="preserve"> </w:t>
      </w:r>
      <w:proofErr w:type="spellStart"/>
      <w:r w:rsidRPr="00470146">
        <w:t>для</w:t>
      </w:r>
      <w:proofErr w:type="spellEnd"/>
      <w:r w:rsidRPr="00470146">
        <w:t xml:space="preserve"> </w:t>
      </w:r>
      <w:proofErr w:type="spellStart"/>
      <w:r w:rsidRPr="00470146">
        <w:t>выдачи</w:t>
      </w:r>
      <w:proofErr w:type="spellEnd"/>
      <w:r w:rsidRPr="00470146">
        <w:t xml:space="preserve"> </w:t>
      </w:r>
      <w:proofErr w:type="spellStart"/>
      <w:r w:rsidRPr="00470146">
        <w:t>новых</w:t>
      </w:r>
      <w:proofErr w:type="spellEnd"/>
      <w:r w:rsidRPr="00470146">
        <w:t xml:space="preserve"> </w:t>
      </w:r>
      <w:proofErr w:type="spellStart"/>
      <w:r w:rsidRPr="00470146">
        <w:t>разрешений</w:t>
      </w:r>
      <w:proofErr w:type="spellEnd"/>
      <w:r w:rsidRPr="00470146">
        <w:t>;</w:t>
      </w:r>
    </w:p>
    <w:p w:rsidR="00470146" w:rsidRPr="00470146" w:rsidRDefault="00470146" w:rsidP="00470146">
      <w:pPr>
        <w:pStyle w:val="enumlev1"/>
      </w:pPr>
      <w:r w:rsidRPr="00470146">
        <w:t>•</w:t>
      </w:r>
      <w:r w:rsidRPr="00470146">
        <w:tab/>
      </w:r>
      <w:proofErr w:type="spellStart"/>
      <w:proofErr w:type="gramStart"/>
      <w:r w:rsidRPr="00470146">
        <w:t>связанные</w:t>
      </w:r>
      <w:proofErr w:type="spellEnd"/>
      <w:proofErr w:type="gramEnd"/>
      <w:r w:rsidRPr="00470146">
        <w:t xml:space="preserve"> с </w:t>
      </w:r>
      <w:proofErr w:type="spellStart"/>
      <w:r w:rsidRPr="00470146">
        <w:t>этими</w:t>
      </w:r>
      <w:proofErr w:type="spellEnd"/>
      <w:r w:rsidRPr="00470146">
        <w:t xml:space="preserve"> </w:t>
      </w:r>
      <w:proofErr w:type="spellStart"/>
      <w:r w:rsidRPr="00470146">
        <w:t>разрешениями</w:t>
      </w:r>
      <w:proofErr w:type="spellEnd"/>
      <w:r w:rsidRPr="00470146">
        <w:t xml:space="preserve"> </w:t>
      </w:r>
      <w:proofErr w:type="spellStart"/>
      <w:r w:rsidRPr="00470146">
        <w:t>условия</w:t>
      </w:r>
      <w:proofErr w:type="spellEnd"/>
      <w:r w:rsidRPr="00470146">
        <w:t>; и</w:t>
      </w:r>
    </w:p>
    <w:p w:rsidR="00470146" w:rsidRPr="00470146" w:rsidRDefault="00470146" w:rsidP="00470146">
      <w:pPr>
        <w:pStyle w:val="enumlev1"/>
        <w:rPr>
          <w:lang w:val="ru-RU"/>
        </w:rPr>
      </w:pPr>
      <w:r w:rsidRPr="00470146">
        <w:t>•</w:t>
      </w:r>
      <w:r w:rsidRPr="00470146">
        <w:tab/>
      </w:r>
      <w:proofErr w:type="spellStart"/>
      <w:proofErr w:type="gramStart"/>
      <w:r w:rsidRPr="00470146">
        <w:t>как</w:t>
      </w:r>
      <w:proofErr w:type="spellEnd"/>
      <w:proofErr w:type="gramEnd"/>
      <w:r w:rsidRPr="00470146">
        <w:t xml:space="preserve"> </w:t>
      </w:r>
      <w:proofErr w:type="spellStart"/>
      <w:r w:rsidRPr="00470146">
        <w:t>осуществить</w:t>
      </w:r>
      <w:proofErr w:type="spellEnd"/>
      <w:r w:rsidRPr="00470146">
        <w:t xml:space="preserve"> </w:t>
      </w:r>
      <w:proofErr w:type="spellStart"/>
      <w:r w:rsidRPr="00470146">
        <w:t>переход</w:t>
      </w:r>
      <w:proofErr w:type="spellEnd"/>
      <w:r w:rsidRPr="00470146">
        <w:t xml:space="preserve"> </w:t>
      </w:r>
      <w:proofErr w:type="spellStart"/>
      <w:r w:rsidRPr="00470146">
        <w:t>от</w:t>
      </w:r>
      <w:proofErr w:type="spellEnd"/>
      <w:r w:rsidRPr="00470146">
        <w:t xml:space="preserve"> </w:t>
      </w:r>
      <w:proofErr w:type="spellStart"/>
      <w:r w:rsidRPr="00470146">
        <w:t>действующих</w:t>
      </w:r>
      <w:proofErr w:type="spellEnd"/>
      <w:r w:rsidRPr="00470146">
        <w:t xml:space="preserve"> </w:t>
      </w:r>
      <w:proofErr w:type="spellStart"/>
      <w:r w:rsidRPr="00470146">
        <w:t>лицензий</w:t>
      </w:r>
      <w:proofErr w:type="spellEnd"/>
      <w:r w:rsidRPr="00470146">
        <w:t xml:space="preserve"> к </w:t>
      </w:r>
      <w:proofErr w:type="spellStart"/>
      <w:r w:rsidRPr="00470146">
        <w:t>новому</w:t>
      </w:r>
      <w:proofErr w:type="spellEnd"/>
      <w:r w:rsidRPr="00470146">
        <w:t xml:space="preserve"> </w:t>
      </w:r>
      <w:proofErr w:type="spellStart"/>
      <w:r w:rsidRPr="00470146">
        <w:t>режиму</w:t>
      </w:r>
      <w:proofErr w:type="spellEnd"/>
      <w:r w:rsidRPr="00470146">
        <w:t xml:space="preserve"> </w:t>
      </w:r>
      <w:proofErr w:type="spellStart"/>
      <w:r w:rsidRPr="00470146">
        <w:t>лицензирования</w:t>
      </w:r>
      <w:proofErr w:type="spellEnd"/>
      <w:r w:rsidRPr="00470146">
        <w:t>.</w:t>
      </w:r>
    </w:p>
    <w:p w:rsidR="00470146" w:rsidRPr="00470146" w:rsidRDefault="00470146" w:rsidP="00470146">
      <w:pPr>
        <w:rPr>
          <w:lang w:val="ru-RU"/>
        </w:rPr>
      </w:pPr>
      <w:r w:rsidRPr="00470146">
        <w:rPr>
          <w:lang w:val="ru-RU"/>
        </w:rPr>
        <w:t xml:space="preserve">В зависимости от природы и сферы действия разрешений регуляторным органам и органам, ответственным за разработку политики, может понадобиться решить вопрос о том, какой регуляторный орган должен выдавать разрешения новых видов. Поскольку во многих странах существует традиция разграничения услуг электросвязи (т. е. на базе передачи) и радиовещания (т. е. на базе контента), нередко разные регуляторные органы занимаются услугами электросвязи и радиовещательными услугами. В этих странах включение услуг радиовещания и услуг на базе </w:t>
      </w:r>
      <w:r w:rsidRPr="00470146">
        <w:rPr>
          <w:lang w:val="ru-RU"/>
        </w:rPr>
        <w:lastRenderedPageBreak/>
        <w:t>контента в сферу действия единого или охватывающего несколько услуг разрешения заставляет задуматься о том, какой регуляторный орган должен выдавать такое разрешение.</w:t>
      </w:r>
    </w:p>
    <w:p w:rsidR="00470146" w:rsidRPr="00470146" w:rsidRDefault="00470146" w:rsidP="00470146">
      <w:pPr>
        <w:rPr>
          <w:lang w:val="ru-RU"/>
        </w:rPr>
      </w:pPr>
      <w:r w:rsidRPr="00470146">
        <w:rPr>
          <w:lang w:val="ru-RU"/>
        </w:rPr>
        <w:t xml:space="preserve">Регуляторные органы должны также внимательно рассмотреть процедурный аспект внедрения нового режима выдачи единых или охватывающих несколько услуг разрешений. Согласно передовому опыту, до введения нового режима выдачи разрешений </w:t>
      </w:r>
      <w:r w:rsidRPr="00470146">
        <w:rPr>
          <w:lang w:val="ru-RU"/>
        </w:rPr>
        <w:sym w:font="Symbol" w:char="F02D"/>
      </w:r>
      <w:r w:rsidRPr="00470146">
        <w:rPr>
          <w:lang w:val="ru-RU"/>
        </w:rPr>
        <w:t xml:space="preserve"> в целях обеспечения прозрачности этого процесса и доверия к нему </w:t>
      </w:r>
      <w:r w:rsidRPr="00470146">
        <w:rPr>
          <w:lang w:val="ru-RU"/>
        </w:rPr>
        <w:sym w:font="Symbol" w:char="F02D"/>
      </w:r>
      <w:r w:rsidRPr="00470146">
        <w:rPr>
          <w:lang w:val="ru-RU"/>
        </w:rPr>
        <w:t xml:space="preserve"> регуляторным органам следует провести консультации с заинтересованными сторонами в отрасли. </w:t>
      </w:r>
    </w:p>
    <w:p w:rsidR="00470146" w:rsidRPr="00470146" w:rsidRDefault="00470146" w:rsidP="00470146">
      <w:pPr>
        <w:rPr>
          <w:lang w:val="ru-RU"/>
        </w:rPr>
      </w:pPr>
      <w:r w:rsidRPr="00470146">
        <w:rPr>
          <w:lang w:val="ru-RU"/>
        </w:rPr>
        <w:t>Регуляторным органам предлагается при переходе к лицензированию в условиях конвергенции и принятии рамок такого лицензирования рассмотреть следующие принципы:</w:t>
      </w:r>
    </w:p>
    <w:p w:rsidR="00470146" w:rsidRPr="00470146" w:rsidRDefault="00470146" w:rsidP="00470146">
      <w:pPr>
        <w:pStyle w:val="enumlev1"/>
        <w:rPr>
          <w:lang w:val="ru-RU"/>
        </w:rPr>
      </w:pPr>
      <w:r w:rsidRPr="00470146">
        <w:rPr>
          <w:lang w:val="ru-RU"/>
        </w:rPr>
        <w:t>•</w:t>
      </w:r>
      <w:r w:rsidRPr="00470146">
        <w:rPr>
          <w:lang w:val="ru-RU"/>
        </w:rPr>
        <w:tab/>
        <w:t>способствовать обеспечению нейтральности в отношении технологий;</w:t>
      </w:r>
    </w:p>
    <w:p w:rsidR="00470146" w:rsidRPr="00470146" w:rsidRDefault="00470146" w:rsidP="00470146">
      <w:pPr>
        <w:pStyle w:val="enumlev1"/>
        <w:rPr>
          <w:lang w:val="ru-RU"/>
        </w:rPr>
      </w:pPr>
      <w:r w:rsidRPr="00470146">
        <w:rPr>
          <w:lang w:val="ru-RU"/>
        </w:rPr>
        <w:t>•</w:t>
      </w:r>
      <w:r w:rsidRPr="00470146">
        <w:rPr>
          <w:lang w:val="ru-RU"/>
        </w:rPr>
        <w:tab/>
        <w:t xml:space="preserve">обеспечивать гибкость, с </w:t>
      </w:r>
      <w:proofErr w:type="gramStart"/>
      <w:r w:rsidRPr="00470146">
        <w:rPr>
          <w:lang w:val="ru-RU"/>
        </w:rPr>
        <w:t>тем</w:t>
      </w:r>
      <w:proofErr w:type="gramEnd"/>
      <w:r w:rsidRPr="00470146">
        <w:rPr>
          <w:lang w:val="ru-RU"/>
        </w:rPr>
        <w:t xml:space="preserve"> чтобы новый режим лицензирования допускал возможность учитывать изменения технологий и рыночной среды, которые произойдут в дальнейшем;</w:t>
      </w:r>
    </w:p>
    <w:p w:rsidR="00470146" w:rsidRPr="00470146" w:rsidRDefault="00470146" w:rsidP="00470146">
      <w:pPr>
        <w:pStyle w:val="enumlev1"/>
        <w:rPr>
          <w:lang w:val="ru-RU"/>
        </w:rPr>
      </w:pPr>
      <w:r w:rsidRPr="00470146">
        <w:rPr>
          <w:lang w:val="ru-RU"/>
        </w:rPr>
        <w:t>•</w:t>
      </w:r>
      <w:r w:rsidRPr="00470146">
        <w:rPr>
          <w:lang w:val="ru-RU"/>
        </w:rPr>
        <w:tab/>
        <w:t>сокращать число категорий лицензий;</w:t>
      </w:r>
    </w:p>
    <w:p w:rsidR="00470146" w:rsidRPr="00470146" w:rsidRDefault="00470146" w:rsidP="00470146">
      <w:pPr>
        <w:pStyle w:val="enumlev1"/>
        <w:rPr>
          <w:lang w:val="ru-RU"/>
        </w:rPr>
      </w:pPr>
      <w:r w:rsidRPr="00470146">
        <w:rPr>
          <w:lang w:val="ru-RU"/>
        </w:rPr>
        <w:t>•</w:t>
      </w:r>
      <w:r w:rsidRPr="00470146">
        <w:rPr>
          <w:lang w:val="ru-RU"/>
        </w:rPr>
        <w:tab/>
        <w:t>сокращать административную нагрузку и размеры сборов с участников рынка;</w:t>
      </w:r>
    </w:p>
    <w:p w:rsidR="00470146" w:rsidRPr="00470146" w:rsidRDefault="00470146" w:rsidP="00470146">
      <w:pPr>
        <w:pStyle w:val="enumlev1"/>
        <w:rPr>
          <w:lang w:val="ru-RU"/>
        </w:rPr>
      </w:pPr>
      <w:r w:rsidRPr="00470146">
        <w:rPr>
          <w:lang w:val="ru-RU"/>
        </w:rPr>
        <w:t>•</w:t>
      </w:r>
      <w:r w:rsidRPr="00470146">
        <w:rPr>
          <w:lang w:val="ru-RU"/>
        </w:rPr>
        <w:tab/>
        <w:t>применять стимулы, которые способствовали бы переходу действующих операторов к лицензированию в условиях конвергенции, т. е. объявлять "налоговые каникулы";</w:t>
      </w:r>
    </w:p>
    <w:p w:rsidR="00470146" w:rsidRPr="00470146" w:rsidRDefault="00470146" w:rsidP="00470146">
      <w:pPr>
        <w:pStyle w:val="enumlev1"/>
        <w:rPr>
          <w:lang w:val="ru-RU"/>
        </w:rPr>
      </w:pPr>
      <w:r w:rsidRPr="00470146">
        <w:rPr>
          <w:lang w:val="ru-RU"/>
        </w:rPr>
        <w:t>•</w:t>
      </w:r>
      <w:r w:rsidRPr="00470146">
        <w:rPr>
          <w:lang w:val="ru-RU"/>
        </w:rPr>
        <w:tab/>
        <w:t>обеспечивать прозрачность применительно к обязанностям по лицензированию в условиях конвергенции;</w:t>
      </w:r>
    </w:p>
    <w:p w:rsidR="00470146" w:rsidRPr="00470146" w:rsidRDefault="00470146" w:rsidP="00470146">
      <w:pPr>
        <w:pStyle w:val="enumlev1"/>
        <w:rPr>
          <w:lang w:val="ru-RU"/>
        </w:rPr>
      </w:pPr>
      <w:r w:rsidRPr="00470146">
        <w:rPr>
          <w:lang w:val="ru-RU"/>
        </w:rPr>
        <w:t>•</w:t>
      </w:r>
      <w:r w:rsidRPr="00470146">
        <w:rPr>
          <w:lang w:val="ru-RU"/>
        </w:rPr>
        <w:tab/>
        <w:t xml:space="preserve">развивать тесное сотрудничество между соответствующими органами, которые выполняют функции регулирования и надзора в отношении рамок лицензирования в условиях конвергенции; и </w:t>
      </w:r>
    </w:p>
    <w:p w:rsidR="002266DA" w:rsidRPr="00470146" w:rsidRDefault="00FF29E3" w:rsidP="00FF29E3">
      <w:pPr>
        <w:rPr>
          <w:lang w:val="en-US"/>
        </w:rPr>
      </w:pPr>
      <w:r w:rsidRPr="00470146">
        <w:rPr>
          <w:lang w:val="ru-RU"/>
        </w:rPr>
        <w:t xml:space="preserve">Обращаться </w:t>
      </w:r>
      <w:r w:rsidR="00470146" w:rsidRPr="00470146">
        <w:rPr>
          <w:lang w:val="ru-RU"/>
        </w:rPr>
        <w:t>к международному передовому опыту и международным региональным организациям для содействия в согласовании подходов к лицензированию.</w:t>
      </w:r>
    </w:p>
    <w:bookmarkEnd w:id="9"/>
    <w:p w:rsidR="002266DA" w:rsidRPr="00470146" w:rsidRDefault="002266DA" w:rsidP="00FF29E3">
      <w:pPr>
        <w:rPr>
          <w:rFonts w:asciiTheme="majorBidi" w:hAnsiTheme="majorBidi" w:cstheme="majorBidi"/>
          <w:szCs w:val="22"/>
          <w:lang w:val="ru-RU"/>
        </w:rPr>
      </w:pPr>
    </w:p>
    <w:sectPr w:rsidR="002266DA" w:rsidRPr="00470146" w:rsidSect="00F37F01">
      <w:headerReference w:type="even" r:id="rId19"/>
      <w:headerReference w:type="default" r:id="rId20"/>
      <w:footerReference w:type="default" r:id="rId21"/>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41" w:rsidRDefault="00CF5441">
      <w:r>
        <w:separator/>
      </w:r>
    </w:p>
  </w:endnote>
  <w:endnote w:type="continuationSeparator" w:id="0">
    <w:p w:rsidR="00CF5441" w:rsidRDefault="00CF5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41" w:rsidRDefault="00CF5441">
      <w:r>
        <w:t>____________________</w:t>
      </w:r>
    </w:p>
  </w:footnote>
  <w:footnote w:type="continuationSeparator" w:id="0">
    <w:p w:rsidR="00CF5441" w:rsidRDefault="00CF5441">
      <w:r>
        <w:continuationSeparator/>
      </w:r>
    </w:p>
  </w:footnote>
  <w:footnote w:id="1">
    <w:p w:rsidR="00CF5441" w:rsidRPr="00AE59CF" w:rsidRDefault="00CF5441" w:rsidP="002266DA">
      <w:pPr>
        <w:tabs>
          <w:tab w:val="left" w:pos="284"/>
        </w:tabs>
        <w:spacing w:before="60"/>
        <w:ind w:left="284" w:hanging="284"/>
        <w:rPr>
          <w:rStyle w:val="FootnoteTextChar"/>
          <w:sz w:val="20"/>
        </w:rPr>
      </w:pPr>
      <w:r w:rsidRPr="00AE59CF">
        <w:rPr>
          <w:rStyle w:val="FootnoteReference"/>
        </w:rPr>
        <w:footnoteRef/>
      </w:r>
      <w:r w:rsidRPr="00ED3C8A">
        <w:rPr>
          <w:sz w:val="16"/>
          <w:szCs w:val="16"/>
          <w:lang w:val="ru-RU"/>
        </w:rPr>
        <w:tab/>
      </w:r>
      <w:proofErr w:type="spellStart"/>
      <w:proofErr w:type="gramStart"/>
      <w:r w:rsidRPr="00AE59CF">
        <w:rPr>
          <w:rStyle w:val="FootnoteTextChar"/>
          <w:sz w:val="20"/>
        </w:rPr>
        <w:t>Более</w:t>
      </w:r>
      <w:proofErr w:type="spellEnd"/>
      <w:r w:rsidRPr="00AE59CF">
        <w:rPr>
          <w:rStyle w:val="FootnoteTextChar"/>
          <w:sz w:val="20"/>
        </w:rPr>
        <w:t xml:space="preserve"> </w:t>
      </w:r>
      <w:proofErr w:type="spellStart"/>
      <w:r w:rsidRPr="00AE59CF">
        <w:rPr>
          <w:rStyle w:val="FootnoteTextChar"/>
          <w:sz w:val="20"/>
        </w:rPr>
        <w:t>подробную</w:t>
      </w:r>
      <w:proofErr w:type="spellEnd"/>
      <w:r w:rsidRPr="00AE59CF">
        <w:rPr>
          <w:rStyle w:val="FootnoteTextChar"/>
          <w:sz w:val="20"/>
        </w:rPr>
        <w:t xml:space="preserve"> </w:t>
      </w:r>
      <w:proofErr w:type="spellStart"/>
      <w:r w:rsidRPr="00AE59CF">
        <w:rPr>
          <w:rStyle w:val="FootnoteTextChar"/>
          <w:sz w:val="20"/>
        </w:rPr>
        <w:t>информацию</w:t>
      </w:r>
      <w:proofErr w:type="spellEnd"/>
      <w:r w:rsidRPr="00AE59CF">
        <w:rPr>
          <w:rStyle w:val="FootnoteTextChar"/>
          <w:sz w:val="20"/>
        </w:rPr>
        <w:t xml:space="preserve"> </w:t>
      </w:r>
      <w:proofErr w:type="spellStart"/>
      <w:r w:rsidRPr="00AE59CF">
        <w:rPr>
          <w:rStyle w:val="FootnoteTextChar"/>
          <w:sz w:val="20"/>
        </w:rPr>
        <w:t>см</w:t>
      </w:r>
      <w:proofErr w:type="spellEnd"/>
      <w:r w:rsidRPr="00AE59CF">
        <w:rPr>
          <w:rStyle w:val="FootnoteTextChar"/>
          <w:sz w:val="20"/>
        </w:rPr>
        <w:t>.</w:t>
      </w:r>
      <w:proofErr w:type="gramEnd"/>
      <w:r w:rsidRPr="00AE59CF">
        <w:rPr>
          <w:rStyle w:val="FootnoteTextChar"/>
          <w:sz w:val="20"/>
        </w:rPr>
        <w:t> </w:t>
      </w:r>
      <w:proofErr w:type="gramStart"/>
      <w:r w:rsidRPr="00AE59CF">
        <w:rPr>
          <w:rStyle w:val="FootnoteTextChar"/>
          <w:sz w:val="20"/>
        </w:rPr>
        <w:t>в</w:t>
      </w:r>
      <w:proofErr w:type="gramEnd"/>
      <w:r w:rsidRPr="00AE59CF">
        <w:rPr>
          <w:rStyle w:val="FootnoteTextChar"/>
          <w:sz w:val="20"/>
        </w:rPr>
        <w:t> </w:t>
      </w:r>
      <w:proofErr w:type="spellStart"/>
      <w:r w:rsidRPr="00AE59CF">
        <w:rPr>
          <w:rStyle w:val="FootnoteTextChar"/>
          <w:sz w:val="20"/>
        </w:rPr>
        <w:t>издании</w:t>
      </w:r>
      <w:proofErr w:type="spellEnd"/>
      <w:r w:rsidRPr="00AE59CF">
        <w:rPr>
          <w:rStyle w:val="FootnoteTextChar"/>
          <w:sz w:val="20"/>
        </w:rPr>
        <w:t xml:space="preserve"> </w:t>
      </w:r>
      <w:proofErr w:type="spellStart"/>
      <w:r w:rsidRPr="00AE59CF">
        <w:rPr>
          <w:rStyle w:val="FootnoteTextChar"/>
          <w:sz w:val="20"/>
        </w:rPr>
        <w:t>infoDev</w:t>
      </w:r>
      <w:proofErr w:type="spellEnd"/>
      <w:r w:rsidRPr="00AE59CF">
        <w:rPr>
          <w:rStyle w:val="FootnoteTextChar"/>
          <w:sz w:val="20"/>
        </w:rPr>
        <w:t>/МСЭ "</w:t>
      </w:r>
      <w:proofErr w:type="spellStart"/>
      <w:r w:rsidRPr="00AE59CF">
        <w:rPr>
          <w:rStyle w:val="FootnoteTextChar"/>
          <w:sz w:val="20"/>
        </w:rPr>
        <w:t>Комплект</w:t>
      </w:r>
      <w:proofErr w:type="spellEnd"/>
      <w:r w:rsidRPr="00AE59CF">
        <w:rPr>
          <w:rStyle w:val="FootnoteTextChar"/>
          <w:sz w:val="20"/>
        </w:rPr>
        <w:t xml:space="preserve"> </w:t>
      </w:r>
      <w:proofErr w:type="spellStart"/>
      <w:r w:rsidRPr="00AE59CF">
        <w:rPr>
          <w:rStyle w:val="FootnoteTextChar"/>
          <w:sz w:val="20"/>
        </w:rPr>
        <w:t>материалов</w:t>
      </w:r>
      <w:proofErr w:type="spellEnd"/>
      <w:r w:rsidRPr="00AE59CF">
        <w:rPr>
          <w:rStyle w:val="FootnoteTextChar"/>
          <w:sz w:val="20"/>
        </w:rPr>
        <w:t xml:space="preserve"> МСЭ </w:t>
      </w:r>
      <w:proofErr w:type="spellStart"/>
      <w:r w:rsidRPr="00AE59CF">
        <w:rPr>
          <w:rStyle w:val="FootnoteTextChar"/>
          <w:sz w:val="20"/>
        </w:rPr>
        <w:t>по</w:t>
      </w:r>
      <w:proofErr w:type="spellEnd"/>
      <w:r w:rsidRPr="00AE59CF">
        <w:rPr>
          <w:rStyle w:val="FootnoteTextChar"/>
          <w:sz w:val="20"/>
        </w:rPr>
        <w:t xml:space="preserve"> </w:t>
      </w:r>
      <w:proofErr w:type="spellStart"/>
      <w:r w:rsidRPr="00AE59CF">
        <w:rPr>
          <w:rStyle w:val="FootnoteTextChar"/>
          <w:sz w:val="20"/>
        </w:rPr>
        <w:t>регулированию</w:t>
      </w:r>
      <w:proofErr w:type="spellEnd"/>
      <w:r w:rsidRPr="00AE59CF">
        <w:rPr>
          <w:rStyle w:val="FootnoteTextChar"/>
          <w:sz w:val="20"/>
        </w:rPr>
        <w:t xml:space="preserve"> в </w:t>
      </w:r>
      <w:proofErr w:type="spellStart"/>
      <w:r w:rsidRPr="00AE59CF">
        <w:rPr>
          <w:rStyle w:val="FootnoteTextChar"/>
          <w:sz w:val="20"/>
        </w:rPr>
        <w:t>области</w:t>
      </w:r>
      <w:proofErr w:type="spellEnd"/>
      <w:r w:rsidRPr="00AE59CF">
        <w:rPr>
          <w:rStyle w:val="FootnoteTextChar"/>
          <w:sz w:val="20"/>
        </w:rPr>
        <w:t xml:space="preserve"> </w:t>
      </w:r>
      <w:proofErr w:type="spellStart"/>
      <w:r w:rsidRPr="00AE59CF">
        <w:rPr>
          <w:rStyle w:val="FootnoteTextChar"/>
          <w:sz w:val="20"/>
        </w:rPr>
        <w:t>ИКТ</w:t>
      </w:r>
      <w:proofErr w:type="spellEnd"/>
      <w:r w:rsidRPr="00AE59CF">
        <w:rPr>
          <w:rStyle w:val="FootnoteTextChar"/>
          <w:sz w:val="20"/>
        </w:rPr>
        <w:t xml:space="preserve">", </w:t>
      </w:r>
      <w:proofErr w:type="spellStart"/>
      <w:r w:rsidRPr="00AE59CF">
        <w:rPr>
          <w:rStyle w:val="FootnoteTextChar"/>
          <w:sz w:val="20"/>
        </w:rPr>
        <w:t>Модуль</w:t>
      </w:r>
      <w:proofErr w:type="spellEnd"/>
      <w:r w:rsidRPr="00AE59CF">
        <w:rPr>
          <w:rStyle w:val="FootnoteTextChar"/>
          <w:sz w:val="20"/>
        </w:rPr>
        <w:t> 6 "</w:t>
      </w:r>
      <w:proofErr w:type="spellStart"/>
      <w:r w:rsidRPr="00AE59CF">
        <w:rPr>
          <w:rStyle w:val="FootnoteTextChar"/>
          <w:sz w:val="20"/>
        </w:rPr>
        <w:t>Юридические</w:t>
      </w:r>
      <w:proofErr w:type="spellEnd"/>
      <w:r w:rsidRPr="00AE59CF">
        <w:rPr>
          <w:rStyle w:val="FootnoteTextChar"/>
          <w:sz w:val="20"/>
        </w:rPr>
        <w:t xml:space="preserve"> и </w:t>
      </w:r>
      <w:proofErr w:type="spellStart"/>
      <w:r w:rsidRPr="00AE59CF">
        <w:rPr>
          <w:rStyle w:val="FootnoteTextChar"/>
          <w:sz w:val="20"/>
        </w:rPr>
        <w:t>институциональные</w:t>
      </w:r>
      <w:proofErr w:type="spellEnd"/>
      <w:r w:rsidRPr="00AE59CF">
        <w:rPr>
          <w:rStyle w:val="FootnoteTextChar"/>
          <w:sz w:val="20"/>
        </w:rPr>
        <w:t xml:space="preserve"> </w:t>
      </w:r>
      <w:proofErr w:type="spellStart"/>
      <w:r w:rsidRPr="00AE59CF">
        <w:rPr>
          <w:rStyle w:val="FootnoteTextChar"/>
          <w:sz w:val="20"/>
        </w:rPr>
        <w:t>аспекты</w:t>
      </w:r>
      <w:proofErr w:type="spellEnd"/>
      <w:r w:rsidRPr="00AE59CF">
        <w:rPr>
          <w:rStyle w:val="FootnoteTextChar"/>
          <w:sz w:val="20"/>
        </w:rPr>
        <w:t xml:space="preserve"> </w:t>
      </w:r>
      <w:proofErr w:type="spellStart"/>
      <w:r w:rsidRPr="00AE59CF">
        <w:rPr>
          <w:rStyle w:val="FootnoteTextChar"/>
          <w:sz w:val="20"/>
        </w:rPr>
        <w:t>регулирования</w:t>
      </w:r>
      <w:proofErr w:type="spellEnd"/>
      <w:r w:rsidRPr="00AE59CF">
        <w:rPr>
          <w:rStyle w:val="FootnoteTextChar"/>
          <w:sz w:val="20"/>
        </w:rPr>
        <w:t xml:space="preserve">", </w:t>
      </w:r>
      <w:proofErr w:type="spellStart"/>
      <w:r w:rsidRPr="00AE59CF">
        <w:rPr>
          <w:rStyle w:val="FootnoteTextChar"/>
          <w:sz w:val="20"/>
        </w:rPr>
        <w:t>глава</w:t>
      </w:r>
      <w:proofErr w:type="spellEnd"/>
      <w:r w:rsidRPr="00AE59CF">
        <w:rPr>
          <w:rStyle w:val="FootnoteTextChar"/>
          <w:sz w:val="20"/>
        </w:rPr>
        <w:t> 4 "</w:t>
      </w:r>
      <w:proofErr w:type="spellStart"/>
      <w:r w:rsidRPr="00AE59CF">
        <w:rPr>
          <w:rStyle w:val="FootnoteTextChar"/>
          <w:sz w:val="20"/>
        </w:rPr>
        <w:t>Воздействие</w:t>
      </w:r>
      <w:proofErr w:type="spellEnd"/>
      <w:r w:rsidRPr="00AE59CF">
        <w:rPr>
          <w:rStyle w:val="FootnoteTextChar"/>
          <w:sz w:val="20"/>
        </w:rPr>
        <w:t xml:space="preserve"> </w:t>
      </w:r>
      <w:proofErr w:type="spellStart"/>
      <w:r w:rsidRPr="00AE59CF">
        <w:rPr>
          <w:rStyle w:val="FootnoteTextChar"/>
          <w:sz w:val="20"/>
        </w:rPr>
        <w:t>конвергенции</w:t>
      </w:r>
      <w:proofErr w:type="spellEnd"/>
      <w:r w:rsidRPr="00AE59CF">
        <w:rPr>
          <w:rStyle w:val="FootnoteTextChar"/>
          <w:sz w:val="20"/>
        </w:rPr>
        <w:t xml:space="preserve"> </w:t>
      </w:r>
      <w:proofErr w:type="spellStart"/>
      <w:r w:rsidRPr="00AE59CF">
        <w:rPr>
          <w:rStyle w:val="FootnoteTextChar"/>
          <w:sz w:val="20"/>
        </w:rPr>
        <w:t>на</w:t>
      </w:r>
      <w:proofErr w:type="spellEnd"/>
      <w:r w:rsidRPr="00AE59CF">
        <w:rPr>
          <w:rStyle w:val="FootnoteTextChar"/>
          <w:sz w:val="20"/>
        </w:rPr>
        <w:t xml:space="preserve"> </w:t>
      </w:r>
      <w:proofErr w:type="spellStart"/>
      <w:r w:rsidRPr="00AE59CF">
        <w:rPr>
          <w:rStyle w:val="FootnoteTextChar"/>
          <w:sz w:val="20"/>
        </w:rPr>
        <w:t>регулирование</w:t>
      </w:r>
      <w:proofErr w:type="spellEnd"/>
      <w:r w:rsidRPr="00AE59CF">
        <w:rPr>
          <w:rStyle w:val="FootnoteTextChar"/>
          <w:sz w:val="20"/>
        </w:rPr>
        <w:t>" (</w:t>
      </w:r>
      <w:smartTag w:uri="urn:schemas-microsoft-com:office:smarttags" w:element="metricconverter">
        <w:smartTagPr>
          <w:attr w:name="ProductID" w:val="2006 г"/>
        </w:smartTagPr>
        <w:r w:rsidRPr="00AE59CF">
          <w:rPr>
            <w:rStyle w:val="FootnoteTextChar"/>
            <w:sz w:val="20"/>
          </w:rPr>
          <w:t>2006 г</w:t>
        </w:r>
      </w:smartTag>
      <w:r w:rsidRPr="00AE59CF">
        <w:rPr>
          <w:rStyle w:val="FootnoteTextChar"/>
          <w:sz w:val="20"/>
        </w:rPr>
        <w:t xml:space="preserve">.), </w:t>
      </w:r>
      <w:proofErr w:type="spellStart"/>
      <w:r w:rsidRPr="00AE59CF">
        <w:rPr>
          <w:rStyle w:val="FootnoteTextChar"/>
          <w:sz w:val="20"/>
        </w:rPr>
        <w:t>по</w:t>
      </w:r>
      <w:proofErr w:type="spellEnd"/>
      <w:r w:rsidRPr="00AE59CF">
        <w:rPr>
          <w:rStyle w:val="FootnoteTextChar"/>
          <w:sz w:val="20"/>
        </w:rPr>
        <w:t xml:space="preserve"> </w:t>
      </w:r>
      <w:proofErr w:type="spellStart"/>
      <w:r w:rsidRPr="00AE59CF">
        <w:rPr>
          <w:rStyle w:val="FootnoteTextChar"/>
          <w:sz w:val="20"/>
        </w:rPr>
        <w:t>адресу</w:t>
      </w:r>
      <w:proofErr w:type="spellEnd"/>
      <w:r w:rsidRPr="00AE59CF">
        <w:rPr>
          <w:rStyle w:val="FootnoteTextChar"/>
          <w:sz w:val="20"/>
        </w:rPr>
        <w:t xml:space="preserve">: </w:t>
      </w:r>
      <w:hyperlink r:id="rId1" w:history="1">
        <w:r w:rsidRPr="00E05712">
          <w:rPr>
            <w:rStyle w:val="Hyperlink"/>
            <w:sz w:val="20"/>
          </w:rPr>
          <w:t>http://</w:t>
        </w:r>
        <w:proofErr w:type="spellStart"/>
        <w:r w:rsidRPr="00E05712">
          <w:rPr>
            <w:rStyle w:val="Hyperlink"/>
            <w:sz w:val="20"/>
          </w:rPr>
          <w:t>www.ictregulationtoolkit.org</w:t>
        </w:r>
        <w:proofErr w:type="spellEnd"/>
        <w:r w:rsidRPr="00E05712">
          <w:rPr>
            <w:rStyle w:val="Hyperlink"/>
            <w:sz w:val="20"/>
          </w:rPr>
          <w:t>/</w:t>
        </w:r>
        <w:r w:rsidRPr="00E05712">
          <w:rPr>
            <w:rStyle w:val="Hyperlink"/>
            <w:sz w:val="20"/>
            <w:lang w:val="ru-RU"/>
          </w:rPr>
          <w:br/>
        </w:r>
        <w:r w:rsidRPr="00E05712">
          <w:rPr>
            <w:rStyle w:val="Hyperlink"/>
            <w:sz w:val="20"/>
          </w:rPr>
          <w:t>en/</w:t>
        </w:r>
        <w:proofErr w:type="spellStart"/>
        <w:r w:rsidRPr="00E05712">
          <w:rPr>
            <w:rStyle w:val="Hyperlink"/>
            <w:sz w:val="20"/>
          </w:rPr>
          <w:t>Section.1254.html</w:t>
        </w:r>
        <w:proofErr w:type="spellEnd"/>
      </w:hyperlink>
      <w:r w:rsidRPr="00AE59CF">
        <w:rPr>
          <w:rStyle w:val="FootnoteTextChar"/>
          <w:sz w:val="20"/>
        </w:rPr>
        <w:t xml:space="preserve">. </w:t>
      </w:r>
      <w:proofErr w:type="spellStart"/>
      <w:r w:rsidRPr="00AE59CF">
        <w:rPr>
          <w:rStyle w:val="FootnoteTextChar"/>
          <w:sz w:val="20"/>
        </w:rPr>
        <w:t>См</w:t>
      </w:r>
      <w:proofErr w:type="spellEnd"/>
      <w:r w:rsidRPr="00AE59CF">
        <w:rPr>
          <w:rStyle w:val="FootnoteTextChar"/>
          <w:sz w:val="20"/>
        </w:rPr>
        <w:t>. </w:t>
      </w:r>
      <w:proofErr w:type="spellStart"/>
      <w:r w:rsidRPr="00AE59CF">
        <w:rPr>
          <w:rStyle w:val="FootnoteTextChar"/>
          <w:sz w:val="20"/>
        </w:rPr>
        <w:t>также</w:t>
      </w:r>
      <w:proofErr w:type="spellEnd"/>
      <w:r w:rsidRPr="00AE59CF">
        <w:rPr>
          <w:rStyle w:val="FootnoteTextChar"/>
          <w:sz w:val="20"/>
        </w:rPr>
        <w:t xml:space="preserve"> </w:t>
      </w:r>
      <w:proofErr w:type="spellStart"/>
      <w:r w:rsidRPr="00AE59CF">
        <w:rPr>
          <w:rStyle w:val="FootnoteTextChar"/>
          <w:sz w:val="20"/>
        </w:rPr>
        <w:t>Mindel</w:t>
      </w:r>
      <w:proofErr w:type="spellEnd"/>
      <w:r w:rsidRPr="00AE59CF">
        <w:rPr>
          <w:rStyle w:val="FootnoteTextChar"/>
          <w:sz w:val="20"/>
        </w:rPr>
        <w:t xml:space="preserve"> De La Torre and </w:t>
      </w:r>
      <w:proofErr w:type="spellStart"/>
      <w:r w:rsidRPr="00AE59CF">
        <w:rPr>
          <w:rStyle w:val="FootnoteTextChar"/>
          <w:sz w:val="20"/>
        </w:rPr>
        <w:t>Sofie</w:t>
      </w:r>
      <w:proofErr w:type="spellEnd"/>
      <w:r w:rsidRPr="00AE59CF">
        <w:rPr>
          <w:rStyle w:val="FootnoteTextChar"/>
          <w:sz w:val="20"/>
        </w:rPr>
        <w:t xml:space="preserve"> Maddens, "Transitioning Regulation </w:t>
      </w:r>
      <w:proofErr w:type="gramStart"/>
      <w:r w:rsidRPr="00AE59CF">
        <w:rPr>
          <w:rStyle w:val="FootnoteTextChar"/>
          <w:sz w:val="20"/>
        </w:rPr>
        <w:t>From</w:t>
      </w:r>
      <w:proofErr w:type="gramEnd"/>
      <w:r w:rsidRPr="00AE59CF">
        <w:rPr>
          <w:rStyle w:val="FootnoteTextChar"/>
          <w:sz w:val="20"/>
        </w:rPr>
        <w:t xml:space="preserve"> Old to New" в </w:t>
      </w:r>
      <w:proofErr w:type="spellStart"/>
      <w:r w:rsidRPr="00AE59CF">
        <w:rPr>
          <w:rStyle w:val="FootnoteTextChar"/>
          <w:sz w:val="20"/>
        </w:rPr>
        <w:t>издании</w:t>
      </w:r>
      <w:proofErr w:type="spellEnd"/>
      <w:r w:rsidRPr="00AE59CF">
        <w:rPr>
          <w:rStyle w:val="FootnoteTextChar"/>
          <w:sz w:val="20"/>
        </w:rPr>
        <w:t xml:space="preserve"> МСЭ Trends in Telecommunications Reform 2004/2005: Licensing in an Era of Convergence (December 2004).</w:t>
      </w:r>
    </w:p>
  </w:footnote>
  <w:footnote w:id="2">
    <w:p w:rsidR="00CF5441" w:rsidRPr="00AE59CF" w:rsidRDefault="00CF5441" w:rsidP="002266DA">
      <w:pPr>
        <w:pStyle w:val="FootnoteText"/>
        <w:tabs>
          <w:tab w:val="left" w:pos="284"/>
        </w:tabs>
        <w:spacing w:before="60"/>
        <w:ind w:left="284" w:hanging="284"/>
      </w:pPr>
      <w:r w:rsidRPr="00FA5CF9">
        <w:rPr>
          <w:rStyle w:val="Verdana"/>
          <w:rFonts w:asciiTheme="majorBidi" w:hAnsiTheme="majorBidi" w:cstheme="majorBidi"/>
          <w:sz w:val="16"/>
          <w:szCs w:val="16"/>
        </w:rPr>
        <w:footnoteRef/>
      </w:r>
      <w:r w:rsidRPr="0063252A">
        <w:rPr>
          <w:rFonts w:ascii="Verdana" w:hAnsi="Verdana"/>
          <w:sz w:val="16"/>
          <w:szCs w:val="16"/>
          <w:vertAlign w:val="superscript"/>
        </w:rPr>
        <w:t xml:space="preserve"> </w:t>
      </w:r>
      <w:r>
        <w:rPr>
          <w:rFonts w:ascii="Verdana" w:hAnsi="Verdana"/>
          <w:sz w:val="16"/>
          <w:szCs w:val="16"/>
          <w:vertAlign w:val="superscript"/>
        </w:rPr>
        <w:tab/>
      </w:r>
      <w:proofErr w:type="spellStart"/>
      <w:r w:rsidRPr="00AE59CF">
        <w:t>Документ</w:t>
      </w:r>
      <w:proofErr w:type="spellEnd"/>
      <w:r w:rsidRPr="00AE59CF">
        <w:t xml:space="preserve"> 1/123, Regulatory trends for adapting licensing frameworks to a converged environment, 11 </w:t>
      </w:r>
      <w:proofErr w:type="spellStart"/>
      <w:r w:rsidRPr="00AE59CF">
        <w:t>сентября</w:t>
      </w:r>
      <w:proofErr w:type="spellEnd"/>
      <w:r w:rsidRPr="00AE59CF">
        <w:t xml:space="preserve"> 2007 </w:t>
      </w:r>
      <w:proofErr w:type="spellStart"/>
      <w:r w:rsidRPr="00AE59CF">
        <w:t>года</w:t>
      </w:r>
      <w:proofErr w:type="spellEnd"/>
      <w:r w:rsidRPr="00AE59CF">
        <w:t>.</w:t>
      </w:r>
    </w:p>
  </w:footnote>
  <w:footnote w:id="3">
    <w:p w:rsidR="00CF5441" w:rsidRPr="00FA5CF9" w:rsidRDefault="00CF5441" w:rsidP="00AE59CF">
      <w:pPr>
        <w:pStyle w:val="FootnoteText"/>
        <w:tabs>
          <w:tab w:val="clear" w:pos="794"/>
          <w:tab w:val="left" w:pos="284"/>
        </w:tabs>
        <w:spacing w:before="60"/>
        <w:ind w:left="284" w:hanging="284"/>
        <w:rPr>
          <w:rFonts w:asciiTheme="majorBidi" w:hAnsiTheme="majorBidi" w:cstheme="majorBidi"/>
        </w:rPr>
      </w:pPr>
      <w:r w:rsidRPr="00FA5CF9">
        <w:rPr>
          <w:rStyle w:val="Verdana"/>
          <w:rFonts w:asciiTheme="majorBidi" w:hAnsiTheme="majorBidi" w:cstheme="majorBidi"/>
          <w:sz w:val="16"/>
          <w:szCs w:val="16"/>
        </w:rPr>
        <w:footnoteRef/>
      </w:r>
      <w:r w:rsidRPr="00987484">
        <w:rPr>
          <w:rFonts w:ascii="Verdana" w:hAnsi="Verdana"/>
          <w:sz w:val="16"/>
          <w:szCs w:val="16"/>
        </w:rPr>
        <w:tab/>
      </w:r>
      <w:r w:rsidRPr="00FA5CF9">
        <w:rPr>
          <w:rFonts w:asciiTheme="majorBidi" w:hAnsiTheme="majorBidi" w:cstheme="majorBidi"/>
          <w:lang w:val="ru-RU"/>
        </w:rPr>
        <w:t>Документ</w:t>
      </w:r>
      <w:r w:rsidRPr="00FA5CF9">
        <w:rPr>
          <w:rFonts w:asciiTheme="majorBidi" w:hAnsiTheme="majorBidi" w:cstheme="majorBidi"/>
        </w:rPr>
        <w:t xml:space="preserve"> 1/123, Regulatory trends for adapting licensing frameworks to a converged environment, 11 </w:t>
      </w:r>
      <w:r w:rsidRPr="00FA5CF9">
        <w:rPr>
          <w:rFonts w:asciiTheme="majorBidi" w:hAnsiTheme="majorBidi" w:cstheme="majorBidi"/>
          <w:lang w:val="ru-RU"/>
        </w:rPr>
        <w:t>сентября</w:t>
      </w:r>
      <w:r w:rsidRPr="00FA5CF9">
        <w:rPr>
          <w:rFonts w:asciiTheme="majorBidi" w:hAnsiTheme="majorBidi" w:cstheme="majorBidi"/>
        </w:rPr>
        <w:t xml:space="preserve"> 2007 </w:t>
      </w:r>
      <w:r w:rsidRPr="00FA5CF9">
        <w:rPr>
          <w:rFonts w:asciiTheme="majorBidi" w:hAnsiTheme="majorBidi" w:cstheme="majorBidi"/>
          <w:lang w:val="ru-RU"/>
        </w:rPr>
        <w:t>года</w:t>
      </w:r>
      <w:r w:rsidRPr="00FA5CF9">
        <w:rPr>
          <w:rFonts w:asciiTheme="majorBidi" w:hAnsiTheme="majorBidi" w:cstheme="majorBidi"/>
        </w:rPr>
        <w:t>.</w:t>
      </w:r>
    </w:p>
  </w:footnote>
  <w:footnote w:id="4">
    <w:p w:rsidR="00CF5441" w:rsidRPr="00FA5CF9" w:rsidRDefault="00CF5441" w:rsidP="00522DF3">
      <w:pPr>
        <w:pStyle w:val="FootnoteText"/>
        <w:tabs>
          <w:tab w:val="clear" w:pos="794"/>
          <w:tab w:val="left" w:pos="284"/>
        </w:tabs>
        <w:spacing w:before="60"/>
        <w:ind w:left="284" w:hanging="284"/>
        <w:rPr>
          <w:rFonts w:asciiTheme="majorBidi" w:hAnsiTheme="majorBidi" w:cstheme="majorBidi"/>
        </w:rPr>
      </w:pPr>
      <w:r w:rsidRPr="00FA5CF9">
        <w:rPr>
          <w:rFonts w:asciiTheme="majorBidi" w:hAnsiTheme="majorBidi" w:cstheme="majorBidi"/>
          <w:position w:val="6"/>
          <w:sz w:val="16"/>
          <w:szCs w:val="16"/>
        </w:rPr>
        <w:footnoteRef/>
      </w:r>
      <w:r w:rsidRPr="00987484">
        <w:rPr>
          <w:rFonts w:ascii="Verdana" w:hAnsi="Verdana"/>
          <w:sz w:val="16"/>
          <w:szCs w:val="16"/>
        </w:rPr>
        <w:tab/>
      </w:r>
      <w:r w:rsidRPr="00FA5CF9">
        <w:rPr>
          <w:rFonts w:asciiTheme="majorBidi" w:hAnsiTheme="majorBidi" w:cstheme="majorBidi"/>
          <w:lang w:val="ru-RU"/>
        </w:rPr>
        <w:t>Документ</w:t>
      </w:r>
      <w:r w:rsidRPr="00FA5CF9">
        <w:rPr>
          <w:rFonts w:asciiTheme="majorBidi" w:hAnsiTheme="majorBidi" w:cstheme="majorBidi"/>
        </w:rPr>
        <w:t xml:space="preserve"> </w:t>
      </w:r>
      <w:proofErr w:type="spellStart"/>
      <w:r w:rsidRPr="00FA5CF9">
        <w:rPr>
          <w:rFonts w:asciiTheme="majorBidi" w:hAnsiTheme="majorBidi" w:cstheme="majorBidi"/>
        </w:rPr>
        <w:t>RGQ10</w:t>
      </w:r>
      <w:proofErr w:type="spellEnd"/>
      <w:r w:rsidRPr="00FA5CF9">
        <w:rPr>
          <w:rFonts w:asciiTheme="majorBidi" w:hAnsiTheme="majorBidi" w:cstheme="majorBidi"/>
        </w:rPr>
        <w:t xml:space="preserve">-2/1/008, 10 </w:t>
      </w:r>
      <w:r w:rsidRPr="00FA5CF9">
        <w:rPr>
          <w:rFonts w:asciiTheme="majorBidi" w:hAnsiTheme="majorBidi" w:cstheme="majorBidi"/>
          <w:lang w:val="ru-RU"/>
        </w:rPr>
        <w:t>декабря</w:t>
      </w:r>
      <w:r w:rsidRPr="00FA5CF9">
        <w:rPr>
          <w:rFonts w:asciiTheme="majorBidi" w:hAnsiTheme="majorBidi" w:cstheme="majorBidi"/>
        </w:rPr>
        <w:t xml:space="preserve"> 2007 </w:t>
      </w:r>
      <w:r w:rsidRPr="00FA5CF9">
        <w:rPr>
          <w:rFonts w:asciiTheme="majorBidi" w:hAnsiTheme="majorBidi" w:cstheme="majorBidi"/>
          <w:lang w:val="ru-RU"/>
        </w:rPr>
        <w:t>года</w:t>
      </w:r>
      <w:r w:rsidRPr="00FA5CF9">
        <w:rPr>
          <w:rFonts w:asciiTheme="majorBidi" w:hAnsiTheme="majorBidi" w:cstheme="majorBidi"/>
        </w:rPr>
        <w:t>.</w:t>
      </w:r>
    </w:p>
  </w:footnote>
  <w:footnote w:id="5">
    <w:p w:rsidR="00CF5441" w:rsidRPr="00FA5CF9" w:rsidRDefault="00CF5441" w:rsidP="00522DF3">
      <w:pPr>
        <w:pStyle w:val="FootnoteText"/>
        <w:tabs>
          <w:tab w:val="clear" w:pos="794"/>
          <w:tab w:val="left" w:pos="284"/>
        </w:tabs>
        <w:spacing w:before="60"/>
        <w:ind w:left="284" w:hanging="284"/>
        <w:rPr>
          <w:rFonts w:asciiTheme="majorBidi" w:hAnsiTheme="majorBidi" w:cstheme="majorBidi"/>
        </w:rPr>
      </w:pPr>
      <w:r w:rsidRPr="00FA5CF9">
        <w:rPr>
          <w:position w:val="6"/>
          <w:sz w:val="16"/>
          <w:szCs w:val="16"/>
        </w:rPr>
        <w:footnoteRef/>
      </w:r>
      <w:r w:rsidRPr="00987484">
        <w:rPr>
          <w:rFonts w:ascii="Verdana" w:hAnsi="Verdana"/>
          <w:sz w:val="16"/>
          <w:szCs w:val="16"/>
        </w:rPr>
        <w:tab/>
      </w:r>
      <w:r w:rsidRPr="00FA5CF9">
        <w:rPr>
          <w:rFonts w:asciiTheme="majorBidi" w:hAnsiTheme="majorBidi" w:cstheme="majorBidi"/>
          <w:lang w:val="ru-RU"/>
        </w:rPr>
        <w:t>Документ</w:t>
      </w:r>
      <w:r w:rsidRPr="00FA5CF9">
        <w:rPr>
          <w:rFonts w:asciiTheme="majorBidi" w:hAnsiTheme="majorBidi" w:cstheme="majorBidi"/>
        </w:rPr>
        <w:t xml:space="preserve"> 1/178, Licensing practices in a converging </w:t>
      </w:r>
      <w:proofErr w:type="spellStart"/>
      <w:r w:rsidRPr="00FA5CF9">
        <w:rPr>
          <w:rFonts w:asciiTheme="majorBidi" w:hAnsiTheme="majorBidi" w:cstheme="majorBidi"/>
        </w:rPr>
        <w:t>ICT</w:t>
      </w:r>
      <w:proofErr w:type="spellEnd"/>
      <w:r w:rsidRPr="00FA5CF9">
        <w:rPr>
          <w:rFonts w:asciiTheme="majorBidi" w:hAnsiTheme="majorBidi" w:cstheme="majorBidi"/>
        </w:rPr>
        <w:t xml:space="preserve"> environment, 28 </w:t>
      </w:r>
      <w:r w:rsidRPr="00FA5CF9">
        <w:rPr>
          <w:rFonts w:asciiTheme="majorBidi" w:hAnsiTheme="majorBidi" w:cstheme="majorBidi"/>
          <w:lang w:val="ru-RU"/>
        </w:rPr>
        <w:t>августа</w:t>
      </w:r>
      <w:r w:rsidRPr="00FA5CF9">
        <w:rPr>
          <w:rFonts w:asciiTheme="majorBidi" w:hAnsiTheme="majorBidi" w:cstheme="majorBidi"/>
        </w:rPr>
        <w:t xml:space="preserve"> 2008 </w:t>
      </w:r>
      <w:r w:rsidRPr="00FA5CF9">
        <w:rPr>
          <w:rFonts w:asciiTheme="majorBidi" w:hAnsiTheme="majorBidi" w:cstheme="majorBidi"/>
          <w:lang w:val="ru-RU"/>
        </w:rPr>
        <w:t>года</w:t>
      </w:r>
      <w:r w:rsidRPr="00FA5CF9">
        <w:rPr>
          <w:rFonts w:asciiTheme="majorBidi" w:hAnsiTheme="majorBidi" w:cstheme="majorBidi"/>
        </w:rPr>
        <w:t xml:space="preserve">. </w:t>
      </w:r>
    </w:p>
  </w:footnote>
  <w:footnote w:id="6">
    <w:p w:rsidR="00CF5441" w:rsidRPr="00D77986" w:rsidRDefault="00CF5441" w:rsidP="00522DF3">
      <w:pPr>
        <w:tabs>
          <w:tab w:val="left" w:pos="284"/>
        </w:tabs>
        <w:spacing w:before="60"/>
        <w:ind w:left="284" w:hanging="284"/>
        <w:rPr>
          <w:sz w:val="20"/>
          <w:lang w:val="ru-RU"/>
        </w:rPr>
      </w:pPr>
      <w:r w:rsidRPr="00FA5CF9">
        <w:rPr>
          <w:position w:val="6"/>
          <w:sz w:val="16"/>
          <w:szCs w:val="16"/>
        </w:rPr>
        <w:footnoteRef/>
      </w:r>
      <w:r w:rsidRPr="0057181B">
        <w:rPr>
          <w:sz w:val="16"/>
          <w:szCs w:val="16"/>
          <w:vertAlign w:val="superscript"/>
          <w:lang w:val="ru-RU"/>
        </w:rPr>
        <w:tab/>
      </w:r>
      <w:r w:rsidRPr="00D77986">
        <w:rPr>
          <w:sz w:val="20"/>
          <w:lang w:val="ru-RU"/>
        </w:rPr>
        <w:t>См.</w:t>
      </w:r>
      <w:r w:rsidRPr="00D77986">
        <w:rPr>
          <w:sz w:val="20"/>
          <w:lang w:val="en-US"/>
        </w:rPr>
        <w:t> </w:t>
      </w:r>
      <w:r w:rsidRPr="00D77986">
        <w:rPr>
          <w:sz w:val="20"/>
          <w:lang w:val="ru-RU"/>
        </w:rPr>
        <w:t xml:space="preserve">Закон Малайзии "О коммуникациях и мультимедиа" от 1998 года по адресу: </w:t>
      </w:r>
      <w:hyperlink r:id="rId2" w:history="1">
        <w:r w:rsidRPr="00E05712">
          <w:rPr>
            <w:rStyle w:val="Hyperlink"/>
            <w:sz w:val="20"/>
          </w:rPr>
          <w:t>http</w:t>
        </w:r>
        <w:r w:rsidRPr="00E05712">
          <w:rPr>
            <w:rStyle w:val="Hyperlink"/>
            <w:sz w:val="20"/>
            <w:lang w:val="ru-RU"/>
          </w:rPr>
          <w:t>://</w:t>
        </w:r>
        <w:r w:rsidRPr="00E05712">
          <w:rPr>
            <w:rStyle w:val="Hyperlink"/>
            <w:sz w:val="20"/>
          </w:rPr>
          <w:t>www</w:t>
        </w:r>
        <w:r w:rsidRPr="00E05712">
          <w:rPr>
            <w:rStyle w:val="Hyperlink"/>
            <w:sz w:val="20"/>
            <w:lang w:val="ru-RU"/>
          </w:rPr>
          <w:t>.</w:t>
        </w:r>
        <w:proofErr w:type="spellStart"/>
        <w:r w:rsidRPr="00E05712">
          <w:rPr>
            <w:rStyle w:val="Hyperlink"/>
            <w:sz w:val="20"/>
          </w:rPr>
          <w:t>mcmc</w:t>
        </w:r>
        <w:proofErr w:type="spellEnd"/>
        <w:r w:rsidRPr="00E05712">
          <w:rPr>
            <w:rStyle w:val="Hyperlink"/>
            <w:sz w:val="20"/>
            <w:lang w:val="ru-RU"/>
          </w:rPr>
          <w:t>.</w:t>
        </w:r>
        <w:proofErr w:type="spellStart"/>
        <w:r w:rsidRPr="00E05712">
          <w:rPr>
            <w:rStyle w:val="Hyperlink"/>
            <w:sz w:val="20"/>
          </w:rPr>
          <w:t>gov</w:t>
        </w:r>
        <w:proofErr w:type="spellEnd"/>
        <w:r w:rsidRPr="00E05712">
          <w:rPr>
            <w:rStyle w:val="Hyperlink"/>
            <w:sz w:val="20"/>
            <w:lang w:val="ru-RU"/>
          </w:rPr>
          <w:t>.</w:t>
        </w:r>
        <w:r w:rsidRPr="00E05712">
          <w:rPr>
            <w:rStyle w:val="Hyperlink"/>
            <w:sz w:val="20"/>
          </w:rPr>
          <w:t>my</w:t>
        </w:r>
        <w:r w:rsidRPr="00E05712">
          <w:rPr>
            <w:rStyle w:val="Hyperlink"/>
            <w:sz w:val="20"/>
            <w:lang w:val="ru-RU"/>
          </w:rPr>
          <w:br/>
          <w:t>/</w:t>
        </w:r>
        <w:proofErr w:type="spellStart"/>
        <w:r w:rsidRPr="00E05712">
          <w:rPr>
            <w:rStyle w:val="Hyperlink"/>
            <w:sz w:val="20"/>
          </w:rPr>
          <w:t>mcmc</w:t>
        </w:r>
        <w:proofErr w:type="spellEnd"/>
        <w:r w:rsidRPr="00E05712">
          <w:rPr>
            <w:rStyle w:val="Hyperlink"/>
            <w:sz w:val="20"/>
            <w:lang w:val="ru-RU"/>
          </w:rPr>
          <w:t>/</w:t>
        </w:r>
        <w:r w:rsidRPr="00E05712">
          <w:rPr>
            <w:rStyle w:val="Hyperlink"/>
            <w:sz w:val="20"/>
          </w:rPr>
          <w:t>the</w:t>
        </w:r>
        <w:r w:rsidRPr="00E05712">
          <w:rPr>
            <w:rStyle w:val="Hyperlink"/>
            <w:sz w:val="20"/>
            <w:lang w:val="ru-RU"/>
          </w:rPr>
          <w:t>_</w:t>
        </w:r>
        <w:r w:rsidRPr="00E05712">
          <w:rPr>
            <w:rStyle w:val="Hyperlink"/>
            <w:sz w:val="20"/>
          </w:rPr>
          <w:t>law</w:t>
        </w:r>
        <w:r w:rsidRPr="00E05712">
          <w:rPr>
            <w:rStyle w:val="Hyperlink"/>
            <w:sz w:val="20"/>
            <w:lang w:val="ru-RU"/>
          </w:rPr>
          <w:t>/</w:t>
        </w:r>
        <w:proofErr w:type="spellStart"/>
        <w:r w:rsidRPr="00E05712">
          <w:rPr>
            <w:rStyle w:val="Hyperlink"/>
            <w:sz w:val="20"/>
          </w:rPr>
          <w:t>ViewAct</w:t>
        </w:r>
        <w:proofErr w:type="spellEnd"/>
        <w:r w:rsidRPr="00E05712">
          <w:rPr>
            <w:rStyle w:val="Hyperlink"/>
            <w:sz w:val="20"/>
            <w:lang w:val="ru-RU"/>
          </w:rPr>
          <w:t>.</w:t>
        </w:r>
        <w:r w:rsidRPr="00E05712">
          <w:rPr>
            <w:rStyle w:val="Hyperlink"/>
            <w:sz w:val="20"/>
          </w:rPr>
          <w:t>asp</w:t>
        </w:r>
        <w:r w:rsidRPr="00E05712">
          <w:rPr>
            <w:rStyle w:val="Hyperlink"/>
            <w:sz w:val="20"/>
            <w:lang w:val="ru-RU"/>
          </w:rPr>
          <w:t>?</w:t>
        </w:r>
        <w:r w:rsidRPr="00E05712">
          <w:rPr>
            <w:rStyle w:val="Hyperlink"/>
            <w:sz w:val="20"/>
          </w:rPr>
          <w:t>cc</w:t>
        </w:r>
        <w:proofErr w:type="spellStart"/>
        <w:r w:rsidRPr="00E05712">
          <w:rPr>
            <w:rStyle w:val="Hyperlink"/>
            <w:sz w:val="20"/>
            <w:lang w:val="ru-RU"/>
          </w:rPr>
          <w:t>=31478525&amp;</w:t>
        </w:r>
        <w:r w:rsidRPr="00E05712">
          <w:rPr>
            <w:rStyle w:val="Hyperlink"/>
            <w:sz w:val="20"/>
          </w:rPr>
          <w:t>lg</w:t>
        </w:r>
        <w:proofErr w:type="spellEnd"/>
        <w:r w:rsidRPr="00E05712">
          <w:rPr>
            <w:rStyle w:val="Hyperlink"/>
            <w:sz w:val="20"/>
            <w:lang w:val="ru-RU"/>
          </w:rPr>
          <w:t>=</w:t>
        </w:r>
        <w:r w:rsidRPr="00E05712">
          <w:rPr>
            <w:rStyle w:val="Hyperlink"/>
            <w:sz w:val="20"/>
          </w:rPr>
          <w:t>e</w:t>
        </w:r>
        <w:r w:rsidRPr="00E05712">
          <w:rPr>
            <w:rStyle w:val="Hyperlink"/>
            <w:sz w:val="20"/>
            <w:lang w:val="ru-RU"/>
          </w:rPr>
          <w:t>&amp;</w:t>
        </w:r>
        <w:r w:rsidRPr="00E05712">
          <w:rPr>
            <w:rStyle w:val="Hyperlink"/>
            <w:sz w:val="20"/>
          </w:rPr>
          <w:t>arid</w:t>
        </w:r>
        <w:proofErr w:type="spellStart"/>
        <w:r w:rsidRPr="00E05712">
          <w:rPr>
            <w:rStyle w:val="Hyperlink"/>
            <w:sz w:val="20"/>
            <w:lang w:val="ru-RU"/>
          </w:rPr>
          <w:t>=900722</w:t>
        </w:r>
        <w:proofErr w:type="spellEnd"/>
      </w:hyperlink>
      <w:r w:rsidRPr="00D77986">
        <w:rPr>
          <w:sz w:val="20"/>
          <w:lang w:val="ru-RU"/>
        </w:rPr>
        <w:t>.</w:t>
      </w:r>
    </w:p>
  </w:footnote>
  <w:footnote w:id="7">
    <w:p w:rsidR="00CF5441" w:rsidRPr="00CF5441" w:rsidRDefault="00CF5441" w:rsidP="00522DF3">
      <w:pPr>
        <w:tabs>
          <w:tab w:val="left" w:pos="284"/>
        </w:tabs>
        <w:spacing w:before="60"/>
        <w:ind w:left="284" w:hanging="284"/>
        <w:rPr>
          <w:sz w:val="20"/>
          <w:lang w:val="ru-RU"/>
        </w:rPr>
      </w:pPr>
      <w:r w:rsidRPr="00FA5CF9">
        <w:rPr>
          <w:position w:val="6"/>
          <w:sz w:val="16"/>
          <w:szCs w:val="16"/>
        </w:rPr>
        <w:footnoteRef/>
      </w:r>
      <w:r w:rsidRPr="00616DEA">
        <w:rPr>
          <w:sz w:val="16"/>
          <w:szCs w:val="16"/>
          <w:lang w:val="ru-RU"/>
        </w:rPr>
        <w:tab/>
      </w:r>
      <w:r w:rsidRPr="00CF5441">
        <w:rPr>
          <w:sz w:val="20"/>
          <w:lang w:val="ru-RU"/>
        </w:rPr>
        <w:t xml:space="preserve">Более подробную информацию о </w:t>
      </w:r>
      <w:proofErr w:type="spellStart"/>
      <w:r w:rsidRPr="00CF5441">
        <w:rPr>
          <w:sz w:val="20"/>
        </w:rPr>
        <w:t>CFL</w:t>
      </w:r>
      <w:proofErr w:type="spellEnd"/>
      <w:r w:rsidRPr="00CF5441">
        <w:rPr>
          <w:sz w:val="20"/>
          <w:lang w:val="ru-RU"/>
        </w:rPr>
        <w:t xml:space="preserve"> см.</w:t>
      </w:r>
      <w:r w:rsidRPr="00CF5441">
        <w:rPr>
          <w:sz w:val="20"/>
          <w:lang w:val="en-US"/>
        </w:rPr>
        <w:t> </w:t>
      </w:r>
      <w:r w:rsidRPr="00CF5441">
        <w:rPr>
          <w:sz w:val="20"/>
          <w:lang w:val="ru-RU"/>
        </w:rPr>
        <w:t>во вкладе Танзании по Вопросу</w:t>
      </w:r>
      <w:r w:rsidRPr="00CF5441">
        <w:rPr>
          <w:sz w:val="20"/>
          <w:lang w:val="en-US"/>
        </w:rPr>
        <w:t> </w:t>
      </w:r>
      <w:r w:rsidRPr="00CF5441">
        <w:rPr>
          <w:sz w:val="20"/>
          <w:lang w:val="ru-RU"/>
        </w:rPr>
        <w:t>10-2/1 "</w:t>
      </w:r>
      <w:r w:rsidRPr="00CF5441">
        <w:rPr>
          <w:sz w:val="20"/>
        </w:rPr>
        <w:t>Tanzania</w:t>
      </w:r>
      <w:r w:rsidRPr="00CF5441">
        <w:rPr>
          <w:sz w:val="20"/>
          <w:lang w:val="ru-RU"/>
        </w:rPr>
        <w:t>’</w:t>
      </w:r>
      <w:r w:rsidRPr="00CF5441">
        <w:rPr>
          <w:sz w:val="20"/>
        </w:rPr>
        <w:t>s</w:t>
      </w:r>
      <w:r w:rsidRPr="00CF5441">
        <w:rPr>
          <w:sz w:val="20"/>
          <w:lang w:val="ru-RU"/>
        </w:rPr>
        <w:t xml:space="preserve"> </w:t>
      </w:r>
      <w:r w:rsidRPr="00CF5441">
        <w:rPr>
          <w:sz w:val="20"/>
        </w:rPr>
        <w:t>Experience</w:t>
      </w:r>
      <w:r w:rsidRPr="00CF5441">
        <w:rPr>
          <w:sz w:val="20"/>
          <w:lang w:val="ru-RU"/>
        </w:rPr>
        <w:t xml:space="preserve"> </w:t>
      </w:r>
      <w:r w:rsidRPr="00CF5441">
        <w:rPr>
          <w:sz w:val="20"/>
        </w:rPr>
        <w:t>in</w:t>
      </w:r>
      <w:r w:rsidRPr="00CF5441">
        <w:rPr>
          <w:sz w:val="20"/>
          <w:lang w:val="ru-RU"/>
        </w:rPr>
        <w:t xml:space="preserve"> </w:t>
      </w:r>
      <w:r w:rsidRPr="00CF5441">
        <w:rPr>
          <w:sz w:val="20"/>
        </w:rPr>
        <w:t>Licensing</w:t>
      </w:r>
      <w:r w:rsidRPr="00CF5441">
        <w:rPr>
          <w:sz w:val="20"/>
          <w:lang w:val="ru-RU"/>
        </w:rPr>
        <w:t xml:space="preserve"> </w:t>
      </w:r>
      <w:r w:rsidRPr="00CF5441">
        <w:rPr>
          <w:sz w:val="20"/>
        </w:rPr>
        <w:t>of</w:t>
      </w:r>
      <w:r w:rsidRPr="00CF5441">
        <w:rPr>
          <w:sz w:val="20"/>
          <w:lang w:val="ru-RU"/>
        </w:rPr>
        <w:t xml:space="preserve"> </w:t>
      </w:r>
      <w:r w:rsidRPr="00CF5441">
        <w:rPr>
          <w:sz w:val="20"/>
        </w:rPr>
        <w:t>Communication</w:t>
      </w:r>
      <w:r w:rsidRPr="00CF5441">
        <w:rPr>
          <w:sz w:val="20"/>
          <w:lang w:val="ru-RU"/>
        </w:rPr>
        <w:t xml:space="preserve"> </w:t>
      </w:r>
      <w:r w:rsidRPr="00CF5441">
        <w:rPr>
          <w:sz w:val="20"/>
        </w:rPr>
        <w:t>Operators</w:t>
      </w:r>
      <w:r w:rsidRPr="00CF5441">
        <w:rPr>
          <w:sz w:val="20"/>
          <w:lang w:val="ru-RU"/>
        </w:rPr>
        <w:t xml:space="preserve"> </w:t>
      </w:r>
      <w:r w:rsidRPr="00CF5441">
        <w:rPr>
          <w:sz w:val="20"/>
        </w:rPr>
        <w:t>under</w:t>
      </w:r>
      <w:r w:rsidRPr="00CF5441">
        <w:rPr>
          <w:sz w:val="20"/>
          <w:lang w:val="ru-RU"/>
        </w:rPr>
        <w:t xml:space="preserve"> </w:t>
      </w:r>
      <w:r w:rsidRPr="00CF5441">
        <w:rPr>
          <w:sz w:val="20"/>
        </w:rPr>
        <w:t>Converged</w:t>
      </w:r>
      <w:r w:rsidRPr="00CF5441">
        <w:rPr>
          <w:sz w:val="20"/>
          <w:lang w:val="ru-RU"/>
        </w:rPr>
        <w:t xml:space="preserve"> </w:t>
      </w:r>
      <w:r w:rsidRPr="00CF5441">
        <w:rPr>
          <w:sz w:val="20"/>
        </w:rPr>
        <w:t>Licensing</w:t>
      </w:r>
      <w:r w:rsidRPr="00CF5441">
        <w:rPr>
          <w:sz w:val="20"/>
          <w:lang w:val="ru-RU"/>
        </w:rPr>
        <w:t xml:space="preserve"> </w:t>
      </w:r>
      <w:r w:rsidRPr="00CF5441">
        <w:rPr>
          <w:sz w:val="20"/>
        </w:rPr>
        <w:t>Framework</w:t>
      </w:r>
      <w:r w:rsidRPr="00CF5441">
        <w:rPr>
          <w:sz w:val="20"/>
          <w:lang w:val="ru-RU"/>
        </w:rPr>
        <w:t>", Документ</w:t>
      </w:r>
      <w:r w:rsidRPr="00CF5441">
        <w:rPr>
          <w:sz w:val="20"/>
          <w:lang w:val="en-US"/>
        </w:rPr>
        <w:t> </w:t>
      </w:r>
      <w:proofErr w:type="spellStart"/>
      <w:r w:rsidRPr="00CF5441">
        <w:rPr>
          <w:sz w:val="20"/>
        </w:rPr>
        <w:t>RPGQ</w:t>
      </w:r>
      <w:proofErr w:type="spellEnd"/>
      <w:r w:rsidRPr="00CF5441">
        <w:rPr>
          <w:sz w:val="20"/>
          <w:lang w:val="ru-RU"/>
        </w:rPr>
        <w:t>10-2/1/006-</w:t>
      </w:r>
      <w:r w:rsidRPr="00CF5441">
        <w:rPr>
          <w:sz w:val="20"/>
        </w:rPr>
        <w:t>E</w:t>
      </w:r>
      <w:r w:rsidRPr="00CF5441">
        <w:rPr>
          <w:sz w:val="20"/>
          <w:lang w:val="ru-RU"/>
        </w:rPr>
        <w:t xml:space="preserve"> (31</w:t>
      </w:r>
      <w:r w:rsidRPr="00CF5441">
        <w:rPr>
          <w:sz w:val="20"/>
          <w:lang w:val="en-US"/>
        </w:rPr>
        <w:t> </w:t>
      </w:r>
      <w:r w:rsidRPr="00CF5441">
        <w:rPr>
          <w:sz w:val="20"/>
          <w:lang w:val="ru-RU"/>
        </w:rPr>
        <w:t>мая 2007</w:t>
      </w:r>
      <w:r w:rsidRPr="00CF5441">
        <w:rPr>
          <w:sz w:val="20"/>
          <w:lang w:val="en-US"/>
        </w:rPr>
        <w:t> </w:t>
      </w:r>
      <w:r w:rsidRPr="00CF5441">
        <w:rPr>
          <w:sz w:val="20"/>
          <w:lang w:val="ru-RU"/>
        </w:rPr>
        <w:t>г.).</w:t>
      </w:r>
    </w:p>
  </w:footnote>
  <w:footnote w:id="8">
    <w:p w:rsidR="00CF5441" w:rsidRPr="00D77986" w:rsidRDefault="00CF5441" w:rsidP="00522DF3">
      <w:pPr>
        <w:pStyle w:val="FootnoteText"/>
        <w:tabs>
          <w:tab w:val="clear" w:pos="794"/>
          <w:tab w:val="left" w:pos="284"/>
        </w:tabs>
        <w:spacing w:before="60"/>
        <w:ind w:left="284" w:hanging="284"/>
        <w:rPr>
          <w:rFonts w:asciiTheme="majorBidi" w:hAnsiTheme="majorBidi" w:cstheme="majorBidi"/>
          <w:lang w:val="ru-RU"/>
        </w:rPr>
      </w:pPr>
      <w:r w:rsidRPr="00FA5CF9">
        <w:rPr>
          <w:rFonts w:asciiTheme="majorBidi" w:hAnsiTheme="majorBidi" w:cstheme="majorBidi"/>
          <w:position w:val="6"/>
          <w:sz w:val="16"/>
          <w:szCs w:val="16"/>
        </w:rPr>
        <w:footnoteRef/>
      </w:r>
      <w:r w:rsidRPr="0057181B">
        <w:rPr>
          <w:rFonts w:ascii="Verdana" w:hAnsi="Verdana"/>
          <w:sz w:val="16"/>
          <w:szCs w:val="16"/>
          <w:lang w:val="ru-RU"/>
        </w:rPr>
        <w:tab/>
      </w:r>
      <w:r w:rsidRPr="00D77986">
        <w:rPr>
          <w:rFonts w:asciiTheme="majorBidi" w:hAnsiTheme="majorBidi" w:cstheme="majorBidi"/>
          <w:bCs/>
          <w:iCs/>
          <w:lang w:val="ru-RU"/>
        </w:rPr>
        <w:t>См.</w:t>
      </w:r>
      <w:r w:rsidRPr="00D77986">
        <w:rPr>
          <w:rFonts w:asciiTheme="majorBidi" w:hAnsiTheme="majorBidi" w:cstheme="majorBidi"/>
          <w:bCs/>
          <w:iCs/>
        </w:rPr>
        <w:t> </w:t>
      </w:r>
      <w:r w:rsidRPr="00D77986">
        <w:rPr>
          <w:rFonts w:asciiTheme="majorBidi" w:hAnsiTheme="majorBidi" w:cstheme="majorBidi"/>
          <w:bCs/>
          <w:iCs/>
          <w:lang w:val="ru-RU"/>
        </w:rPr>
        <w:t xml:space="preserve">Руководящие принципы Комиссии связи Уганды в области лицензирования по адресу: </w:t>
      </w:r>
      <w:hyperlink r:id="rId3" w:history="1">
        <w:r w:rsidRPr="00D77986">
          <w:rPr>
            <w:rStyle w:val="Hyperlink"/>
            <w:rFonts w:asciiTheme="majorBidi" w:hAnsiTheme="majorBidi" w:cstheme="majorBidi"/>
            <w:bCs/>
            <w:iCs/>
          </w:rPr>
          <w:t>www</w:t>
        </w:r>
        <w:r w:rsidRPr="00D77986">
          <w:rPr>
            <w:rStyle w:val="Hyperlink"/>
            <w:rFonts w:asciiTheme="majorBidi" w:hAnsiTheme="majorBidi" w:cstheme="majorBidi"/>
            <w:bCs/>
            <w:iCs/>
            <w:lang w:val="ru-RU"/>
          </w:rPr>
          <w:t>.</w:t>
        </w:r>
        <w:proofErr w:type="spellStart"/>
        <w:r w:rsidRPr="00D77986">
          <w:rPr>
            <w:rStyle w:val="Hyperlink"/>
            <w:rFonts w:asciiTheme="majorBidi" w:hAnsiTheme="majorBidi" w:cstheme="majorBidi"/>
            <w:bCs/>
            <w:iCs/>
          </w:rPr>
          <w:t>ucc</w:t>
        </w:r>
        <w:proofErr w:type="spellEnd"/>
        <w:r w:rsidRPr="00D77986">
          <w:rPr>
            <w:rStyle w:val="Hyperlink"/>
            <w:rFonts w:asciiTheme="majorBidi" w:hAnsiTheme="majorBidi" w:cstheme="majorBidi"/>
            <w:bCs/>
            <w:iCs/>
            <w:lang w:val="ru-RU"/>
          </w:rPr>
          <w:t>.</w:t>
        </w:r>
        <w:r w:rsidRPr="00D77986">
          <w:rPr>
            <w:rStyle w:val="Hyperlink"/>
            <w:rFonts w:asciiTheme="majorBidi" w:hAnsiTheme="majorBidi" w:cstheme="majorBidi"/>
            <w:bCs/>
            <w:iCs/>
          </w:rPr>
          <w:t>co</w:t>
        </w:r>
        <w:r w:rsidRPr="00D77986">
          <w:rPr>
            <w:rStyle w:val="Hyperlink"/>
            <w:rFonts w:asciiTheme="majorBidi" w:hAnsiTheme="majorBidi" w:cstheme="majorBidi"/>
            <w:bCs/>
            <w:iCs/>
            <w:lang w:val="ru-RU"/>
          </w:rPr>
          <w:t>.</w:t>
        </w:r>
        <w:proofErr w:type="spellStart"/>
        <w:r w:rsidRPr="00D77986">
          <w:rPr>
            <w:rStyle w:val="Hyperlink"/>
            <w:rFonts w:asciiTheme="majorBidi" w:hAnsiTheme="majorBidi" w:cstheme="majorBidi"/>
            <w:bCs/>
            <w:iCs/>
          </w:rPr>
          <w:t>ug</w:t>
        </w:r>
        <w:proofErr w:type="spellEnd"/>
        <w:r w:rsidRPr="00D77986">
          <w:rPr>
            <w:rStyle w:val="Hyperlink"/>
            <w:rFonts w:asciiTheme="majorBidi" w:hAnsiTheme="majorBidi" w:cstheme="majorBidi"/>
            <w:bCs/>
            <w:iCs/>
            <w:lang w:val="ru-RU"/>
          </w:rPr>
          <w:t>/</w:t>
        </w:r>
        <w:r w:rsidRPr="00D77986">
          <w:rPr>
            <w:rStyle w:val="Hyperlink"/>
            <w:rFonts w:asciiTheme="majorBidi" w:hAnsiTheme="majorBidi" w:cstheme="majorBidi"/>
            <w:bCs/>
            <w:iCs/>
          </w:rPr>
          <w:t>licensing</w:t>
        </w:r>
        <w:r w:rsidRPr="00D77986">
          <w:rPr>
            <w:rStyle w:val="Hyperlink"/>
            <w:rFonts w:asciiTheme="majorBidi" w:hAnsiTheme="majorBidi" w:cstheme="majorBidi"/>
            <w:bCs/>
            <w:iCs/>
            <w:lang w:val="ru-RU"/>
          </w:rPr>
          <w:t>/</w:t>
        </w:r>
        <w:r w:rsidRPr="00D77986">
          <w:rPr>
            <w:rStyle w:val="Hyperlink"/>
            <w:rFonts w:asciiTheme="majorBidi" w:hAnsiTheme="majorBidi" w:cstheme="majorBidi"/>
            <w:bCs/>
            <w:iCs/>
          </w:rPr>
          <w:t>default</w:t>
        </w:r>
        <w:r w:rsidRPr="00D77986">
          <w:rPr>
            <w:rStyle w:val="Hyperlink"/>
            <w:rFonts w:asciiTheme="majorBidi" w:hAnsiTheme="majorBidi" w:cstheme="majorBidi"/>
            <w:bCs/>
            <w:iCs/>
            <w:lang w:val="ru-RU"/>
          </w:rPr>
          <w:t>.</w:t>
        </w:r>
        <w:proofErr w:type="spellStart"/>
        <w:r w:rsidRPr="00D77986">
          <w:rPr>
            <w:rStyle w:val="Hyperlink"/>
            <w:rFonts w:asciiTheme="majorBidi" w:hAnsiTheme="majorBidi" w:cstheme="majorBidi"/>
            <w:bCs/>
            <w:iCs/>
          </w:rPr>
          <w:t>php</w:t>
        </w:r>
        <w:proofErr w:type="spellEnd"/>
      </w:hyperlink>
      <w:r w:rsidRPr="00D77986">
        <w:rPr>
          <w:rFonts w:asciiTheme="majorBidi" w:hAnsiTheme="majorBidi" w:cstheme="majorBidi"/>
          <w:lang w:val="ru-RU"/>
        </w:rPr>
        <w:t>.</w:t>
      </w:r>
    </w:p>
  </w:footnote>
  <w:footnote w:id="9">
    <w:p w:rsidR="00CF5441" w:rsidRPr="00984546" w:rsidRDefault="00CF5441" w:rsidP="00984546">
      <w:pPr>
        <w:keepLines/>
        <w:tabs>
          <w:tab w:val="left" w:pos="284"/>
        </w:tabs>
        <w:spacing w:before="60"/>
        <w:ind w:left="284" w:hanging="284"/>
        <w:rPr>
          <w:rStyle w:val="FootnoteTextChar"/>
          <w:sz w:val="20"/>
        </w:rPr>
      </w:pPr>
      <w:r w:rsidRPr="00984546">
        <w:rPr>
          <w:rStyle w:val="FootnoteReference"/>
        </w:rPr>
        <w:footnoteRef/>
      </w:r>
      <w:r>
        <w:rPr>
          <w:sz w:val="16"/>
          <w:szCs w:val="16"/>
        </w:rPr>
        <w:tab/>
      </w:r>
      <w:proofErr w:type="spellStart"/>
      <w:proofErr w:type="gramStart"/>
      <w:r w:rsidRPr="00984546">
        <w:rPr>
          <w:rStyle w:val="FootnoteTextChar"/>
          <w:sz w:val="20"/>
        </w:rPr>
        <w:t>Документ</w:t>
      </w:r>
      <w:proofErr w:type="spellEnd"/>
      <w:r w:rsidRPr="00984546">
        <w:rPr>
          <w:rStyle w:val="FootnoteTextChar"/>
          <w:sz w:val="20"/>
        </w:rPr>
        <w:t xml:space="preserve"> 1/178 "Licensing practices in a converging </w:t>
      </w:r>
      <w:proofErr w:type="spellStart"/>
      <w:r w:rsidRPr="00984546">
        <w:rPr>
          <w:rStyle w:val="FootnoteTextChar"/>
          <w:sz w:val="20"/>
        </w:rPr>
        <w:t>ICT</w:t>
      </w:r>
      <w:proofErr w:type="spellEnd"/>
      <w:r w:rsidRPr="00984546">
        <w:rPr>
          <w:rStyle w:val="FootnoteTextChar"/>
          <w:sz w:val="20"/>
        </w:rPr>
        <w:t xml:space="preserve"> environment", 28 </w:t>
      </w:r>
      <w:proofErr w:type="spellStart"/>
      <w:r w:rsidRPr="00984546">
        <w:rPr>
          <w:rStyle w:val="FootnoteTextChar"/>
          <w:sz w:val="20"/>
        </w:rPr>
        <w:t>августа</w:t>
      </w:r>
      <w:proofErr w:type="spellEnd"/>
      <w:r w:rsidRPr="00984546">
        <w:rPr>
          <w:rStyle w:val="FootnoteTextChar"/>
          <w:sz w:val="20"/>
        </w:rPr>
        <w:t xml:space="preserve"> 2008 </w:t>
      </w:r>
      <w:proofErr w:type="spellStart"/>
      <w:r w:rsidRPr="00984546">
        <w:rPr>
          <w:rStyle w:val="FootnoteTextChar"/>
          <w:sz w:val="20"/>
        </w:rPr>
        <w:t>года</w:t>
      </w:r>
      <w:proofErr w:type="spellEnd"/>
      <w:r w:rsidRPr="00984546">
        <w:rPr>
          <w:rStyle w:val="FootnoteTextChar"/>
          <w:sz w:val="20"/>
        </w:rPr>
        <w:t>.</w:t>
      </w:r>
      <w:proofErr w:type="gramEnd"/>
      <w:r w:rsidRPr="00984546">
        <w:rPr>
          <w:rStyle w:val="FootnoteTextChar"/>
          <w:sz w:val="20"/>
        </w:rPr>
        <w:t xml:space="preserve"> </w:t>
      </w:r>
      <w:proofErr w:type="spellStart"/>
      <w:proofErr w:type="gramStart"/>
      <w:r w:rsidRPr="00984546">
        <w:rPr>
          <w:rStyle w:val="FootnoteTextChar"/>
          <w:sz w:val="20"/>
        </w:rPr>
        <w:t>Танзания</w:t>
      </w:r>
      <w:proofErr w:type="spellEnd"/>
      <w:r w:rsidRPr="00984546">
        <w:rPr>
          <w:rStyle w:val="FootnoteTextChar"/>
          <w:sz w:val="20"/>
        </w:rPr>
        <w:t xml:space="preserve"> </w:t>
      </w:r>
      <w:proofErr w:type="spellStart"/>
      <w:r w:rsidRPr="00984546">
        <w:rPr>
          <w:rStyle w:val="FootnoteTextChar"/>
          <w:sz w:val="20"/>
        </w:rPr>
        <w:t>включена</w:t>
      </w:r>
      <w:proofErr w:type="spellEnd"/>
      <w:r w:rsidRPr="00984546">
        <w:rPr>
          <w:rStyle w:val="FootnoteTextChar"/>
          <w:sz w:val="20"/>
        </w:rPr>
        <w:t xml:space="preserve"> в </w:t>
      </w:r>
      <w:proofErr w:type="spellStart"/>
      <w:r w:rsidRPr="00984546">
        <w:rPr>
          <w:rStyle w:val="FootnoteTextChar"/>
          <w:sz w:val="20"/>
        </w:rPr>
        <w:t>предыдущую</w:t>
      </w:r>
      <w:proofErr w:type="spellEnd"/>
      <w:r w:rsidRPr="00984546">
        <w:rPr>
          <w:rStyle w:val="FootnoteTextChar"/>
          <w:sz w:val="20"/>
        </w:rPr>
        <w:t xml:space="preserve"> </w:t>
      </w:r>
      <w:proofErr w:type="spellStart"/>
      <w:r w:rsidRPr="00984546">
        <w:rPr>
          <w:rStyle w:val="FootnoteTextChar"/>
          <w:sz w:val="20"/>
        </w:rPr>
        <w:t>категорию</w:t>
      </w:r>
      <w:proofErr w:type="spellEnd"/>
      <w:r w:rsidRPr="00984546">
        <w:rPr>
          <w:rStyle w:val="FootnoteTextChar"/>
          <w:sz w:val="20"/>
        </w:rPr>
        <w:t xml:space="preserve">, </w:t>
      </w:r>
      <w:proofErr w:type="spellStart"/>
      <w:r w:rsidRPr="00984546">
        <w:rPr>
          <w:rStyle w:val="FootnoteTextChar"/>
          <w:sz w:val="20"/>
        </w:rPr>
        <w:t>поскольку</w:t>
      </w:r>
      <w:proofErr w:type="spellEnd"/>
      <w:r w:rsidRPr="00984546">
        <w:rPr>
          <w:rStyle w:val="FootnoteTextChar"/>
          <w:sz w:val="20"/>
        </w:rPr>
        <w:t xml:space="preserve"> </w:t>
      </w:r>
      <w:proofErr w:type="spellStart"/>
      <w:r w:rsidRPr="00984546">
        <w:rPr>
          <w:rStyle w:val="FootnoteTextChar"/>
          <w:sz w:val="20"/>
        </w:rPr>
        <w:t>принятая</w:t>
      </w:r>
      <w:proofErr w:type="spellEnd"/>
      <w:r w:rsidRPr="00984546">
        <w:rPr>
          <w:rStyle w:val="FootnoteTextChar"/>
          <w:sz w:val="20"/>
        </w:rPr>
        <w:t xml:space="preserve"> </w:t>
      </w:r>
      <w:proofErr w:type="spellStart"/>
      <w:r w:rsidRPr="00984546">
        <w:rPr>
          <w:rStyle w:val="FootnoteTextChar"/>
          <w:sz w:val="20"/>
        </w:rPr>
        <w:t>система</w:t>
      </w:r>
      <w:proofErr w:type="spellEnd"/>
      <w:r w:rsidRPr="00984546">
        <w:rPr>
          <w:rStyle w:val="FootnoteTextChar"/>
          <w:sz w:val="20"/>
        </w:rPr>
        <w:t xml:space="preserve"> </w:t>
      </w:r>
      <w:proofErr w:type="spellStart"/>
      <w:r w:rsidRPr="00984546">
        <w:rPr>
          <w:rStyle w:val="FootnoteTextChar"/>
          <w:sz w:val="20"/>
        </w:rPr>
        <w:t>является</w:t>
      </w:r>
      <w:proofErr w:type="spellEnd"/>
      <w:r w:rsidRPr="00984546">
        <w:rPr>
          <w:rStyle w:val="FootnoteTextChar"/>
          <w:sz w:val="20"/>
        </w:rPr>
        <w:t xml:space="preserve"> </w:t>
      </w:r>
      <w:proofErr w:type="spellStart"/>
      <w:r w:rsidRPr="00984546">
        <w:rPr>
          <w:rStyle w:val="FootnoteTextChar"/>
          <w:sz w:val="20"/>
        </w:rPr>
        <w:t>одним</w:t>
      </w:r>
      <w:proofErr w:type="spellEnd"/>
      <w:r w:rsidRPr="00984546">
        <w:rPr>
          <w:rStyle w:val="FootnoteTextChar"/>
          <w:sz w:val="20"/>
        </w:rPr>
        <w:t xml:space="preserve"> </w:t>
      </w:r>
      <w:proofErr w:type="spellStart"/>
      <w:r w:rsidRPr="00984546">
        <w:rPr>
          <w:rStyle w:val="FootnoteTextChar"/>
          <w:sz w:val="20"/>
        </w:rPr>
        <w:t>из</w:t>
      </w:r>
      <w:proofErr w:type="spellEnd"/>
      <w:r w:rsidRPr="00984546">
        <w:rPr>
          <w:rStyle w:val="FootnoteTextChar"/>
          <w:sz w:val="20"/>
        </w:rPr>
        <w:t xml:space="preserve"> </w:t>
      </w:r>
      <w:proofErr w:type="spellStart"/>
      <w:r w:rsidRPr="00984546">
        <w:rPr>
          <w:rStyle w:val="FootnoteTextChar"/>
          <w:sz w:val="20"/>
        </w:rPr>
        <w:t>видов</w:t>
      </w:r>
      <w:proofErr w:type="spellEnd"/>
      <w:r w:rsidRPr="00984546">
        <w:rPr>
          <w:rStyle w:val="FootnoteTextChar"/>
          <w:sz w:val="20"/>
        </w:rPr>
        <w:t xml:space="preserve"> </w:t>
      </w:r>
      <w:proofErr w:type="spellStart"/>
      <w:r w:rsidRPr="00984546">
        <w:rPr>
          <w:rStyle w:val="FootnoteTextChar"/>
          <w:sz w:val="20"/>
        </w:rPr>
        <w:t>объединения</w:t>
      </w:r>
      <w:proofErr w:type="spellEnd"/>
      <w:r w:rsidRPr="00984546">
        <w:rPr>
          <w:rStyle w:val="FootnoteTextChar"/>
          <w:sz w:val="20"/>
        </w:rPr>
        <w:t xml:space="preserve"> </w:t>
      </w:r>
      <w:proofErr w:type="spellStart"/>
      <w:r w:rsidRPr="00984546">
        <w:rPr>
          <w:rStyle w:val="FootnoteTextChar"/>
          <w:sz w:val="20"/>
        </w:rPr>
        <w:t>лицензий</w:t>
      </w:r>
      <w:proofErr w:type="spellEnd"/>
      <w:r w:rsidRPr="00984546">
        <w:rPr>
          <w:rStyle w:val="FootnoteTextChar"/>
          <w:sz w:val="20"/>
        </w:rPr>
        <w:t>.</w:t>
      </w:r>
      <w:proofErr w:type="gramEnd"/>
    </w:p>
  </w:footnote>
  <w:footnote w:id="10">
    <w:p w:rsidR="00CF5441" w:rsidRPr="00984546" w:rsidRDefault="00CF5441" w:rsidP="00984546">
      <w:pPr>
        <w:tabs>
          <w:tab w:val="left" w:pos="284"/>
        </w:tabs>
        <w:spacing w:before="60"/>
        <w:ind w:left="284" w:hanging="284"/>
        <w:rPr>
          <w:rStyle w:val="FootnoteTextChar"/>
          <w:sz w:val="20"/>
        </w:rPr>
      </w:pPr>
      <w:r w:rsidRPr="00984546">
        <w:rPr>
          <w:rStyle w:val="FootnoteReference"/>
        </w:rPr>
        <w:footnoteRef/>
      </w:r>
      <w:r w:rsidRPr="00980485">
        <w:rPr>
          <w:sz w:val="16"/>
          <w:szCs w:val="16"/>
          <w:lang w:val="ru-RU"/>
        </w:rPr>
        <w:tab/>
      </w:r>
      <w:proofErr w:type="spellStart"/>
      <w:proofErr w:type="gramStart"/>
      <w:r w:rsidRPr="00984546">
        <w:rPr>
          <w:rStyle w:val="FootnoteTextChar"/>
          <w:sz w:val="20"/>
        </w:rPr>
        <w:t>Электросвязь</w:t>
      </w:r>
      <w:proofErr w:type="spellEnd"/>
      <w:r w:rsidRPr="00984546">
        <w:rPr>
          <w:rStyle w:val="FootnoteTextChar"/>
          <w:sz w:val="20"/>
        </w:rPr>
        <w:t xml:space="preserve"> </w:t>
      </w:r>
      <w:proofErr w:type="spellStart"/>
      <w:r w:rsidRPr="00984546">
        <w:rPr>
          <w:rStyle w:val="FootnoteTextChar"/>
          <w:sz w:val="20"/>
        </w:rPr>
        <w:t>определяется</w:t>
      </w:r>
      <w:proofErr w:type="spellEnd"/>
      <w:r w:rsidRPr="00984546">
        <w:rPr>
          <w:rStyle w:val="FootnoteTextChar"/>
          <w:sz w:val="20"/>
        </w:rPr>
        <w:t xml:space="preserve"> </w:t>
      </w:r>
      <w:proofErr w:type="spellStart"/>
      <w:r w:rsidRPr="00984546">
        <w:rPr>
          <w:rStyle w:val="FootnoteTextChar"/>
          <w:sz w:val="20"/>
        </w:rPr>
        <w:t>как</w:t>
      </w:r>
      <w:proofErr w:type="spellEnd"/>
      <w:r w:rsidRPr="00984546">
        <w:rPr>
          <w:rStyle w:val="FootnoteTextChar"/>
          <w:sz w:val="20"/>
        </w:rPr>
        <w:t xml:space="preserve"> </w:t>
      </w:r>
      <w:proofErr w:type="spellStart"/>
      <w:r w:rsidRPr="00984546">
        <w:rPr>
          <w:rStyle w:val="FootnoteTextChar"/>
          <w:sz w:val="20"/>
        </w:rPr>
        <w:t>любая</w:t>
      </w:r>
      <w:proofErr w:type="spellEnd"/>
      <w:r w:rsidRPr="00984546">
        <w:rPr>
          <w:rStyle w:val="FootnoteTextChar"/>
          <w:sz w:val="20"/>
        </w:rPr>
        <w:t xml:space="preserve"> </w:t>
      </w:r>
      <w:proofErr w:type="spellStart"/>
      <w:r w:rsidRPr="00984546">
        <w:rPr>
          <w:rStyle w:val="FootnoteTextChar"/>
          <w:sz w:val="20"/>
        </w:rPr>
        <w:t>передача</w:t>
      </w:r>
      <w:proofErr w:type="spellEnd"/>
      <w:r w:rsidRPr="00984546">
        <w:rPr>
          <w:rStyle w:val="FootnoteTextChar"/>
          <w:sz w:val="20"/>
        </w:rPr>
        <w:t xml:space="preserve">, </w:t>
      </w:r>
      <w:proofErr w:type="spellStart"/>
      <w:r w:rsidRPr="00984546">
        <w:rPr>
          <w:rStyle w:val="FootnoteTextChar"/>
          <w:sz w:val="20"/>
        </w:rPr>
        <w:t>излучение</w:t>
      </w:r>
      <w:proofErr w:type="spellEnd"/>
      <w:r w:rsidRPr="00984546">
        <w:rPr>
          <w:rStyle w:val="FootnoteTextChar"/>
          <w:sz w:val="20"/>
        </w:rPr>
        <w:t xml:space="preserve"> </w:t>
      </w:r>
      <w:proofErr w:type="spellStart"/>
      <w:r w:rsidRPr="00984546">
        <w:rPr>
          <w:rStyle w:val="FootnoteTextChar"/>
          <w:sz w:val="20"/>
        </w:rPr>
        <w:t>или</w:t>
      </w:r>
      <w:proofErr w:type="spellEnd"/>
      <w:r w:rsidRPr="00984546">
        <w:rPr>
          <w:rStyle w:val="FootnoteTextChar"/>
          <w:sz w:val="20"/>
        </w:rPr>
        <w:t xml:space="preserve"> </w:t>
      </w:r>
      <w:proofErr w:type="spellStart"/>
      <w:r w:rsidRPr="00984546">
        <w:rPr>
          <w:rStyle w:val="FootnoteTextChar"/>
          <w:sz w:val="20"/>
        </w:rPr>
        <w:t>прием</w:t>
      </w:r>
      <w:proofErr w:type="spellEnd"/>
      <w:r w:rsidRPr="00984546">
        <w:rPr>
          <w:rStyle w:val="FootnoteTextChar"/>
          <w:sz w:val="20"/>
        </w:rPr>
        <w:t xml:space="preserve"> </w:t>
      </w:r>
      <w:proofErr w:type="spellStart"/>
      <w:r w:rsidRPr="00984546">
        <w:rPr>
          <w:rStyle w:val="FootnoteTextChar"/>
          <w:sz w:val="20"/>
        </w:rPr>
        <w:t>знаков</w:t>
      </w:r>
      <w:proofErr w:type="spellEnd"/>
      <w:r w:rsidRPr="00984546">
        <w:rPr>
          <w:rStyle w:val="FootnoteTextChar"/>
          <w:sz w:val="20"/>
        </w:rPr>
        <w:t xml:space="preserve">, </w:t>
      </w:r>
      <w:proofErr w:type="spellStart"/>
      <w:r w:rsidRPr="00984546">
        <w:rPr>
          <w:rStyle w:val="FootnoteTextChar"/>
          <w:sz w:val="20"/>
        </w:rPr>
        <w:t>сигналов</w:t>
      </w:r>
      <w:proofErr w:type="spellEnd"/>
      <w:r w:rsidRPr="00984546">
        <w:rPr>
          <w:rStyle w:val="FootnoteTextChar"/>
          <w:sz w:val="20"/>
        </w:rPr>
        <w:t xml:space="preserve">, </w:t>
      </w:r>
      <w:proofErr w:type="spellStart"/>
      <w:r w:rsidRPr="00984546">
        <w:rPr>
          <w:rStyle w:val="FootnoteTextChar"/>
          <w:sz w:val="20"/>
        </w:rPr>
        <w:t>письменного</w:t>
      </w:r>
      <w:proofErr w:type="spellEnd"/>
      <w:r w:rsidRPr="00984546">
        <w:rPr>
          <w:rStyle w:val="FootnoteTextChar"/>
          <w:sz w:val="20"/>
        </w:rPr>
        <w:t xml:space="preserve"> </w:t>
      </w:r>
      <w:proofErr w:type="spellStart"/>
      <w:r w:rsidRPr="00984546">
        <w:rPr>
          <w:rStyle w:val="FootnoteTextChar"/>
          <w:sz w:val="20"/>
        </w:rPr>
        <w:t>текста</w:t>
      </w:r>
      <w:proofErr w:type="spellEnd"/>
      <w:r w:rsidRPr="00984546">
        <w:rPr>
          <w:rStyle w:val="FootnoteTextChar"/>
          <w:sz w:val="20"/>
        </w:rPr>
        <w:t xml:space="preserve">, </w:t>
      </w:r>
      <w:proofErr w:type="spellStart"/>
      <w:r w:rsidRPr="00984546">
        <w:rPr>
          <w:rStyle w:val="FootnoteTextChar"/>
          <w:sz w:val="20"/>
        </w:rPr>
        <w:t>изображений</w:t>
      </w:r>
      <w:proofErr w:type="spellEnd"/>
      <w:r w:rsidRPr="00984546">
        <w:rPr>
          <w:rStyle w:val="FootnoteTextChar"/>
          <w:sz w:val="20"/>
        </w:rPr>
        <w:t xml:space="preserve"> и </w:t>
      </w:r>
      <w:proofErr w:type="spellStart"/>
      <w:r w:rsidRPr="00984546">
        <w:rPr>
          <w:rStyle w:val="FootnoteTextChar"/>
          <w:sz w:val="20"/>
        </w:rPr>
        <w:t>звуков</w:t>
      </w:r>
      <w:proofErr w:type="spellEnd"/>
      <w:r w:rsidRPr="00984546">
        <w:rPr>
          <w:rStyle w:val="FootnoteTextChar"/>
          <w:sz w:val="20"/>
        </w:rPr>
        <w:t xml:space="preserve"> </w:t>
      </w:r>
      <w:proofErr w:type="spellStart"/>
      <w:r w:rsidRPr="00984546">
        <w:rPr>
          <w:rStyle w:val="FootnoteTextChar"/>
          <w:sz w:val="20"/>
        </w:rPr>
        <w:t>или</w:t>
      </w:r>
      <w:proofErr w:type="spellEnd"/>
      <w:r w:rsidRPr="00984546">
        <w:rPr>
          <w:rStyle w:val="FootnoteTextChar"/>
          <w:sz w:val="20"/>
        </w:rPr>
        <w:t xml:space="preserve"> </w:t>
      </w:r>
      <w:proofErr w:type="spellStart"/>
      <w:r w:rsidRPr="00984546">
        <w:rPr>
          <w:rStyle w:val="FootnoteTextChar"/>
          <w:sz w:val="20"/>
        </w:rPr>
        <w:t>информации</w:t>
      </w:r>
      <w:proofErr w:type="spellEnd"/>
      <w:r w:rsidRPr="00984546">
        <w:rPr>
          <w:rStyle w:val="FootnoteTextChar"/>
          <w:sz w:val="20"/>
        </w:rPr>
        <w:t xml:space="preserve"> </w:t>
      </w:r>
      <w:proofErr w:type="spellStart"/>
      <w:r w:rsidRPr="00984546">
        <w:rPr>
          <w:rStyle w:val="FootnoteTextChar"/>
          <w:sz w:val="20"/>
        </w:rPr>
        <w:t>любого</w:t>
      </w:r>
      <w:proofErr w:type="spellEnd"/>
      <w:r w:rsidRPr="00984546">
        <w:rPr>
          <w:rStyle w:val="FootnoteTextChar"/>
          <w:sz w:val="20"/>
        </w:rPr>
        <w:t xml:space="preserve"> </w:t>
      </w:r>
      <w:proofErr w:type="spellStart"/>
      <w:r w:rsidRPr="00984546">
        <w:rPr>
          <w:rStyle w:val="FootnoteTextChar"/>
          <w:sz w:val="20"/>
        </w:rPr>
        <w:t>рода</w:t>
      </w:r>
      <w:proofErr w:type="spellEnd"/>
      <w:r w:rsidRPr="00984546">
        <w:rPr>
          <w:rStyle w:val="FootnoteTextChar"/>
          <w:sz w:val="20"/>
        </w:rPr>
        <w:t xml:space="preserve"> </w:t>
      </w:r>
      <w:proofErr w:type="spellStart"/>
      <w:r w:rsidRPr="00984546">
        <w:rPr>
          <w:rStyle w:val="FootnoteTextChar"/>
          <w:sz w:val="20"/>
        </w:rPr>
        <w:t>по</w:t>
      </w:r>
      <w:proofErr w:type="spellEnd"/>
      <w:r w:rsidRPr="00984546">
        <w:rPr>
          <w:rStyle w:val="FootnoteTextChar"/>
          <w:sz w:val="20"/>
        </w:rPr>
        <w:t xml:space="preserve"> </w:t>
      </w:r>
      <w:proofErr w:type="spellStart"/>
      <w:r w:rsidRPr="00984546">
        <w:rPr>
          <w:rStyle w:val="FootnoteTextChar"/>
          <w:sz w:val="20"/>
        </w:rPr>
        <w:t>проводным</w:t>
      </w:r>
      <w:proofErr w:type="spellEnd"/>
      <w:r w:rsidRPr="00984546">
        <w:rPr>
          <w:rStyle w:val="FootnoteTextChar"/>
          <w:sz w:val="20"/>
        </w:rPr>
        <w:t xml:space="preserve">, </w:t>
      </w:r>
      <w:proofErr w:type="spellStart"/>
      <w:r w:rsidRPr="00984546">
        <w:rPr>
          <w:rStyle w:val="FootnoteTextChar"/>
          <w:sz w:val="20"/>
        </w:rPr>
        <w:t>радио</w:t>
      </w:r>
      <w:proofErr w:type="spellEnd"/>
      <w:r w:rsidRPr="00984546">
        <w:rPr>
          <w:rStyle w:val="FootnoteTextChar"/>
          <w:sz w:val="20"/>
        </w:rPr>
        <w:t xml:space="preserve">-, </w:t>
      </w:r>
      <w:proofErr w:type="spellStart"/>
      <w:r w:rsidRPr="00984546">
        <w:rPr>
          <w:rStyle w:val="FootnoteTextChar"/>
          <w:sz w:val="20"/>
        </w:rPr>
        <w:t>оптическим</w:t>
      </w:r>
      <w:proofErr w:type="spellEnd"/>
      <w:r w:rsidRPr="00984546">
        <w:rPr>
          <w:rStyle w:val="FootnoteTextChar"/>
          <w:sz w:val="20"/>
        </w:rPr>
        <w:t xml:space="preserve"> </w:t>
      </w:r>
      <w:proofErr w:type="spellStart"/>
      <w:r w:rsidRPr="00984546">
        <w:rPr>
          <w:rStyle w:val="FootnoteTextChar"/>
          <w:sz w:val="20"/>
        </w:rPr>
        <w:t>средствам</w:t>
      </w:r>
      <w:proofErr w:type="spellEnd"/>
      <w:r w:rsidRPr="00984546">
        <w:rPr>
          <w:rStyle w:val="FootnoteTextChar"/>
          <w:sz w:val="20"/>
        </w:rPr>
        <w:t xml:space="preserve"> и/</w:t>
      </w:r>
      <w:proofErr w:type="spellStart"/>
      <w:r w:rsidRPr="00984546">
        <w:rPr>
          <w:rStyle w:val="FootnoteTextChar"/>
          <w:sz w:val="20"/>
        </w:rPr>
        <w:t>или</w:t>
      </w:r>
      <w:proofErr w:type="spellEnd"/>
      <w:r w:rsidRPr="00984546">
        <w:rPr>
          <w:rStyle w:val="FootnoteTextChar"/>
          <w:sz w:val="20"/>
        </w:rPr>
        <w:t xml:space="preserve"> </w:t>
      </w:r>
      <w:proofErr w:type="spellStart"/>
      <w:r w:rsidRPr="00984546">
        <w:rPr>
          <w:rStyle w:val="FootnoteTextChar"/>
          <w:sz w:val="20"/>
        </w:rPr>
        <w:t>иным</w:t>
      </w:r>
      <w:proofErr w:type="spellEnd"/>
      <w:r w:rsidRPr="00984546">
        <w:rPr>
          <w:rStyle w:val="FootnoteTextChar"/>
          <w:sz w:val="20"/>
        </w:rPr>
        <w:t xml:space="preserve"> </w:t>
      </w:r>
      <w:proofErr w:type="spellStart"/>
      <w:r w:rsidRPr="00984546">
        <w:rPr>
          <w:rStyle w:val="FootnoteTextChar"/>
          <w:sz w:val="20"/>
        </w:rPr>
        <w:t>электромагнитным</w:t>
      </w:r>
      <w:proofErr w:type="spellEnd"/>
      <w:r w:rsidRPr="00984546">
        <w:rPr>
          <w:rStyle w:val="FootnoteTextChar"/>
          <w:sz w:val="20"/>
        </w:rPr>
        <w:t xml:space="preserve"> </w:t>
      </w:r>
      <w:proofErr w:type="spellStart"/>
      <w:r w:rsidRPr="00984546">
        <w:rPr>
          <w:rStyle w:val="FootnoteTextChar"/>
          <w:sz w:val="20"/>
        </w:rPr>
        <w:t>системам</w:t>
      </w:r>
      <w:proofErr w:type="spellEnd"/>
      <w:r w:rsidRPr="00984546">
        <w:rPr>
          <w:rStyle w:val="FootnoteTextChar"/>
          <w:sz w:val="20"/>
        </w:rPr>
        <w:t>.</w:t>
      </w:r>
      <w:proofErr w:type="gramEnd"/>
      <w:r w:rsidRPr="00984546">
        <w:rPr>
          <w:rStyle w:val="FootnoteTextChar"/>
          <w:sz w:val="20"/>
        </w:rPr>
        <w:t xml:space="preserve"> </w:t>
      </w:r>
      <w:proofErr w:type="spellStart"/>
      <w:proofErr w:type="gramStart"/>
      <w:r w:rsidRPr="00984546">
        <w:rPr>
          <w:rStyle w:val="FootnoteTextChar"/>
          <w:sz w:val="20"/>
        </w:rPr>
        <w:t>Статья</w:t>
      </w:r>
      <w:proofErr w:type="spellEnd"/>
      <w:r w:rsidRPr="00984546">
        <w:rPr>
          <w:rStyle w:val="FootnoteTextChar"/>
          <w:sz w:val="20"/>
        </w:rPr>
        <w:t xml:space="preserve"> 3 и </w:t>
      </w:r>
      <w:proofErr w:type="spellStart"/>
      <w:r w:rsidRPr="00984546">
        <w:rPr>
          <w:rStyle w:val="FootnoteTextChar"/>
          <w:sz w:val="20"/>
        </w:rPr>
        <w:t>Статья</w:t>
      </w:r>
      <w:proofErr w:type="spellEnd"/>
      <w:r w:rsidRPr="00984546">
        <w:rPr>
          <w:rStyle w:val="FootnoteTextChar"/>
          <w:sz w:val="20"/>
        </w:rPr>
        <w:t xml:space="preserve"> 5.1 </w:t>
      </w:r>
      <w:proofErr w:type="spellStart"/>
      <w:r w:rsidRPr="00984546">
        <w:rPr>
          <w:rStyle w:val="FootnoteTextChar"/>
          <w:sz w:val="20"/>
        </w:rPr>
        <w:t>Правил</w:t>
      </w:r>
      <w:proofErr w:type="spellEnd"/>
      <w:r w:rsidRPr="00984546">
        <w:rPr>
          <w:rStyle w:val="FootnoteTextChar"/>
          <w:sz w:val="20"/>
        </w:rPr>
        <w:t xml:space="preserve"> </w:t>
      </w:r>
      <w:proofErr w:type="spellStart"/>
      <w:r w:rsidRPr="00984546">
        <w:rPr>
          <w:rStyle w:val="FootnoteTextChar"/>
          <w:sz w:val="20"/>
        </w:rPr>
        <w:t>лицензирования</w:t>
      </w:r>
      <w:proofErr w:type="spellEnd"/>
      <w:r w:rsidRPr="00984546">
        <w:rPr>
          <w:rStyle w:val="FootnoteTextChar"/>
          <w:sz w:val="20"/>
        </w:rPr>
        <w:t xml:space="preserve"> </w:t>
      </w:r>
      <w:proofErr w:type="spellStart"/>
      <w:r w:rsidRPr="00984546">
        <w:rPr>
          <w:rStyle w:val="FootnoteTextChar"/>
          <w:sz w:val="20"/>
        </w:rPr>
        <w:t>услуг</w:t>
      </w:r>
      <w:proofErr w:type="spellEnd"/>
      <w:r w:rsidRPr="00984546">
        <w:rPr>
          <w:rStyle w:val="FootnoteTextChar"/>
          <w:sz w:val="20"/>
        </w:rPr>
        <w:t xml:space="preserve"> </w:t>
      </w:r>
      <w:proofErr w:type="spellStart"/>
      <w:r w:rsidRPr="00984546">
        <w:rPr>
          <w:rStyle w:val="FootnoteTextChar"/>
          <w:sz w:val="20"/>
        </w:rPr>
        <w:t>электросвязи</w:t>
      </w:r>
      <w:proofErr w:type="spellEnd"/>
      <w:r w:rsidRPr="00984546">
        <w:rPr>
          <w:rStyle w:val="FootnoteTextChar"/>
          <w:sz w:val="20"/>
        </w:rPr>
        <w:t>.</w:t>
      </w:r>
      <w:proofErr w:type="gramEnd"/>
      <w:r w:rsidRPr="00984546">
        <w:rPr>
          <w:rStyle w:val="FootnoteTextChar"/>
          <w:sz w:val="20"/>
        </w:rPr>
        <w:t xml:space="preserve"> </w:t>
      </w:r>
      <w:proofErr w:type="spellStart"/>
      <w:proofErr w:type="gramStart"/>
      <w:r w:rsidRPr="00984546">
        <w:rPr>
          <w:rStyle w:val="FootnoteTextChar"/>
          <w:sz w:val="20"/>
        </w:rPr>
        <w:t>Это</w:t>
      </w:r>
      <w:proofErr w:type="spellEnd"/>
      <w:r w:rsidRPr="00984546">
        <w:rPr>
          <w:rStyle w:val="FootnoteTextChar"/>
          <w:sz w:val="20"/>
        </w:rPr>
        <w:t xml:space="preserve"> </w:t>
      </w:r>
      <w:proofErr w:type="spellStart"/>
      <w:r w:rsidRPr="00984546">
        <w:rPr>
          <w:rStyle w:val="FootnoteTextChar"/>
          <w:sz w:val="20"/>
        </w:rPr>
        <w:t>определение</w:t>
      </w:r>
      <w:proofErr w:type="spellEnd"/>
      <w:r w:rsidRPr="00984546">
        <w:rPr>
          <w:rStyle w:val="FootnoteTextChar"/>
          <w:sz w:val="20"/>
        </w:rPr>
        <w:t xml:space="preserve"> </w:t>
      </w:r>
      <w:proofErr w:type="spellStart"/>
      <w:r w:rsidRPr="00984546">
        <w:rPr>
          <w:rStyle w:val="FootnoteTextChar"/>
          <w:sz w:val="20"/>
        </w:rPr>
        <w:t>практически</w:t>
      </w:r>
      <w:proofErr w:type="spellEnd"/>
      <w:r w:rsidRPr="00984546">
        <w:rPr>
          <w:rStyle w:val="FootnoteTextChar"/>
          <w:sz w:val="20"/>
        </w:rPr>
        <w:t xml:space="preserve"> </w:t>
      </w:r>
      <w:proofErr w:type="spellStart"/>
      <w:r w:rsidRPr="00984546">
        <w:rPr>
          <w:rStyle w:val="FootnoteTextChar"/>
          <w:sz w:val="20"/>
        </w:rPr>
        <w:t>идентично</w:t>
      </w:r>
      <w:proofErr w:type="spellEnd"/>
      <w:r w:rsidRPr="00984546">
        <w:rPr>
          <w:rStyle w:val="FootnoteTextChar"/>
          <w:sz w:val="20"/>
        </w:rPr>
        <w:t xml:space="preserve"> </w:t>
      </w:r>
      <w:proofErr w:type="spellStart"/>
      <w:r w:rsidRPr="00984546">
        <w:rPr>
          <w:rStyle w:val="FootnoteTextChar"/>
          <w:sz w:val="20"/>
        </w:rPr>
        <w:t>принятому</w:t>
      </w:r>
      <w:proofErr w:type="spellEnd"/>
      <w:r w:rsidRPr="00984546">
        <w:rPr>
          <w:rStyle w:val="FootnoteTextChar"/>
          <w:sz w:val="20"/>
        </w:rPr>
        <w:t xml:space="preserve"> в МСЭ </w:t>
      </w:r>
      <w:proofErr w:type="spellStart"/>
      <w:r w:rsidRPr="00984546">
        <w:rPr>
          <w:rStyle w:val="FootnoteTextChar"/>
          <w:sz w:val="20"/>
        </w:rPr>
        <w:t>определению</w:t>
      </w:r>
      <w:proofErr w:type="spellEnd"/>
      <w:r w:rsidRPr="00984546">
        <w:rPr>
          <w:rStyle w:val="FootnoteTextChar"/>
          <w:sz w:val="20"/>
        </w:rPr>
        <w:t xml:space="preserve"> </w:t>
      </w:r>
      <w:proofErr w:type="spellStart"/>
      <w:r w:rsidRPr="00984546">
        <w:rPr>
          <w:rStyle w:val="FootnoteTextChar"/>
          <w:sz w:val="20"/>
        </w:rPr>
        <w:t>электросвязи</w:t>
      </w:r>
      <w:proofErr w:type="spellEnd"/>
      <w:r w:rsidRPr="00984546">
        <w:rPr>
          <w:rStyle w:val="FootnoteTextChar"/>
          <w:sz w:val="20"/>
        </w:rPr>
        <w:t>.</w:t>
      </w:r>
      <w:proofErr w:type="gramEnd"/>
    </w:p>
  </w:footnote>
  <w:footnote w:id="11">
    <w:p w:rsidR="00CF5441" w:rsidRPr="00984546" w:rsidRDefault="00CF5441" w:rsidP="00CF5441">
      <w:pPr>
        <w:tabs>
          <w:tab w:val="left" w:pos="284"/>
        </w:tabs>
        <w:spacing w:before="60"/>
        <w:ind w:left="227" w:hanging="284"/>
        <w:rPr>
          <w:sz w:val="20"/>
          <w:lang w:val="ru-RU"/>
        </w:rPr>
      </w:pPr>
      <w:r w:rsidRPr="00984546">
        <w:rPr>
          <w:rStyle w:val="FootnoteReference"/>
        </w:rPr>
        <w:footnoteRef/>
      </w:r>
      <w:r w:rsidRPr="00607B6A">
        <w:rPr>
          <w:sz w:val="16"/>
          <w:szCs w:val="16"/>
          <w:vertAlign w:val="superscript"/>
          <w:lang w:val="ru-RU"/>
        </w:rPr>
        <w:t xml:space="preserve"> </w:t>
      </w:r>
      <w:r w:rsidRPr="0057181B">
        <w:rPr>
          <w:sz w:val="16"/>
          <w:szCs w:val="16"/>
          <w:vertAlign w:val="superscript"/>
          <w:lang w:val="ru-RU"/>
        </w:rPr>
        <w:tab/>
      </w:r>
      <w:r w:rsidRPr="00984546">
        <w:rPr>
          <w:sz w:val="20"/>
          <w:lang w:val="ru-RU"/>
        </w:rPr>
        <w:t>Официальный вестник Европейских сообществ, Директива Европейского парламента и Совета 2002/21/</w:t>
      </w:r>
      <w:r w:rsidRPr="00984546">
        <w:rPr>
          <w:sz w:val="20"/>
        </w:rPr>
        <w:t>EC</w:t>
      </w:r>
      <w:r w:rsidRPr="00984546">
        <w:rPr>
          <w:sz w:val="20"/>
          <w:lang w:val="ru-RU"/>
        </w:rPr>
        <w:t xml:space="preserve"> от 7</w:t>
      </w:r>
      <w:r w:rsidRPr="00984546">
        <w:rPr>
          <w:sz w:val="20"/>
          <w:lang w:val="en-US"/>
        </w:rPr>
        <w:t> </w:t>
      </w:r>
      <w:r w:rsidRPr="00984546">
        <w:rPr>
          <w:sz w:val="20"/>
          <w:lang w:val="ru-RU"/>
        </w:rPr>
        <w:t>марта 2002</w:t>
      </w:r>
      <w:r w:rsidRPr="00984546">
        <w:rPr>
          <w:sz w:val="20"/>
          <w:lang w:val="en-US"/>
        </w:rPr>
        <w:t> </w:t>
      </w:r>
      <w:r w:rsidRPr="00984546">
        <w:rPr>
          <w:sz w:val="20"/>
          <w:lang w:val="ru-RU"/>
        </w:rPr>
        <w:t xml:space="preserve">года об общих рамках регулирования электронных коммуникационных сетей и услуг (Рамочная директива), по адресу: </w:t>
      </w:r>
      <w:hyperlink r:id="rId4" w:history="1">
        <w:r w:rsidRPr="00E05712">
          <w:rPr>
            <w:rStyle w:val="Hyperlink"/>
            <w:sz w:val="20"/>
          </w:rPr>
          <w:t>http</w:t>
        </w:r>
        <w:r w:rsidRPr="00E05712">
          <w:rPr>
            <w:rStyle w:val="Hyperlink"/>
            <w:sz w:val="20"/>
            <w:lang w:val="ru-RU"/>
          </w:rPr>
          <w:t>://</w:t>
        </w:r>
        <w:proofErr w:type="spellStart"/>
        <w:r w:rsidRPr="00E05712">
          <w:rPr>
            <w:rStyle w:val="Hyperlink"/>
            <w:sz w:val="20"/>
          </w:rPr>
          <w:t>ec</w:t>
        </w:r>
        <w:proofErr w:type="spellEnd"/>
        <w:r w:rsidRPr="00E05712">
          <w:rPr>
            <w:rStyle w:val="Hyperlink"/>
            <w:sz w:val="20"/>
            <w:lang w:val="ru-RU"/>
          </w:rPr>
          <w:t>.</w:t>
        </w:r>
        <w:proofErr w:type="spellStart"/>
        <w:r w:rsidRPr="00E05712">
          <w:rPr>
            <w:rStyle w:val="Hyperlink"/>
            <w:sz w:val="20"/>
          </w:rPr>
          <w:t>europa</w:t>
        </w:r>
        <w:proofErr w:type="spellEnd"/>
        <w:r w:rsidRPr="00E05712">
          <w:rPr>
            <w:rStyle w:val="Hyperlink"/>
            <w:sz w:val="20"/>
            <w:lang w:val="ru-RU"/>
          </w:rPr>
          <w:t>.</w:t>
        </w:r>
        <w:proofErr w:type="spellStart"/>
        <w:r w:rsidRPr="00E05712">
          <w:rPr>
            <w:rStyle w:val="Hyperlink"/>
            <w:sz w:val="20"/>
          </w:rPr>
          <w:t>eu</w:t>
        </w:r>
        <w:proofErr w:type="spellEnd"/>
        <w:r w:rsidRPr="00E05712">
          <w:rPr>
            <w:rStyle w:val="Hyperlink"/>
            <w:sz w:val="20"/>
            <w:lang w:val="ru-RU"/>
          </w:rPr>
          <w:t>/</w:t>
        </w:r>
        <w:r w:rsidRPr="00E05712">
          <w:rPr>
            <w:rStyle w:val="Hyperlink"/>
            <w:sz w:val="20"/>
          </w:rPr>
          <w:t>information</w:t>
        </w:r>
        <w:r w:rsidRPr="00E05712">
          <w:rPr>
            <w:rStyle w:val="Hyperlink"/>
            <w:sz w:val="20"/>
            <w:lang w:val="ru-RU"/>
          </w:rPr>
          <w:t>_</w:t>
        </w:r>
        <w:r w:rsidRPr="00E05712">
          <w:rPr>
            <w:rStyle w:val="Hyperlink"/>
            <w:sz w:val="20"/>
          </w:rPr>
          <w:t>society</w:t>
        </w:r>
        <w:r w:rsidRPr="00E05712">
          <w:rPr>
            <w:rStyle w:val="Hyperlink"/>
            <w:sz w:val="20"/>
            <w:lang w:val="ru-RU"/>
          </w:rPr>
          <w:t>/</w:t>
        </w:r>
        <w:r w:rsidRPr="00E05712">
          <w:rPr>
            <w:rStyle w:val="Hyperlink"/>
            <w:sz w:val="20"/>
          </w:rPr>
          <w:t>topics</w:t>
        </w:r>
        <w:r w:rsidRPr="00E05712">
          <w:rPr>
            <w:rStyle w:val="Hyperlink"/>
            <w:sz w:val="20"/>
            <w:lang w:val="ru-RU"/>
          </w:rPr>
          <w:t>/</w:t>
        </w:r>
        <w:r w:rsidRPr="00E05712">
          <w:rPr>
            <w:rStyle w:val="Hyperlink"/>
            <w:sz w:val="20"/>
          </w:rPr>
          <w:t>telecoms</w:t>
        </w:r>
        <w:r w:rsidRPr="00E05712">
          <w:rPr>
            <w:rStyle w:val="Hyperlink"/>
            <w:sz w:val="20"/>
            <w:lang w:val="ru-RU"/>
          </w:rPr>
          <w:t>/</w:t>
        </w:r>
        <w:r w:rsidRPr="00E05712">
          <w:rPr>
            <w:rStyle w:val="Hyperlink"/>
            <w:sz w:val="20"/>
          </w:rPr>
          <w:t>regulatory</w:t>
        </w:r>
        <w:r w:rsidRPr="00E05712">
          <w:rPr>
            <w:rStyle w:val="Hyperlink"/>
            <w:sz w:val="20"/>
            <w:lang w:val="ru-RU"/>
          </w:rPr>
          <w:t>/</w:t>
        </w:r>
        <w:r w:rsidRPr="00E05712">
          <w:rPr>
            <w:rStyle w:val="Hyperlink"/>
            <w:sz w:val="20"/>
          </w:rPr>
          <w:t>new</w:t>
        </w:r>
        <w:r w:rsidRPr="00E05712">
          <w:rPr>
            <w:rStyle w:val="Hyperlink"/>
            <w:sz w:val="20"/>
            <w:lang w:val="ru-RU"/>
          </w:rPr>
          <w:t>_</w:t>
        </w:r>
        <w:proofErr w:type="spellStart"/>
        <w:r w:rsidRPr="00E05712">
          <w:rPr>
            <w:rStyle w:val="Hyperlink"/>
            <w:sz w:val="20"/>
          </w:rPr>
          <w:t>rf</w:t>
        </w:r>
        <w:proofErr w:type="spellEnd"/>
        <w:r w:rsidRPr="00E05712">
          <w:rPr>
            <w:rStyle w:val="Hyperlink"/>
            <w:sz w:val="20"/>
            <w:lang w:val="ru-RU"/>
          </w:rPr>
          <w:t>/</w:t>
        </w:r>
        <w:r w:rsidRPr="00E05712">
          <w:rPr>
            <w:rStyle w:val="Hyperlink"/>
            <w:sz w:val="20"/>
            <w:lang w:val="ru-RU"/>
          </w:rPr>
          <w:br/>
        </w:r>
        <w:r w:rsidRPr="00E05712">
          <w:rPr>
            <w:rStyle w:val="Hyperlink"/>
            <w:sz w:val="20"/>
          </w:rPr>
          <w:t>index</w:t>
        </w:r>
        <w:r w:rsidRPr="00E05712">
          <w:rPr>
            <w:rStyle w:val="Hyperlink"/>
            <w:sz w:val="20"/>
            <w:lang w:val="ru-RU"/>
          </w:rPr>
          <w:t>_</w:t>
        </w:r>
        <w:r w:rsidRPr="00E05712">
          <w:rPr>
            <w:rStyle w:val="Hyperlink"/>
            <w:sz w:val="20"/>
          </w:rPr>
          <w:t>en</w:t>
        </w:r>
        <w:r w:rsidRPr="00E05712">
          <w:rPr>
            <w:rStyle w:val="Hyperlink"/>
            <w:sz w:val="20"/>
            <w:lang w:val="ru-RU"/>
          </w:rPr>
          <w:t>.</w:t>
        </w:r>
        <w:proofErr w:type="spellStart"/>
        <w:r w:rsidRPr="00E05712">
          <w:rPr>
            <w:rStyle w:val="Hyperlink"/>
            <w:sz w:val="20"/>
          </w:rPr>
          <w:t>htm</w:t>
        </w:r>
        <w:proofErr w:type="spellEnd"/>
        <w:r w:rsidRPr="00E05712">
          <w:rPr>
            <w:rStyle w:val="Hyperlink"/>
            <w:sz w:val="20"/>
            <w:lang w:val="ru-RU"/>
          </w:rPr>
          <w:t>#</w:t>
        </w:r>
        <w:proofErr w:type="spellStart"/>
        <w:r w:rsidRPr="00E05712">
          <w:rPr>
            <w:rStyle w:val="Hyperlink"/>
            <w:sz w:val="20"/>
          </w:rPr>
          <w:t>reg</w:t>
        </w:r>
        <w:proofErr w:type="spellEnd"/>
      </w:hyperlink>
      <w:r w:rsidRPr="00984546">
        <w:rPr>
          <w:sz w:val="20"/>
          <w:lang w:val="ru-RU"/>
        </w:rPr>
        <w:t>.</w:t>
      </w:r>
    </w:p>
  </w:footnote>
  <w:footnote w:id="12">
    <w:p w:rsidR="00CF5441" w:rsidRPr="00984546" w:rsidRDefault="00CF5441" w:rsidP="00984546">
      <w:pPr>
        <w:tabs>
          <w:tab w:val="left" w:pos="284"/>
        </w:tabs>
        <w:spacing w:before="60"/>
        <w:ind w:left="227" w:hanging="284"/>
        <w:rPr>
          <w:sz w:val="20"/>
          <w:lang w:val="ru-RU"/>
        </w:rPr>
      </w:pPr>
      <w:r w:rsidRPr="00984546">
        <w:rPr>
          <w:rStyle w:val="FootnoteReference"/>
        </w:rPr>
        <w:footnoteRef/>
      </w:r>
      <w:r w:rsidRPr="0057181B">
        <w:rPr>
          <w:sz w:val="16"/>
          <w:szCs w:val="16"/>
          <w:vertAlign w:val="superscript"/>
          <w:lang w:val="ru-RU"/>
        </w:rPr>
        <w:tab/>
      </w:r>
      <w:r w:rsidRPr="00984546">
        <w:rPr>
          <w:sz w:val="20"/>
          <w:lang w:val="ru-RU"/>
        </w:rPr>
        <w:t xml:space="preserve">Согласно консультационному документу </w:t>
      </w:r>
      <w:proofErr w:type="spellStart"/>
      <w:r w:rsidRPr="00984546">
        <w:rPr>
          <w:sz w:val="20"/>
          <w:lang w:val="en-US"/>
        </w:rPr>
        <w:t>TRAI</w:t>
      </w:r>
      <w:proofErr w:type="spellEnd"/>
      <w:r w:rsidRPr="00984546">
        <w:rPr>
          <w:sz w:val="20"/>
          <w:lang w:val="ru-RU"/>
        </w:rPr>
        <w:t xml:space="preserve"> "Вопросы лицензирования, относящиеся к сетям последующих поколений", выпущенному 27 января 2009 года, правительство не приняло рекомендации </w:t>
      </w:r>
      <w:proofErr w:type="spellStart"/>
      <w:r w:rsidRPr="00984546">
        <w:rPr>
          <w:sz w:val="20"/>
          <w:lang w:val="en-US"/>
        </w:rPr>
        <w:t>TRAI</w:t>
      </w:r>
      <w:proofErr w:type="spellEnd"/>
      <w:r w:rsidRPr="00984546">
        <w:rPr>
          <w:sz w:val="20"/>
          <w:lang w:val="ru-RU"/>
        </w:rPr>
        <w:t xml:space="preserve"> относительно режима единого лицензирования. </w:t>
      </w:r>
      <w:proofErr w:type="gramStart"/>
      <w:r w:rsidRPr="00984546">
        <w:rPr>
          <w:sz w:val="20"/>
          <w:lang w:val="ru-RU"/>
        </w:rPr>
        <w:t>(См.</w:t>
      </w:r>
      <w:r w:rsidRPr="00984546">
        <w:rPr>
          <w:sz w:val="20"/>
          <w:lang w:val="en-US"/>
        </w:rPr>
        <w:t> </w:t>
      </w:r>
      <w:r w:rsidRPr="00984546">
        <w:rPr>
          <w:sz w:val="20"/>
          <w:lang w:val="ru-RU"/>
        </w:rPr>
        <w:t xml:space="preserve">информацию по адресу: </w:t>
      </w:r>
      <w:hyperlink r:id="rId5" w:history="1">
        <w:r w:rsidRPr="00984546">
          <w:rPr>
            <w:rStyle w:val="Hyperlink"/>
            <w:sz w:val="20"/>
            <w:lang w:val="en-US"/>
          </w:rPr>
          <w:t>http</w:t>
        </w:r>
        <w:r w:rsidRPr="00984546">
          <w:rPr>
            <w:rStyle w:val="Hyperlink"/>
            <w:sz w:val="20"/>
            <w:lang w:val="ru-RU"/>
          </w:rPr>
          <w:t>://</w:t>
        </w:r>
        <w:r w:rsidRPr="00984546">
          <w:rPr>
            <w:rStyle w:val="Hyperlink"/>
            <w:sz w:val="20"/>
            <w:lang w:val="en-US"/>
          </w:rPr>
          <w:t>www</w:t>
        </w:r>
        <w:r w:rsidRPr="00984546">
          <w:rPr>
            <w:rStyle w:val="Hyperlink"/>
            <w:sz w:val="20"/>
            <w:lang w:val="ru-RU"/>
          </w:rPr>
          <w:t>.</w:t>
        </w:r>
        <w:proofErr w:type="spellStart"/>
        <w:r w:rsidRPr="00984546">
          <w:rPr>
            <w:rStyle w:val="Hyperlink"/>
            <w:sz w:val="20"/>
            <w:lang w:val="en-US"/>
          </w:rPr>
          <w:t>trai</w:t>
        </w:r>
        <w:proofErr w:type="spellEnd"/>
        <w:r w:rsidRPr="00984546">
          <w:rPr>
            <w:rStyle w:val="Hyperlink"/>
            <w:sz w:val="20"/>
            <w:lang w:val="ru-RU"/>
          </w:rPr>
          <w:t>.</w:t>
        </w:r>
        <w:proofErr w:type="spellStart"/>
        <w:r w:rsidRPr="00984546">
          <w:rPr>
            <w:rStyle w:val="Hyperlink"/>
            <w:sz w:val="20"/>
            <w:lang w:val="en-US"/>
          </w:rPr>
          <w:t>gov</w:t>
        </w:r>
        <w:proofErr w:type="spellEnd"/>
        <w:r w:rsidRPr="00984546">
          <w:rPr>
            <w:rStyle w:val="Hyperlink"/>
            <w:sz w:val="20"/>
            <w:lang w:val="ru-RU"/>
          </w:rPr>
          <w:t>.</w:t>
        </w:r>
        <w:r w:rsidRPr="00984546">
          <w:rPr>
            <w:rStyle w:val="Hyperlink"/>
            <w:sz w:val="20"/>
            <w:lang w:val="en-US"/>
          </w:rPr>
          <w:t>in</w:t>
        </w:r>
        <w:r w:rsidRPr="00984546">
          <w:rPr>
            <w:rStyle w:val="Hyperlink"/>
            <w:sz w:val="20"/>
            <w:lang w:val="ru-RU"/>
          </w:rPr>
          <w:t>/</w:t>
        </w:r>
        <w:proofErr w:type="spellStart"/>
        <w:r w:rsidRPr="00984546">
          <w:rPr>
            <w:rStyle w:val="Hyperlink"/>
            <w:sz w:val="20"/>
            <w:lang w:val="en-US"/>
          </w:rPr>
          <w:t>WriteReadData</w:t>
        </w:r>
        <w:proofErr w:type="spellEnd"/>
        <w:r w:rsidRPr="00984546">
          <w:rPr>
            <w:rStyle w:val="Hyperlink"/>
            <w:sz w:val="20"/>
            <w:lang w:val="ru-RU"/>
          </w:rPr>
          <w:t>/</w:t>
        </w:r>
        <w:proofErr w:type="spellStart"/>
        <w:r w:rsidRPr="00984546">
          <w:rPr>
            <w:rStyle w:val="Hyperlink"/>
            <w:sz w:val="20"/>
            <w:lang w:val="en-US"/>
          </w:rPr>
          <w:t>trai</w:t>
        </w:r>
        <w:proofErr w:type="spellEnd"/>
        <w:r w:rsidRPr="00984546">
          <w:rPr>
            <w:rStyle w:val="Hyperlink"/>
            <w:sz w:val="20"/>
            <w:lang w:val="ru-RU"/>
          </w:rPr>
          <w:t>/</w:t>
        </w:r>
        <w:r w:rsidRPr="00984546">
          <w:rPr>
            <w:rStyle w:val="Hyperlink"/>
            <w:sz w:val="20"/>
            <w:lang w:val="en-US"/>
          </w:rPr>
          <w:t>upload</w:t>
        </w:r>
        <w:r w:rsidRPr="00984546">
          <w:rPr>
            <w:rStyle w:val="Hyperlink"/>
            <w:sz w:val="20"/>
            <w:lang w:val="ru-RU"/>
          </w:rPr>
          <w:t>/</w:t>
        </w:r>
        <w:proofErr w:type="spellStart"/>
        <w:r w:rsidRPr="00984546">
          <w:rPr>
            <w:rStyle w:val="Hyperlink"/>
            <w:sz w:val="20"/>
            <w:lang w:val="en-US"/>
          </w:rPr>
          <w:t>ConsultationPapers</w:t>
        </w:r>
        <w:proofErr w:type="spellEnd"/>
        <w:r w:rsidRPr="00984546">
          <w:rPr>
            <w:rStyle w:val="Hyperlink"/>
            <w:sz w:val="20"/>
            <w:lang w:val="ru-RU"/>
          </w:rPr>
          <w:t xml:space="preserve">/163/ </w:t>
        </w:r>
        <w:proofErr w:type="spellStart"/>
        <w:r w:rsidRPr="00984546">
          <w:rPr>
            <w:rStyle w:val="Hyperlink"/>
            <w:sz w:val="20"/>
            <w:lang w:val="en-US"/>
          </w:rPr>
          <w:t>cpaper</w:t>
        </w:r>
        <w:proofErr w:type="spellEnd"/>
        <w:r w:rsidRPr="00984546">
          <w:rPr>
            <w:rStyle w:val="Hyperlink"/>
            <w:sz w:val="20"/>
            <w:lang w:val="ru-RU"/>
          </w:rPr>
          <w:t>27</w:t>
        </w:r>
        <w:proofErr w:type="spellStart"/>
        <w:r w:rsidRPr="00984546">
          <w:rPr>
            <w:rStyle w:val="Hyperlink"/>
            <w:sz w:val="20"/>
            <w:lang w:val="en-US"/>
          </w:rPr>
          <w:t>jan</w:t>
        </w:r>
        <w:proofErr w:type="spellEnd"/>
        <w:r w:rsidRPr="00984546">
          <w:rPr>
            <w:rStyle w:val="Hyperlink"/>
            <w:sz w:val="20"/>
            <w:lang w:val="ru-RU"/>
          </w:rPr>
          <w:t>09</w:t>
        </w:r>
        <w:r w:rsidRPr="00984546">
          <w:rPr>
            <w:rStyle w:val="Hyperlink"/>
            <w:sz w:val="20"/>
            <w:lang w:val="en-US"/>
          </w:rPr>
          <w:t>no</w:t>
        </w:r>
        <w:r w:rsidRPr="00984546">
          <w:rPr>
            <w:rStyle w:val="Hyperlink"/>
            <w:sz w:val="20"/>
            <w:lang w:val="ru-RU"/>
          </w:rPr>
          <w:t>3.</w:t>
        </w:r>
        <w:proofErr w:type="spellStart"/>
        <w:r w:rsidRPr="00984546">
          <w:rPr>
            <w:rStyle w:val="Hyperlink"/>
            <w:sz w:val="20"/>
            <w:lang w:val="en-US"/>
          </w:rPr>
          <w:t>pdf</w:t>
        </w:r>
        <w:proofErr w:type="spellEnd"/>
      </w:hyperlink>
      <w:r w:rsidRPr="00984546">
        <w:rPr>
          <w:sz w:val="20"/>
          <w:lang w:val="ru-RU"/>
        </w:rPr>
        <w:t>). 24</w:t>
      </w:r>
      <w:r w:rsidRPr="00984546">
        <w:rPr>
          <w:sz w:val="20"/>
          <w:lang w:val="en-US"/>
        </w:rPr>
        <w:t> </w:t>
      </w:r>
      <w:r w:rsidRPr="00984546">
        <w:rPr>
          <w:sz w:val="20"/>
          <w:lang w:val="ru-RU"/>
        </w:rPr>
        <w:t>марта 2009</w:t>
      </w:r>
      <w:r w:rsidRPr="00984546">
        <w:rPr>
          <w:sz w:val="20"/>
          <w:lang w:val="en-US"/>
        </w:rPr>
        <w:t> </w:t>
      </w:r>
      <w:r w:rsidRPr="00984546">
        <w:rPr>
          <w:sz w:val="20"/>
          <w:lang w:val="ru-RU"/>
        </w:rPr>
        <w:t xml:space="preserve">года </w:t>
      </w:r>
      <w:proofErr w:type="spellStart"/>
      <w:r w:rsidRPr="00984546">
        <w:rPr>
          <w:sz w:val="20"/>
          <w:lang w:val="en-US"/>
        </w:rPr>
        <w:t>TRAI</w:t>
      </w:r>
      <w:proofErr w:type="spellEnd"/>
      <w:r w:rsidRPr="00984546">
        <w:rPr>
          <w:sz w:val="20"/>
          <w:lang w:val="ru-RU"/>
        </w:rPr>
        <w:t xml:space="preserve"> разместил в Сети документ "Полученные от заинтересованных сторон замечания по консультационному документу "Вопросы лицензирования, относящиеся к сетям последующих поколений (СПП)"" (по адресу: </w:t>
      </w:r>
      <w:hyperlink r:id="rId6" w:history="1">
        <w:r w:rsidRPr="00984546">
          <w:rPr>
            <w:rStyle w:val="Hyperlink"/>
            <w:sz w:val="20"/>
            <w:lang w:val="en-US"/>
          </w:rPr>
          <w:t>http</w:t>
        </w:r>
        <w:r w:rsidRPr="00984546">
          <w:rPr>
            <w:rStyle w:val="Hyperlink"/>
            <w:sz w:val="20"/>
            <w:lang w:val="ru-RU"/>
          </w:rPr>
          <w:t>://</w:t>
        </w:r>
        <w:r w:rsidRPr="00984546">
          <w:rPr>
            <w:rStyle w:val="Hyperlink"/>
            <w:sz w:val="20"/>
            <w:lang w:val="en-US"/>
          </w:rPr>
          <w:t>www</w:t>
        </w:r>
        <w:r w:rsidRPr="00984546">
          <w:rPr>
            <w:rStyle w:val="Hyperlink"/>
            <w:sz w:val="20"/>
            <w:lang w:val="ru-RU"/>
          </w:rPr>
          <w:t>.</w:t>
        </w:r>
        <w:proofErr w:type="spellStart"/>
        <w:r w:rsidRPr="00984546">
          <w:rPr>
            <w:rStyle w:val="Hyperlink"/>
            <w:sz w:val="20"/>
            <w:lang w:val="en-US"/>
          </w:rPr>
          <w:t>trai</w:t>
        </w:r>
        <w:proofErr w:type="spellEnd"/>
        <w:r w:rsidRPr="00984546">
          <w:rPr>
            <w:rStyle w:val="Hyperlink"/>
            <w:sz w:val="20"/>
            <w:lang w:val="ru-RU"/>
          </w:rPr>
          <w:t>.</w:t>
        </w:r>
        <w:proofErr w:type="spellStart"/>
        <w:r w:rsidRPr="00984546">
          <w:rPr>
            <w:rStyle w:val="Hyperlink"/>
            <w:sz w:val="20"/>
            <w:lang w:val="en-US"/>
          </w:rPr>
          <w:t>gov</w:t>
        </w:r>
        <w:proofErr w:type="spellEnd"/>
        <w:r w:rsidRPr="00984546">
          <w:rPr>
            <w:rStyle w:val="Hyperlink"/>
            <w:sz w:val="20"/>
            <w:lang w:val="ru-RU"/>
          </w:rPr>
          <w:t>.</w:t>
        </w:r>
        <w:r w:rsidRPr="00984546">
          <w:rPr>
            <w:rStyle w:val="Hyperlink"/>
            <w:sz w:val="20"/>
            <w:lang w:val="en-US"/>
          </w:rPr>
          <w:t>in</w:t>
        </w:r>
        <w:r w:rsidRPr="00984546">
          <w:rPr>
            <w:rStyle w:val="Hyperlink"/>
            <w:sz w:val="20"/>
            <w:lang w:val="ru-RU"/>
          </w:rPr>
          <w:t>/</w:t>
        </w:r>
        <w:proofErr w:type="spellStart"/>
        <w:r w:rsidRPr="00984546">
          <w:rPr>
            <w:rStyle w:val="Hyperlink"/>
            <w:sz w:val="20"/>
            <w:lang w:val="en-US"/>
          </w:rPr>
          <w:t>ConsultationPapers</w:t>
        </w:r>
        <w:proofErr w:type="spellEnd"/>
        <w:r w:rsidRPr="00984546">
          <w:rPr>
            <w:rStyle w:val="Hyperlink"/>
            <w:sz w:val="20"/>
            <w:lang w:val="ru-RU"/>
          </w:rPr>
          <w:t>_</w:t>
        </w:r>
        <w:r w:rsidRPr="00984546">
          <w:rPr>
            <w:rStyle w:val="Hyperlink"/>
            <w:sz w:val="20"/>
            <w:lang w:val="en-US"/>
          </w:rPr>
          <w:t>content</w:t>
        </w:r>
        <w:r w:rsidRPr="00984546">
          <w:rPr>
            <w:rStyle w:val="Hyperlink"/>
            <w:sz w:val="20"/>
            <w:lang w:val="ru-RU"/>
          </w:rPr>
          <w:t>.</w:t>
        </w:r>
        <w:r w:rsidRPr="00984546">
          <w:rPr>
            <w:rStyle w:val="Hyperlink"/>
            <w:sz w:val="20"/>
            <w:lang w:val="en-US"/>
          </w:rPr>
          <w:t>asp</w:t>
        </w:r>
      </w:hyperlink>
      <w:r w:rsidRPr="00984546">
        <w:rPr>
          <w:sz w:val="20"/>
          <w:lang w:val="ru-RU"/>
        </w:rPr>
        <w:t>).</w:t>
      </w:r>
      <w:proofErr w:type="gramEnd"/>
    </w:p>
  </w:footnote>
  <w:footnote w:id="13">
    <w:p w:rsidR="006C2F0E" w:rsidRPr="006C2F0E" w:rsidRDefault="006C2F0E" w:rsidP="006C2F0E">
      <w:pPr>
        <w:pStyle w:val="FootnoteText"/>
        <w:tabs>
          <w:tab w:val="left" w:pos="284"/>
        </w:tabs>
        <w:spacing w:before="60"/>
        <w:ind w:left="284" w:hanging="284"/>
        <w:rPr>
          <w:rFonts w:asciiTheme="majorBidi" w:hAnsiTheme="majorBidi" w:cstheme="majorBidi"/>
        </w:rPr>
      </w:pPr>
      <w:r w:rsidRPr="00BE346F">
        <w:rPr>
          <w:rStyle w:val="FootnoteReference"/>
        </w:rPr>
        <w:footnoteRef/>
      </w:r>
      <w:r w:rsidRPr="00B52CE4">
        <w:rPr>
          <w:rFonts w:ascii="Verdana" w:hAnsi="Verdana"/>
          <w:sz w:val="16"/>
          <w:szCs w:val="16"/>
          <w:vertAlign w:val="superscript"/>
          <w:lang w:val="ru-RU"/>
        </w:rPr>
        <w:t xml:space="preserve"> </w:t>
      </w:r>
      <w:r w:rsidRPr="0012697D">
        <w:rPr>
          <w:rFonts w:ascii="Verdana" w:hAnsi="Verdana"/>
          <w:sz w:val="16"/>
          <w:szCs w:val="16"/>
          <w:vertAlign w:val="superscript"/>
          <w:lang w:val="ru-RU"/>
        </w:rPr>
        <w:tab/>
      </w:r>
      <w:r w:rsidRPr="006C2F0E">
        <w:rPr>
          <w:rFonts w:asciiTheme="majorBidi" w:hAnsiTheme="majorBidi" w:cstheme="majorBidi"/>
          <w:lang w:val="ru-RU"/>
        </w:rPr>
        <w:t xml:space="preserve">См. рекомендации </w:t>
      </w:r>
      <w:proofErr w:type="spellStart"/>
      <w:r w:rsidRPr="006C2F0E">
        <w:rPr>
          <w:rFonts w:asciiTheme="majorBidi" w:hAnsiTheme="majorBidi" w:cstheme="majorBidi"/>
        </w:rPr>
        <w:t>TRAI</w:t>
      </w:r>
      <w:proofErr w:type="spellEnd"/>
      <w:r w:rsidRPr="006C2F0E">
        <w:rPr>
          <w:rFonts w:asciiTheme="majorBidi" w:hAnsiTheme="majorBidi" w:cstheme="majorBidi"/>
          <w:lang w:val="ru-RU"/>
        </w:rPr>
        <w:t xml:space="preserve"> относительно единого лицензирования (13 января 2005 г.) по адресу: </w:t>
      </w:r>
      <w:hyperlink r:id="rId7" w:history="1">
        <w:r w:rsidRPr="006C2F0E">
          <w:rPr>
            <w:rStyle w:val="Hyperlink"/>
            <w:rFonts w:asciiTheme="majorBidi" w:hAnsiTheme="majorBidi" w:cstheme="majorBidi"/>
          </w:rPr>
          <w:t>http</w:t>
        </w:r>
        <w:r w:rsidRPr="006C2F0E">
          <w:rPr>
            <w:rStyle w:val="Hyperlink"/>
            <w:rFonts w:asciiTheme="majorBidi" w:hAnsiTheme="majorBidi" w:cstheme="majorBidi"/>
            <w:lang w:val="ru-RU"/>
          </w:rPr>
          <w:t>://</w:t>
        </w:r>
        <w:r w:rsidRPr="006C2F0E">
          <w:rPr>
            <w:rStyle w:val="Hyperlink"/>
            <w:rFonts w:asciiTheme="majorBidi" w:hAnsiTheme="majorBidi" w:cstheme="majorBidi"/>
          </w:rPr>
          <w:t>www</w:t>
        </w:r>
        <w:r w:rsidRPr="006C2F0E">
          <w:rPr>
            <w:rStyle w:val="Hyperlink"/>
            <w:rFonts w:asciiTheme="majorBidi" w:hAnsiTheme="majorBidi" w:cstheme="majorBidi"/>
            <w:lang w:val="ru-RU"/>
          </w:rPr>
          <w:t>.</w:t>
        </w:r>
        <w:proofErr w:type="spellStart"/>
        <w:r w:rsidRPr="006C2F0E">
          <w:rPr>
            <w:rStyle w:val="Hyperlink"/>
            <w:rFonts w:asciiTheme="majorBidi" w:hAnsiTheme="majorBidi" w:cstheme="majorBidi"/>
          </w:rPr>
          <w:t>trai</w:t>
        </w:r>
        <w:proofErr w:type="spellEnd"/>
        <w:r w:rsidRPr="006C2F0E">
          <w:rPr>
            <w:rStyle w:val="Hyperlink"/>
            <w:rFonts w:asciiTheme="majorBidi" w:hAnsiTheme="majorBidi" w:cstheme="majorBidi"/>
            <w:lang w:val="ru-RU"/>
          </w:rPr>
          <w:t>.</w:t>
        </w:r>
        <w:proofErr w:type="spellStart"/>
        <w:r w:rsidRPr="006C2F0E">
          <w:rPr>
            <w:rStyle w:val="Hyperlink"/>
            <w:rFonts w:asciiTheme="majorBidi" w:hAnsiTheme="majorBidi" w:cstheme="majorBidi"/>
          </w:rPr>
          <w:t>gov</w:t>
        </w:r>
        <w:proofErr w:type="spellEnd"/>
        <w:r w:rsidRPr="006C2F0E">
          <w:rPr>
            <w:rStyle w:val="Hyperlink"/>
            <w:rFonts w:asciiTheme="majorBidi" w:hAnsiTheme="majorBidi" w:cstheme="majorBidi"/>
            <w:lang w:val="ru-RU"/>
          </w:rPr>
          <w:t>.</w:t>
        </w:r>
        <w:r w:rsidRPr="006C2F0E">
          <w:rPr>
            <w:rStyle w:val="Hyperlink"/>
            <w:rFonts w:asciiTheme="majorBidi" w:hAnsiTheme="majorBidi" w:cstheme="majorBidi"/>
          </w:rPr>
          <w:t>in</w:t>
        </w:r>
        <w:r w:rsidRPr="006C2F0E">
          <w:rPr>
            <w:rStyle w:val="Hyperlink"/>
            <w:rFonts w:asciiTheme="majorBidi" w:hAnsiTheme="majorBidi" w:cstheme="majorBidi"/>
            <w:lang w:val="ru-RU"/>
          </w:rPr>
          <w:t>/</w:t>
        </w:r>
        <w:proofErr w:type="spellStart"/>
        <w:r w:rsidRPr="006C2F0E">
          <w:rPr>
            <w:rStyle w:val="Hyperlink"/>
            <w:rFonts w:asciiTheme="majorBidi" w:hAnsiTheme="majorBidi" w:cstheme="majorBidi"/>
          </w:rPr>
          <w:t>trai</w:t>
        </w:r>
        <w:proofErr w:type="spellEnd"/>
        <w:r w:rsidRPr="006C2F0E">
          <w:rPr>
            <w:rStyle w:val="Hyperlink"/>
            <w:rFonts w:asciiTheme="majorBidi" w:hAnsiTheme="majorBidi" w:cstheme="majorBidi"/>
            <w:lang w:val="ru-RU"/>
          </w:rPr>
          <w:t>/</w:t>
        </w:r>
        <w:r w:rsidRPr="006C2F0E">
          <w:rPr>
            <w:rStyle w:val="Hyperlink"/>
            <w:rFonts w:asciiTheme="majorBidi" w:hAnsiTheme="majorBidi" w:cstheme="majorBidi"/>
          </w:rPr>
          <w:t>upload</w:t>
        </w:r>
        <w:r w:rsidRPr="006C2F0E">
          <w:rPr>
            <w:rStyle w:val="Hyperlink"/>
            <w:rFonts w:asciiTheme="majorBidi" w:hAnsiTheme="majorBidi" w:cstheme="majorBidi"/>
            <w:lang w:val="ru-RU"/>
          </w:rPr>
          <w:t>/</w:t>
        </w:r>
        <w:r w:rsidRPr="006C2F0E">
          <w:rPr>
            <w:rStyle w:val="Hyperlink"/>
            <w:rFonts w:asciiTheme="majorBidi" w:hAnsiTheme="majorBidi" w:cstheme="majorBidi"/>
          </w:rPr>
          <w:t>Recommendations</w:t>
        </w:r>
        <w:r w:rsidRPr="006C2F0E">
          <w:rPr>
            <w:rStyle w:val="Hyperlink"/>
            <w:rFonts w:asciiTheme="majorBidi" w:hAnsiTheme="majorBidi" w:cstheme="majorBidi"/>
            <w:lang w:val="ru-RU"/>
          </w:rPr>
          <w:t>/13/</w:t>
        </w:r>
        <w:proofErr w:type="spellStart"/>
        <w:r w:rsidRPr="006C2F0E">
          <w:rPr>
            <w:rStyle w:val="Hyperlink"/>
            <w:rFonts w:asciiTheme="majorBidi" w:hAnsiTheme="majorBidi" w:cstheme="majorBidi"/>
          </w:rPr>
          <w:t>recom</w:t>
        </w:r>
        <w:proofErr w:type="spellEnd"/>
        <w:r w:rsidRPr="006C2F0E">
          <w:rPr>
            <w:rStyle w:val="Hyperlink"/>
            <w:rFonts w:asciiTheme="majorBidi" w:hAnsiTheme="majorBidi" w:cstheme="majorBidi"/>
            <w:lang w:val="ru-RU"/>
          </w:rPr>
          <w:t>13</w:t>
        </w:r>
        <w:proofErr w:type="spellStart"/>
        <w:r w:rsidRPr="006C2F0E">
          <w:rPr>
            <w:rStyle w:val="Hyperlink"/>
            <w:rFonts w:asciiTheme="majorBidi" w:hAnsiTheme="majorBidi" w:cstheme="majorBidi"/>
          </w:rPr>
          <w:t>jan</w:t>
        </w:r>
        <w:proofErr w:type="spellEnd"/>
        <w:r w:rsidRPr="006C2F0E">
          <w:rPr>
            <w:rStyle w:val="Hyperlink"/>
            <w:rFonts w:asciiTheme="majorBidi" w:hAnsiTheme="majorBidi" w:cstheme="majorBidi"/>
            <w:lang w:val="ru-RU"/>
          </w:rPr>
          <w:t>05.</w:t>
        </w:r>
        <w:proofErr w:type="spellStart"/>
        <w:r w:rsidRPr="006C2F0E">
          <w:rPr>
            <w:rStyle w:val="Hyperlink"/>
            <w:rFonts w:asciiTheme="majorBidi" w:hAnsiTheme="majorBidi" w:cstheme="majorBidi"/>
          </w:rPr>
          <w:t>pdf</w:t>
        </w:r>
        <w:proofErr w:type="spellEnd"/>
      </w:hyperlink>
      <w:r w:rsidRPr="006C2F0E">
        <w:rPr>
          <w:rFonts w:asciiTheme="majorBidi" w:hAnsiTheme="majorBidi" w:cstheme="majorBidi"/>
          <w:lang w:val="ru-RU"/>
        </w:rPr>
        <w:t>. См</w:t>
      </w:r>
      <w:r w:rsidRPr="006C2F0E">
        <w:rPr>
          <w:rFonts w:asciiTheme="majorBidi" w:hAnsiTheme="majorBidi" w:cstheme="majorBidi"/>
        </w:rPr>
        <w:t>. </w:t>
      </w:r>
      <w:r w:rsidRPr="006C2F0E">
        <w:rPr>
          <w:rFonts w:asciiTheme="majorBidi" w:hAnsiTheme="majorBidi" w:cstheme="majorBidi"/>
          <w:lang w:val="ru-RU"/>
        </w:rPr>
        <w:t>также</w:t>
      </w:r>
      <w:r w:rsidRPr="006C2F0E">
        <w:rPr>
          <w:rFonts w:asciiTheme="majorBidi" w:hAnsiTheme="majorBidi" w:cstheme="majorBidi"/>
        </w:rPr>
        <w:t xml:space="preserve"> </w:t>
      </w:r>
      <w:r w:rsidRPr="006C2F0E">
        <w:rPr>
          <w:rFonts w:asciiTheme="majorBidi" w:hAnsiTheme="majorBidi" w:cstheme="majorBidi"/>
          <w:lang w:val="ru-RU"/>
        </w:rPr>
        <w:t>Документ</w:t>
      </w:r>
      <w:r w:rsidRPr="006C2F0E">
        <w:rPr>
          <w:rFonts w:asciiTheme="majorBidi" w:hAnsiTheme="majorBidi" w:cstheme="majorBidi"/>
        </w:rPr>
        <w:t> 1/123, Regulatory trends for adapting licensing frameworks to a converged environment, 11 </w:t>
      </w:r>
      <w:r w:rsidRPr="006C2F0E">
        <w:rPr>
          <w:rFonts w:asciiTheme="majorBidi" w:hAnsiTheme="majorBidi" w:cstheme="majorBidi"/>
          <w:lang w:val="ru-RU"/>
        </w:rPr>
        <w:t>сентября</w:t>
      </w:r>
      <w:r w:rsidRPr="006C2F0E">
        <w:rPr>
          <w:rFonts w:asciiTheme="majorBidi" w:hAnsiTheme="majorBidi" w:cstheme="majorBidi"/>
        </w:rPr>
        <w:t xml:space="preserve"> 2007 </w:t>
      </w:r>
      <w:r w:rsidRPr="006C2F0E">
        <w:rPr>
          <w:rFonts w:asciiTheme="majorBidi" w:hAnsiTheme="majorBidi" w:cstheme="majorBidi"/>
          <w:lang w:val="ru-RU"/>
        </w:rPr>
        <w:t>года</w:t>
      </w:r>
      <w:r w:rsidRPr="006C2F0E">
        <w:rPr>
          <w:rFonts w:asciiTheme="majorBidi" w:hAnsiTheme="majorBidi" w:cstheme="majorBidi"/>
        </w:rPr>
        <w:t>.</w:t>
      </w:r>
    </w:p>
  </w:footnote>
  <w:footnote w:id="14">
    <w:p w:rsidR="00CF5441" w:rsidRPr="00BE346F" w:rsidRDefault="00CF5441" w:rsidP="00BE346F">
      <w:pPr>
        <w:tabs>
          <w:tab w:val="left" w:pos="284"/>
        </w:tabs>
        <w:spacing w:before="60"/>
        <w:ind w:left="284" w:hanging="284"/>
        <w:rPr>
          <w:sz w:val="20"/>
          <w:lang w:val="ru-RU"/>
        </w:rPr>
      </w:pPr>
      <w:r w:rsidRPr="00BE346F">
        <w:rPr>
          <w:rStyle w:val="FootnoteReference"/>
        </w:rPr>
        <w:footnoteRef/>
      </w:r>
      <w:r w:rsidRPr="0012697D">
        <w:rPr>
          <w:sz w:val="16"/>
          <w:szCs w:val="16"/>
          <w:lang w:val="ru-RU"/>
        </w:rPr>
        <w:tab/>
      </w:r>
      <w:r w:rsidRPr="00BE346F">
        <w:rPr>
          <w:sz w:val="20"/>
          <w:lang w:val="ru-RU"/>
        </w:rPr>
        <w:t xml:space="preserve">Закон о связи Нигерии, 2003 год, доступен по адресу: </w:t>
      </w:r>
      <w:hyperlink r:id="rId8" w:history="1">
        <w:r w:rsidRPr="00BE346F">
          <w:rPr>
            <w:rStyle w:val="Hyperlink"/>
            <w:sz w:val="20"/>
            <w:lang w:val="en-US"/>
          </w:rPr>
          <w:t>http</w:t>
        </w:r>
        <w:r w:rsidRPr="00BE346F">
          <w:rPr>
            <w:rStyle w:val="Hyperlink"/>
            <w:sz w:val="20"/>
            <w:lang w:val="ru-RU"/>
          </w:rPr>
          <w:t>://</w:t>
        </w:r>
        <w:r w:rsidRPr="00BE346F">
          <w:rPr>
            <w:rStyle w:val="Hyperlink"/>
            <w:sz w:val="20"/>
            <w:lang w:val="en-US"/>
          </w:rPr>
          <w:t>www</w:t>
        </w:r>
        <w:r w:rsidRPr="00BE346F">
          <w:rPr>
            <w:rStyle w:val="Hyperlink"/>
            <w:sz w:val="20"/>
            <w:lang w:val="ru-RU"/>
          </w:rPr>
          <w:t>.</w:t>
        </w:r>
        <w:proofErr w:type="spellStart"/>
        <w:r w:rsidRPr="00BE346F">
          <w:rPr>
            <w:rStyle w:val="Hyperlink"/>
            <w:sz w:val="20"/>
            <w:lang w:val="en-US"/>
          </w:rPr>
          <w:t>ncc</w:t>
        </w:r>
        <w:proofErr w:type="spellEnd"/>
        <w:r w:rsidRPr="00BE346F">
          <w:rPr>
            <w:rStyle w:val="Hyperlink"/>
            <w:sz w:val="20"/>
            <w:lang w:val="ru-RU"/>
          </w:rPr>
          <w:t>.</w:t>
        </w:r>
        <w:proofErr w:type="spellStart"/>
        <w:r w:rsidRPr="00BE346F">
          <w:rPr>
            <w:rStyle w:val="Hyperlink"/>
            <w:sz w:val="20"/>
            <w:lang w:val="en-US"/>
          </w:rPr>
          <w:t>gov</w:t>
        </w:r>
        <w:proofErr w:type="spellEnd"/>
        <w:r w:rsidRPr="00BE346F">
          <w:rPr>
            <w:rStyle w:val="Hyperlink"/>
            <w:sz w:val="20"/>
            <w:lang w:val="ru-RU"/>
          </w:rPr>
          <w:t>.</w:t>
        </w:r>
        <w:proofErr w:type="spellStart"/>
        <w:r w:rsidRPr="00BE346F">
          <w:rPr>
            <w:rStyle w:val="Hyperlink"/>
            <w:sz w:val="20"/>
            <w:lang w:val="en-US"/>
          </w:rPr>
          <w:t>ng</w:t>
        </w:r>
        <w:proofErr w:type="spellEnd"/>
        <w:r w:rsidRPr="00BE346F">
          <w:rPr>
            <w:rStyle w:val="Hyperlink"/>
            <w:sz w:val="20"/>
            <w:lang w:val="ru-RU"/>
          </w:rPr>
          <w:t>/</w:t>
        </w:r>
        <w:r w:rsidRPr="00BE346F">
          <w:rPr>
            <w:rStyle w:val="Hyperlink"/>
            <w:sz w:val="20"/>
            <w:lang w:val="en-US"/>
          </w:rPr>
          <w:t>index</w:t>
        </w:r>
        <w:r w:rsidRPr="00BE346F">
          <w:rPr>
            <w:rStyle w:val="Hyperlink"/>
            <w:sz w:val="20"/>
            <w:lang w:val="ru-RU"/>
          </w:rPr>
          <w:t>4.</w:t>
        </w:r>
        <w:proofErr w:type="spellStart"/>
        <w:r w:rsidRPr="00BE346F">
          <w:rPr>
            <w:rStyle w:val="Hyperlink"/>
            <w:sz w:val="20"/>
            <w:lang w:val="en-US"/>
          </w:rPr>
          <w:t>htm</w:t>
        </w:r>
        <w:proofErr w:type="spellEnd"/>
      </w:hyperlink>
      <w:r w:rsidRPr="00BE346F">
        <w:rPr>
          <w:sz w:val="20"/>
          <w:lang w:val="ru-RU"/>
        </w:rPr>
        <w:t xml:space="preserve">. </w:t>
      </w:r>
    </w:p>
  </w:footnote>
  <w:footnote w:id="15">
    <w:p w:rsidR="00CF5441" w:rsidRPr="00BE346F" w:rsidRDefault="00CF5441" w:rsidP="00BE346F">
      <w:pPr>
        <w:tabs>
          <w:tab w:val="left" w:pos="284"/>
        </w:tabs>
        <w:spacing w:before="60"/>
        <w:ind w:left="284" w:hanging="284"/>
        <w:rPr>
          <w:sz w:val="20"/>
          <w:lang w:val="en-US"/>
        </w:rPr>
      </w:pPr>
      <w:r w:rsidRPr="00BE346F">
        <w:rPr>
          <w:rStyle w:val="FootnoteReference"/>
        </w:rPr>
        <w:footnoteRef/>
      </w:r>
      <w:r>
        <w:rPr>
          <w:sz w:val="16"/>
          <w:szCs w:val="16"/>
          <w:lang w:val="en-US"/>
        </w:rPr>
        <w:tab/>
      </w:r>
      <w:r w:rsidRPr="00BE346F">
        <w:rPr>
          <w:sz w:val="20"/>
          <w:lang w:val="ru-RU"/>
        </w:rPr>
        <w:t>См</w:t>
      </w:r>
      <w:r w:rsidRPr="00BE346F">
        <w:rPr>
          <w:sz w:val="20"/>
          <w:lang w:val="en-US"/>
        </w:rPr>
        <w:t>. </w:t>
      </w:r>
      <w:r w:rsidRPr="00BE346F">
        <w:rPr>
          <w:sz w:val="20"/>
          <w:lang w:val="ru-RU"/>
        </w:rPr>
        <w:t>документ</w:t>
      </w:r>
      <w:r w:rsidRPr="00BE346F">
        <w:rPr>
          <w:sz w:val="20"/>
          <w:lang w:val="en-US"/>
        </w:rPr>
        <w:t> </w:t>
      </w:r>
      <w:r w:rsidRPr="00BE346F">
        <w:rPr>
          <w:sz w:val="20"/>
          <w:lang w:val="ru-RU"/>
        </w:rPr>
        <w:t>Комиссии</w:t>
      </w:r>
      <w:r w:rsidRPr="00BE346F">
        <w:rPr>
          <w:sz w:val="20"/>
          <w:lang w:val="en-US"/>
        </w:rPr>
        <w:t xml:space="preserve"> </w:t>
      </w:r>
      <w:r w:rsidRPr="00BE346F">
        <w:rPr>
          <w:sz w:val="20"/>
          <w:lang w:val="ru-RU"/>
        </w:rPr>
        <w:t>по</w:t>
      </w:r>
      <w:r w:rsidRPr="00BE346F">
        <w:rPr>
          <w:sz w:val="20"/>
          <w:lang w:val="en-US"/>
        </w:rPr>
        <w:t xml:space="preserve"> </w:t>
      </w:r>
      <w:r w:rsidRPr="00BE346F">
        <w:rPr>
          <w:sz w:val="20"/>
          <w:lang w:val="ru-RU"/>
        </w:rPr>
        <w:t>связи</w:t>
      </w:r>
      <w:r w:rsidRPr="00BE346F">
        <w:rPr>
          <w:sz w:val="20"/>
          <w:lang w:val="en-US"/>
        </w:rPr>
        <w:t xml:space="preserve"> </w:t>
      </w:r>
      <w:r w:rsidRPr="00BE346F">
        <w:rPr>
          <w:sz w:val="20"/>
          <w:lang w:val="ru-RU"/>
        </w:rPr>
        <w:t>Нигерии</w:t>
      </w:r>
      <w:r w:rsidRPr="00BE346F">
        <w:rPr>
          <w:sz w:val="20"/>
          <w:lang w:val="en-US"/>
        </w:rPr>
        <w:t xml:space="preserve"> "Licensing Framework for Unified Access Service in Nigeria", </w:t>
      </w:r>
      <w:hyperlink r:id="rId9" w:history="1">
        <w:r w:rsidRPr="00BE346F">
          <w:rPr>
            <w:rStyle w:val="Hyperlink"/>
            <w:sz w:val="20"/>
            <w:lang w:val="en-US"/>
          </w:rPr>
          <w:t>http://www.ncc.gov.ng/RegulatorFramework/unifiedLicensingFramework.htm</w:t>
        </w:r>
      </w:hyperlink>
      <w:r w:rsidRPr="00BE346F">
        <w:rPr>
          <w:sz w:val="20"/>
          <w:lang w:val="en-US"/>
        </w:rPr>
        <w:t xml:space="preserve">. </w:t>
      </w:r>
    </w:p>
  </w:footnote>
  <w:footnote w:id="16">
    <w:p w:rsidR="00CF5441" w:rsidRPr="00BE346F" w:rsidRDefault="00CF5441" w:rsidP="00BE346F">
      <w:pPr>
        <w:tabs>
          <w:tab w:val="left" w:pos="284"/>
          <w:tab w:val="left" w:pos="567"/>
          <w:tab w:val="left" w:pos="7513"/>
        </w:tabs>
        <w:spacing w:before="60"/>
        <w:ind w:left="284" w:hanging="284"/>
        <w:rPr>
          <w:rStyle w:val="FootnoteTextChar"/>
          <w:sz w:val="20"/>
        </w:rPr>
      </w:pPr>
      <w:r w:rsidRPr="00BE346F">
        <w:rPr>
          <w:rStyle w:val="FootnoteReference"/>
        </w:rPr>
        <w:footnoteRef/>
      </w:r>
      <w:r w:rsidRPr="00111C79">
        <w:rPr>
          <w:sz w:val="16"/>
          <w:szCs w:val="16"/>
          <w:vertAlign w:val="superscript"/>
          <w:lang w:val="ru-RU"/>
        </w:rPr>
        <w:tab/>
      </w:r>
      <w:proofErr w:type="spellStart"/>
      <w:proofErr w:type="gramStart"/>
      <w:r w:rsidRPr="00BE346F">
        <w:rPr>
          <w:rStyle w:val="FootnoteTextChar"/>
          <w:sz w:val="20"/>
        </w:rPr>
        <w:t>Директива</w:t>
      </w:r>
      <w:proofErr w:type="spellEnd"/>
      <w:r w:rsidRPr="00BE346F">
        <w:rPr>
          <w:rStyle w:val="FootnoteTextChar"/>
          <w:sz w:val="20"/>
        </w:rPr>
        <w:t xml:space="preserve"> </w:t>
      </w:r>
      <w:proofErr w:type="spellStart"/>
      <w:r w:rsidRPr="00BE346F">
        <w:rPr>
          <w:rStyle w:val="FootnoteTextChar"/>
          <w:sz w:val="20"/>
        </w:rPr>
        <w:t>Европейского</w:t>
      </w:r>
      <w:proofErr w:type="spellEnd"/>
      <w:r w:rsidRPr="00BE346F">
        <w:rPr>
          <w:rStyle w:val="FootnoteTextChar"/>
          <w:sz w:val="20"/>
        </w:rPr>
        <w:t xml:space="preserve"> </w:t>
      </w:r>
      <w:proofErr w:type="spellStart"/>
      <w:r w:rsidRPr="00BE346F">
        <w:rPr>
          <w:rStyle w:val="FootnoteTextChar"/>
          <w:sz w:val="20"/>
        </w:rPr>
        <w:t>парламента</w:t>
      </w:r>
      <w:proofErr w:type="spellEnd"/>
      <w:r w:rsidRPr="00BE346F">
        <w:rPr>
          <w:rStyle w:val="FootnoteTextChar"/>
          <w:sz w:val="20"/>
        </w:rPr>
        <w:t xml:space="preserve"> и </w:t>
      </w:r>
      <w:proofErr w:type="spellStart"/>
      <w:r w:rsidRPr="00BE346F">
        <w:rPr>
          <w:rStyle w:val="FootnoteTextChar"/>
          <w:sz w:val="20"/>
        </w:rPr>
        <w:t>Совета</w:t>
      </w:r>
      <w:proofErr w:type="spellEnd"/>
      <w:r w:rsidRPr="00BE346F">
        <w:rPr>
          <w:rStyle w:val="FootnoteTextChar"/>
          <w:sz w:val="20"/>
        </w:rPr>
        <w:t xml:space="preserve"> 2002/21/EC </w:t>
      </w:r>
      <w:proofErr w:type="spellStart"/>
      <w:r w:rsidRPr="00BE346F">
        <w:rPr>
          <w:rStyle w:val="FootnoteTextChar"/>
          <w:sz w:val="20"/>
        </w:rPr>
        <w:t>от</w:t>
      </w:r>
      <w:proofErr w:type="spellEnd"/>
      <w:r w:rsidRPr="00BE346F">
        <w:rPr>
          <w:rStyle w:val="FootnoteTextChar"/>
          <w:sz w:val="20"/>
        </w:rPr>
        <w:t xml:space="preserve"> 7 </w:t>
      </w:r>
      <w:proofErr w:type="spellStart"/>
      <w:r w:rsidRPr="00BE346F">
        <w:rPr>
          <w:rStyle w:val="FootnoteTextChar"/>
          <w:sz w:val="20"/>
        </w:rPr>
        <w:t>марта</w:t>
      </w:r>
      <w:proofErr w:type="spellEnd"/>
      <w:r w:rsidRPr="00BE346F">
        <w:rPr>
          <w:rStyle w:val="FootnoteTextChar"/>
          <w:sz w:val="20"/>
        </w:rPr>
        <w:t xml:space="preserve"> 2002 </w:t>
      </w:r>
      <w:proofErr w:type="spellStart"/>
      <w:r w:rsidRPr="00BE346F">
        <w:rPr>
          <w:rStyle w:val="FootnoteTextChar"/>
          <w:sz w:val="20"/>
        </w:rPr>
        <w:t>года</w:t>
      </w:r>
      <w:proofErr w:type="spellEnd"/>
      <w:r w:rsidRPr="00BE346F">
        <w:rPr>
          <w:rStyle w:val="FootnoteTextChar"/>
          <w:sz w:val="20"/>
        </w:rPr>
        <w:t xml:space="preserve"> </w:t>
      </w:r>
      <w:proofErr w:type="spellStart"/>
      <w:r w:rsidRPr="00BE346F">
        <w:rPr>
          <w:rStyle w:val="FootnoteTextChar"/>
          <w:sz w:val="20"/>
        </w:rPr>
        <w:t>об</w:t>
      </w:r>
      <w:proofErr w:type="spellEnd"/>
      <w:r w:rsidRPr="00BE346F">
        <w:rPr>
          <w:rStyle w:val="FootnoteTextChar"/>
          <w:sz w:val="20"/>
        </w:rPr>
        <w:t xml:space="preserve"> </w:t>
      </w:r>
      <w:proofErr w:type="spellStart"/>
      <w:r w:rsidRPr="00BE346F">
        <w:rPr>
          <w:rStyle w:val="FootnoteTextChar"/>
          <w:sz w:val="20"/>
        </w:rPr>
        <w:t>общих</w:t>
      </w:r>
      <w:proofErr w:type="spellEnd"/>
      <w:r w:rsidRPr="00BE346F">
        <w:rPr>
          <w:rStyle w:val="FootnoteTextChar"/>
          <w:sz w:val="20"/>
        </w:rPr>
        <w:t xml:space="preserve"> </w:t>
      </w:r>
      <w:proofErr w:type="spellStart"/>
      <w:r w:rsidRPr="00BE346F">
        <w:rPr>
          <w:rStyle w:val="FootnoteTextChar"/>
          <w:sz w:val="20"/>
        </w:rPr>
        <w:t>рамках</w:t>
      </w:r>
      <w:proofErr w:type="spellEnd"/>
      <w:r w:rsidRPr="00BE346F">
        <w:rPr>
          <w:rStyle w:val="FootnoteTextChar"/>
          <w:sz w:val="20"/>
        </w:rPr>
        <w:t xml:space="preserve"> </w:t>
      </w:r>
      <w:proofErr w:type="spellStart"/>
      <w:r w:rsidRPr="00BE346F">
        <w:rPr>
          <w:rStyle w:val="FootnoteTextChar"/>
          <w:sz w:val="20"/>
        </w:rPr>
        <w:t>регулирования</w:t>
      </w:r>
      <w:proofErr w:type="spellEnd"/>
      <w:r w:rsidRPr="00BE346F">
        <w:rPr>
          <w:rStyle w:val="FootnoteTextChar"/>
          <w:sz w:val="20"/>
        </w:rPr>
        <w:t xml:space="preserve"> </w:t>
      </w:r>
      <w:proofErr w:type="spellStart"/>
      <w:r w:rsidRPr="00BE346F">
        <w:rPr>
          <w:rStyle w:val="FootnoteTextChar"/>
          <w:sz w:val="20"/>
        </w:rPr>
        <w:t>электронных</w:t>
      </w:r>
      <w:proofErr w:type="spellEnd"/>
      <w:r w:rsidRPr="00BE346F">
        <w:rPr>
          <w:rStyle w:val="FootnoteTextChar"/>
          <w:sz w:val="20"/>
        </w:rPr>
        <w:t xml:space="preserve"> </w:t>
      </w:r>
      <w:proofErr w:type="spellStart"/>
      <w:r w:rsidRPr="00BE346F">
        <w:rPr>
          <w:rStyle w:val="FootnoteTextChar"/>
          <w:sz w:val="20"/>
        </w:rPr>
        <w:t>коммуникационных</w:t>
      </w:r>
      <w:proofErr w:type="spellEnd"/>
      <w:r w:rsidRPr="00BE346F">
        <w:rPr>
          <w:rStyle w:val="FootnoteTextChar"/>
          <w:sz w:val="20"/>
        </w:rPr>
        <w:t xml:space="preserve"> </w:t>
      </w:r>
      <w:proofErr w:type="spellStart"/>
      <w:r w:rsidRPr="00BE346F">
        <w:rPr>
          <w:rStyle w:val="FootnoteTextChar"/>
          <w:sz w:val="20"/>
        </w:rPr>
        <w:t>сетей</w:t>
      </w:r>
      <w:proofErr w:type="spellEnd"/>
      <w:r w:rsidRPr="00BE346F">
        <w:rPr>
          <w:rStyle w:val="FootnoteTextChar"/>
          <w:sz w:val="20"/>
        </w:rPr>
        <w:t xml:space="preserve"> и </w:t>
      </w:r>
      <w:proofErr w:type="spellStart"/>
      <w:r w:rsidRPr="00BE346F">
        <w:rPr>
          <w:rStyle w:val="FootnoteTextChar"/>
          <w:sz w:val="20"/>
        </w:rPr>
        <w:t>услуг</w:t>
      </w:r>
      <w:proofErr w:type="spellEnd"/>
      <w:r w:rsidRPr="00BE346F">
        <w:rPr>
          <w:rStyle w:val="FootnoteTextChar"/>
          <w:sz w:val="20"/>
        </w:rPr>
        <w:t xml:space="preserve"> (</w:t>
      </w:r>
      <w:proofErr w:type="spellStart"/>
      <w:r w:rsidRPr="00BE346F">
        <w:rPr>
          <w:rStyle w:val="FootnoteTextChar"/>
          <w:sz w:val="20"/>
        </w:rPr>
        <w:t>Рамочная</w:t>
      </w:r>
      <w:proofErr w:type="spellEnd"/>
      <w:r w:rsidRPr="00BE346F">
        <w:rPr>
          <w:rStyle w:val="FootnoteTextChar"/>
          <w:sz w:val="20"/>
        </w:rPr>
        <w:t xml:space="preserve"> </w:t>
      </w:r>
      <w:proofErr w:type="spellStart"/>
      <w:r w:rsidRPr="00BE346F">
        <w:rPr>
          <w:rStyle w:val="FootnoteTextChar"/>
          <w:sz w:val="20"/>
        </w:rPr>
        <w:t>директива</w:t>
      </w:r>
      <w:proofErr w:type="spellEnd"/>
      <w:r w:rsidRPr="00BE346F">
        <w:rPr>
          <w:rStyle w:val="FootnoteTextChar"/>
          <w:sz w:val="20"/>
        </w:rPr>
        <w:t xml:space="preserve">) и </w:t>
      </w:r>
      <w:proofErr w:type="spellStart"/>
      <w:r w:rsidRPr="00BE346F">
        <w:rPr>
          <w:rStyle w:val="FootnoteTextChar"/>
          <w:sz w:val="20"/>
        </w:rPr>
        <w:t>Директива</w:t>
      </w:r>
      <w:proofErr w:type="spellEnd"/>
      <w:r w:rsidRPr="00BE346F">
        <w:rPr>
          <w:rStyle w:val="FootnoteTextChar"/>
          <w:sz w:val="20"/>
        </w:rPr>
        <w:t xml:space="preserve"> 2002/20/CE </w:t>
      </w:r>
      <w:proofErr w:type="spellStart"/>
      <w:r w:rsidRPr="00BE346F">
        <w:rPr>
          <w:rStyle w:val="FootnoteTextChar"/>
          <w:sz w:val="20"/>
        </w:rPr>
        <w:t>от</w:t>
      </w:r>
      <w:proofErr w:type="spellEnd"/>
      <w:r w:rsidRPr="00BE346F">
        <w:rPr>
          <w:rStyle w:val="FootnoteTextChar"/>
          <w:sz w:val="20"/>
        </w:rPr>
        <w:t xml:space="preserve"> 7 </w:t>
      </w:r>
      <w:proofErr w:type="spellStart"/>
      <w:r w:rsidRPr="00BE346F">
        <w:rPr>
          <w:rStyle w:val="FootnoteTextChar"/>
          <w:sz w:val="20"/>
        </w:rPr>
        <w:t>марта</w:t>
      </w:r>
      <w:proofErr w:type="spellEnd"/>
      <w:r w:rsidRPr="00BE346F">
        <w:rPr>
          <w:rStyle w:val="FootnoteTextChar"/>
          <w:sz w:val="20"/>
        </w:rPr>
        <w:t xml:space="preserve"> 2002 </w:t>
      </w:r>
      <w:proofErr w:type="spellStart"/>
      <w:r w:rsidRPr="00BE346F">
        <w:rPr>
          <w:rStyle w:val="FootnoteTextChar"/>
          <w:sz w:val="20"/>
        </w:rPr>
        <w:t>года</w:t>
      </w:r>
      <w:proofErr w:type="spellEnd"/>
      <w:r w:rsidRPr="00BE346F">
        <w:rPr>
          <w:rStyle w:val="FootnoteTextChar"/>
          <w:sz w:val="20"/>
        </w:rPr>
        <w:t xml:space="preserve"> </w:t>
      </w:r>
      <w:proofErr w:type="spellStart"/>
      <w:r w:rsidRPr="00BE346F">
        <w:rPr>
          <w:rStyle w:val="FootnoteTextChar"/>
          <w:sz w:val="20"/>
        </w:rPr>
        <w:t>об</w:t>
      </w:r>
      <w:proofErr w:type="spellEnd"/>
      <w:r w:rsidRPr="00BE346F">
        <w:rPr>
          <w:rStyle w:val="FootnoteTextChar"/>
          <w:sz w:val="20"/>
        </w:rPr>
        <w:t xml:space="preserve"> </w:t>
      </w:r>
      <w:proofErr w:type="spellStart"/>
      <w:r w:rsidRPr="00BE346F">
        <w:rPr>
          <w:rStyle w:val="FootnoteTextChar"/>
          <w:sz w:val="20"/>
        </w:rPr>
        <w:t>авторизации</w:t>
      </w:r>
      <w:proofErr w:type="spellEnd"/>
      <w:r w:rsidRPr="00BE346F">
        <w:rPr>
          <w:rStyle w:val="FootnoteTextChar"/>
          <w:sz w:val="20"/>
        </w:rPr>
        <w:t xml:space="preserve"> </w:t>
      </w:r>
      <w:proofErr w:type="spellStart"/>
      <w:r w:rsidRPr="00BE346F">
        <w:rPr>
          <w:rStyle w:val="FootnoteTextChar"/>
          <w:sz w:val="20"/>
        </w:rPr>
        <w:t>электронных</w:t>
      </w:r>
      <w:proofErr w:type="spellEnd"/>
      <w:r w:rsidRPr="00BE346F">
        <w:rPr>
          <w:rStyle w:val="FootnoteTextChar"/>
          <w:sz w:val="20"/>
        </w:rPr>
        <w:t xml:space="preserve"> </w:t>
      </w:r>
      <w:proofErr w:type="spellStart"/>
      <w:r w:rsidRPr="00BE346F">
        <w:rPr>
          <w:rStyle w:val="FootnoteTextChar"/>
          <w:sz w:val="20"/>
        </w:rPr>
        <w:t>коммуникационных</w:t>
      </w:r>
      <w:proofErr w:type="spellEnd"/>
      <w:r w:rsidRPr="00BE346F">
        <w:rPr>
          <w:rStyle w:val="FootnoteTextChar"/>
          <w:sz w:val="20"/>
        </w:rPr>
        <w:t xml:space="preserve"> </w:t>
      </w:r>
      <w:proofErr w:type="spellStart"/>
      <w:r w:rsidRPr="00BE346F">
        <w:rPr>
          <w:rStyle w:val="FootnoteTextChar"/>
          <w:sz w:val="20"/>
        </w:rPr>
        <w:t>сетей</w:t>
      </w:r>
      <w:proofErr w:type="spellEnd"/>
      <w:r w:rsidRPr="00BE346F">
        <w:rPr>
          <w:rStyle w:val="FootnoteTextChar"/>
          <w:sz w:val="20"/>
        </w:rPr>
        <w:t xml:space="preserve"> и </w:t>
      </w:r>
      <w:proofErr w:type="spellStart"/>
      <w:r w:rsidRPr="00BE346F">
        <w:rPr>
          <w:rStyle w:val="FootnoteTextChar"/>
          <w:sz w:val="20"/>
        </w:rPr>
        <w:t>услуг</w:t>
      </w:r>
      <w:proofErr w:type="spellEnd"/>
      <w:r w:rsidRPr="00BE346F">
        <w:rPr>
          <w:rStyle w:val="FootnoteTextChar"/>
          <w:sz w:val="20"/>
        </w:rPr>
        <w:t xml:space="preserve"> (</w:t>
      </w:r>
      <w:proofErr w:type="spellStart"/>
      <w:r w:rsidRPr="00BE346F">
        <w:rPr>
          <w:rStyle w:val="FootnoteTextChar"/>
          <w:sz w:val="20"/>
        </w:rPr>
        <w:t>Директива</w:t>
      </w:r>
      <w:proofErr w:type="spellEnd"/>
      <w:r w:rsidRPr="00BE346F">
        <w:rPr>
          <w:rStyle w:val="FootnoteTextChar"/>
          <w:sz w:val="20"/>
        </w:rPr>
        <w:t xml:space="preserve"> </w:t>
      </w:r>
      <w:proofErr w:type="spellStart"/>
      <w:r w:rsidRPr="00BE346F">
        <w:rPr>
          <w:rStyle w:val="FootnoteTextChar"/>
          <w:sz w:val="20"/>
        </w:rPr>
        <w:t>об</w:t>
      </w:r>
      <w:proofErr w:type="spellEnd"/>
      <w:r w:rsidRPr="00BE346F">
        <w:rPr>
          <w:rStyle w:val="FootnoteTextChar"/>
          <w:sz w:val="20"/>
        </w:rPr>
        <w:t xml:space="preserve"> </w:t>
      </w:r>
      <w:proofErr w:type="spellStart"/>
      <w:r w:rsidRPr="00BE346F">
        <w:rPr>
          <w:rStyle w:val="FootnoteTextChar"/>
          <w:sz w:val="20"/>
        </w:rPr>
        <w:t>авторизации</w:t>
      </w:r>
      <w:proofErr w:type="spellEnd"/>
      <w:r w:rsidRPr="00BE346F">
        <w:rPr>
          <w:rStyle w:val="FootnoteTextChar"/>
          <w:sz w:val="20"/>
        </w:rPr>
        <w:t>).</w:t>
      </w:r>
      <w:proofErr w:type="gramEnd"/>
    </w:p>
  </w:footnote>
  <w:footnote w:id="17">
    <w:p w:rsidR="00CF5441" w:rsidRPr="00F01A95" w:rsidRDefault="00CF5441" w:rsidP="00BE346F">
      <w:pPr>
        <w:tabs>
          <w:tab w:val="left" w:pos="284"/>
          <w:tab w:val="left" w:pos="567"/>
        </w:tabs>
        <w:spacing w:before="60"/>
        <w:ind w:left="284" w:hanging="284"/>
        <w:rPr>
          <w:sz w:val="16"/>
          <w:szCs w:val="16"/>
          <w:lang w:val="ru-RU"/>
        </w:rPr>
      </w:pPr>
      <w:r w:rsidRPr="00BE346F">
        <w:rPr>
          <w:rStyle w:val="FootnoteReference"/>
        </w:rPr>
        <w:footnoteRef/>
      </w:r>
      <w:r>
        <w:rPr>
          <w:sz w:val="16"/>
          <w:szCs w:val="16"/>
          <w:vertAlign w:val="superscript"/>
        </w:rPr>
        <w:tab/>
      </w:r>
      <w:proofErr w:type="gramStart"/>
      <w:r w:rsidRPr="00BE346F">
        <w:rPr>
          <w:rStyle w:val="FootnoteTextChar"/>
          <w:sz w:val="20"/>
        </w:rPr>
        <w:t xml:space="preserve">47 </w:t>
      </w:r>
      <w:proofErr w:type="spellStart"/>
      <w:r w:rsidRPr="00BE346F">
        <w:rPr>
          <w:rStyle w:val="FootnoteTextChar"/>
          <w:sz w:val="20"/>
        </w:rPr>
        <w:t>U.S.C</w:t>
      </w:r>
      <w:proofErr w:type="spellEnd"/>
      <w:r w:rsidRPr="00BE346F">
        <w:rPr>
          <w:rStyle w:val="FootnoteTextChar"/>
          <w:sz w:val="20"/>
        </w:rPr>
        <w:t>. § 230 (b).</w:t>
      </w:r>
      <w:proofErr w:type="gramEnd"/>
      <w:r w:rsidRPr="00BE346F">
        <w:rPr>
          <w:rStyle w:val="FootnoteTextChar"/>
          <w:sz w:val="20"/>
        </w:rPr>
        <w:t xml:space="preserve"> </w:t>
      </w:r>
      <w:proofErr w:type="spellStart"/>
      <w:r w:rsidRPr="00BE346F">
        <w:rPr>
          <w:rStyle w:val="FootnoteTextChar"/>
          <w:sz w:val="20"/>
        </w:rPr>
        <w:t>См</w:t>
      </w:r>
      <w:proofErr w:type="spellEnd"/>
      <w:r w:rsidRPr="00BE346F">
        <w:rPr>
          <w:rStyle w:val="FootnoteTextChar"/>
          <w:sz w:val="20"/>
        </w:rPr>
        <w:t xml:space="preserve">. </w:t>
      </w:r>
      <w:proofErr w:type="spellStart"/>
      <w:r w:rsidRPr="00BE346F">
        <w:rPr>
          <w:rStyle w:val="FootnoteTextChar"/>
          <w:sz w:val="20"/>
        </w:rPr>
        <w:t>также</w:t>
      </w:r>
      <w:proofErr w:type="spellEnd"/>
      <w:r w:rsidRPr="00BE346F">
        <w:rPr>
          <w:rStyle w:val="FootnoteTextChar"/>
          <w:sz w:val="20"/>
        </w:rPr>
        <w:t xml:space="preserve"> в </w:t>
      </w:r>
      <w:proofErr w:type="spellStart"/>
      <w:r w:rsidRPr="00BE346F">
        <w:rPr>
          <w:rStyle w:val="FootnoteTextChar"/>
          <w:sz w:val="20"/>
        </w:rPr>
        <w:t>отношении</w:t>
      </w:r>
      <w:proofErr w:type="spellEnd"/>
      <w:r w:rsidRPr="00BE346F">
        <w:rPr>
          <w:rStyle w:val="FootnoteTextChar"/>
          <w:sz w:val="20"/>
        </w:rPr>
        <w:t xml:space="preserve"> </w:t>
      </w:r>
      <w:proofErr w:type="spellStart"/>
      <w:r w:rsidRPr="00BE346F">
        <w:rPr>
          <w:rStyle w:val="FootnoteTextChar"/>
          <w:sz w:val="20"/>
        </w:rPr>
        <w:t>услуг</w:t>
      </w:r>
      <w:proofErr w:type="spellEnd"/>
      <w:r w:rsidRPr="00BE346F">
        <w:rPr>
          <w:rStyle w:val="FootnoteTextChar"/>
          <w:sz w:val="20"/>
        </w:rPr>
        <w:t xml:space="preserve"> </w:t>
      </w:r>
      <w:proofErr w:type="spellStart"/>
      <w:r w:rsidRPr="00BE346F">
        <w:rPr>
          <w:rStyle w:val="FootnoteTextChar"/>
          <w:sz w:val="20"/>
        </w:rPr>
        <w:t>кабельных</w:t>
      </w:r>
      <w:proofErr w:type="spellEnd"/>
      <w:r w:rsidRPr="00BE346F">
        <w:rPr>
          <w:rStyle w:val="FootnoteTextChar"/>
          <w:sz w:val="20"/>
        </w:rPr>
        <w:t xml:space="preserve"> </w:t>
      </w:r>
      <w:proofErr w:type="spellStart"/>
      <w:r w:rsidRPr="00BE346F">
        <w:rPr>
          <w:rStyle w:val="FootnoteTextChar"/>
          <w:sz w:val="20"/>
        </w:rPr>
        <w:t>модемов</w:t>
      </w:r>
      <w:proofErr w:type="spellEnd"/>
      <w:r w:rsidRPr="00BE346F">
        <w:rPr>
          <w:rStyle w:val="FootnoteTextChar"/>
          <w:sz w:val="20"/>
        </w:rPr>
        <w:t xml:space="preserve"> и </w:t>
      </w:r>
      <w:proofErr w:type="spellStart"/>
      <w:r w:rsidRPr="00BE346F">
        <w:rPr>
          <w:rStyle w:val="FootnoteTextChar"/>
          <w:sz w:val="20"/>
        </w:rPr>
        <w:t>проводной</w:t>
      </w:r>
      <w:proofErr w:type="spellEnd"/>
      <w:r w:rsidRPr="00BE346F">
        <w:rPr>
          <w:rStyle w:val="FootnoteTextChar"/>
          <w:sz w:val="20"/>
        </w:rPr>
        <w:t xml:space="preserve"> </w:t>
      </w:r>
      <w:proofErr w:type="spellStart"/>
      <w:r w:rsidRPr="00BE346F">
        <w:rPr>
          <w:rStyle w:val="FootnoteTextChar"/>
          <w:sz w:val="20"/>
        </w:rPr>
        <w:t>широкополосной</w:t>
      </w:r>
      <w:proofErr w:type="spellEnd"/>
      <w:r w:rsidRPr="00BE346F">
        <w:rPr>
          <w:rStyle w:val="FootnoteTextChar"/>
          <w:sz w:val="20"/>
        </w:rPr>
        <w:t xml:space="preserve"> </w:t>
      </w:r>
      <w:proofErr w:type="spellStart"/>
      <w:r w:rsidRPr="00BE346F">
        <w:rPr>
          <w:rStyle w:val="FootnoteTextChar"/>
          <w:sz w:val="20"/>
        </w:rPr>
        <w:t>связи</w:t>
      </w:r>
      <w:proofErr w:type="spellEnd"/>
      <w:r w:rsidRPr="00BE346F">
        <w:rPr>
          <w:rStyle w:val="FootnoteTextChar"/>
          <w:sz w:val="20"/>
        </w:rPr>
        <w:t>: i) In Re Inquiry Concerning High-Speed Access to the Internet Over Cable and Other Facilities and Internet Over Cable Declaratory, and Appropriate Regulatory Treatment for Broadband Access to the Internet Over Cable Facilities, and Appropriate Framework for Broadband Access to the Internet Over Cable Facilities, Declaratory Ruling and Notice of Proposed Rulemaking (</w:t>
      </w:r>
      <w:proofErr w:type="spellStart"/>
      <w:r w:rsidRPr="00BE346F">
        <w:rPr>
          <w:rStyle w:val="FootnoteTextChar"/>
          <w:sz w:val="20"/>
        </w:rPr>
        <w:t>NPRM</w:t>
      </w:r>
      <w:proofErr w:type="spellEnd"/>
      <w:r w:rsidRPr="00BE346F">
        <w:rPr>
          <w:rStyle w:val="FootnoteTextChar"/>
          <w:sz w:val="20"/>
        </w:rPr>
        <w:t xml:space="preserve">), </w:t>
      </w:r>
      <w:proofErr w:type="spellStart"/>
      <w:r w:rsidRPr="00BE346F">
        <w:rPr>
          <w:rStyle w:val="FootnoteTextChar"/>
          <w:sz w:val="20"/>
        </w:rPr>
        <w:t>GN</w:t>
      </w:r>
      <w:proofErr w:type="spellEnd"/>
      <w:r w:rsidRPr="00BE346F">
        <w:rPr>
          <w:rStyle w:val="FootnoteTextChar"/>
          <w:sz w:val="20"/>
        </w:rPr>
        <w:t xml:space="preserve"> Docket No. 00-185, and CS Docket No. 02-52 (</w:t>
      </w:r>
      <w:proofErr w:type="spellStart"/>
      <w:r w:rsidRPr="00BE346F">
        <w:rPr>
          <w:rStyle w:val="FootnoteTextChar"/>
          <w:sz w:val="20"/>
        </w:rPr>
        <w:t>документ</w:t>
      </w:r>
      <w:proofErr w:type="spellEnd"/>
      <w:r w:rsidRPr="00BE346F">
        <w:rPr>
          <w:rStyle w:val="FootnoteTextChar"/>
          <w:sz w:val="20"/>
        </w:rPr>
        <w:t xml:space="preserve"> </w:t>
      </w:r>
      <w:proofErr w:type="spellStart"/>
      <w:r w:rsidRPr="00BE346F">
        <w:rPr>
          <w:rStyle w:val="FootnoteTextChar"/>
          <w:sz w:val="20"/>
        </w:rPr>
        <w:t>выпущен</w:t>
      </w:r>
      <w:proofErr w:type="spellEnd"/>
      <w:r w:rsidRPr="00BE346F">
        <w:rPr>
          <w:rStyle w:val="FootnoteTextChar"/>
          <w:sz w:val="20"/>
        </w:rPr>
        <w:t xml:space="preserve"> </w:t>
      </w:r>
      <w:proofErr w:type="spellStart"/>
      <w:r w:rsidRPr="00BE346F">
        <w:rPr>
          <w:rStyle w:val="FootnoteTextChar"/>
          <w:sz w:val="20"/>
        </w:rPr>
        <w:t>ФКС</w:t>
      </w:r>
      <w:proofErr w:type="spellEnd"/>
      <w:r w:rsidRPr="00BE346F">
        <w:rPr>
          <w:rStyle w:val="FootnoteTextChar"/>
          <w:sz w:val="20"/>
        </w:rPr>
        <w:t xml:space="preserve"> 15 </w:t>
      </w:r>
      <w:proofErr w:type="spellStart"/>
      <w:r w:rsidRPr="00BE346F">
        <w:rPr>
          <w:rStyle w:val="FootnoteTextChar"/>
          <w:sz w:val="20"/>
        </w:rPr>
        <w:t>марта</w:t>
      </w:r>
      <w:proofErr w:type="spellEnd"/>
      <w:r w:rsidRPr="00BE346F">
        <w:rPr>
          <w:rStyle w:val="FootnoteTextChar"/>
          <w:sz w:val="20"/>
        </w:rPr>
        <w:t xml:space="preserve"> </w:t>
      </w:r>
      <w:smartTag w:uri="urn:schemas-microsoft-com:office:smarttags" w:element="metricconverter">
        <w:smartTagPr>
          <w:attr w:name="ProductID" w:val="2002 г"/>
        </w:smartTagPr>
        <w:r w:rsidRPr="00BE346F">
          <w:rPr>
            <w:rStyle w:val="FootnoteTextChar"/>
            <w:sz w:val="20"/>
          </w:rPr>
          <w:t>2002 г</w:t>
        </w:r>
      </w:smartTag>
      <w:r w:rsidRPr="00BE346F">
        <w:rPr>
          <w:rStyle w:val="FootnoteTextChar"/>
          <w:sz w:val="20"/>
        </w:rPr>
        <w:t xml:space="preserve">.); и ii) In Re Appropriate Framework for Broadband Access to the Internet Over </w:t>
      </w:r>
      <w:proofErr w:type="spellStart"/>
      <w:r w:rsidRPr="00BE346F">
        <w:rPr>
          <w:rStyle w:val="FootnoteTextChar"/>
          <w:sz w:val="20"/>
        </w:rPr>
        <w:t>Wireline</w:t>
      </w:r>
      <w:proofErr w:type="spellEnd"/>
      <w:r w:rsidRPr="00BE346F">
        <w:rPr>
          <w:rStyle w:val="FootnoteTextChar"/>
          <w:sz w:val="20"/>
        </w:rPr>
        <w:t xml:space="preserve"> Facilities; Universal Service Obligations of Broadband Providers; and associated dockets, Report and Order and </w:t>
      </w:r>
      <w:proofErr w:type="spellStart"/>
      <w:r w:rsidRPr="00BE346F">
        <w:rPr>
          <w:rStyle w:val="FootnoteTextChar"/>
          <w:sz w:val="20"/>
        </w:rPr>
        <w:t>NPRM</w:t>
      </w:r>
      <w:proofErr w:type="spellEnd"/>
      <w:r w:rsidRPr="00BE346F">
        <w:rPr>
          <w:rStyle w:val="FootnoteTextChar"/>
          <w:sz w:val="20"/>
        </w:rPr>
        <w:t>, CC Docket No. 02-33, CC Docket No. 01-337 et al. (</w:t>
      </w:r>
      <w:proofErr w:type="spellStart"/>
      <w:r w:rsidRPr="00BE346F">
        <w:rPr>
          <w:rStyle w:val="FootnoteTextChar"/>
          <w:sz w:val="20"/>
        </w:rPr>
        <w:t>документ</w:t>
      </w:r>
      <w:proofErr w:type="spellEnd"/>
      <w:r w:rsidRPr="00BE346F">
        <w:rPr>
          <w:rStyle w:val="FootnoteTextChar"/>
          <w:sz w:val="20"/>
        </w:rPr>
        <w:t xml:space="preserve"> </w:t>
      </w:r>
      <w:proofErr w:type="spellStart"/>
      <w:r w:rsidRPr="00BE346F">
        <w:rPr>
          <w:rStyle w:val="FootnoteTextChar"/>
          <w:sz w:val="20"/>
        </w:rPr>
        <w:t>выпущен</w:t>
      </w:r>
      <w:proofErr w:type="spellEnd"/>
      <w:r w:rsidRPr="00BE346F">
        <w:rPr>
          <w:rStyle w:val="FootnoteTextChar"/>
          <w:sz w:val="20"/>
        </w:rPr>
        <w:t xml:space="preserve"> </w:t>
      </w:r>
      <w:proofErr w:type="spellStart"/>
      <w:r w:rsidRPr="00BE346F">
        <w:rPr>
          <w:rStyle w:val="FootnoteTextChar"/>
          <w:sz w:val="20"/>
        </w:rPr>
        <w:t>ФКС</w:t>
      </w:r>
      <w:proofErr w:type="spellEnd"/>
      <w:r w:rsidRPr="00BE346F">
        <w:rPr>
          <w:rStyle w:val="FootnoteTextChar"/>
          <w:sz w:val="20"/>
        </w:rPr>
        <w:t xml:space="preserve"> 23 </w:t>
      </w:r>
      <w:proofErr w:type="spellStart"/>
      <w:r w:rsidRPr="00BE346F">
        <w:rPr>
          <w:rStyle w:val="FootnoteTextChar"/>
          <w:sz w:val="20"/>
        </w:rPr>
        <w:t>сентября</w:t>
      </w:r>
      <w:proofErr w:type="spellEnd"/>
      <w:r w:rsidRPr="00BE346F">
        <w:rPr>
          <w:rStyle w:val="FootnoteTextChar"/>
          <w:sz w:val="20"/>
        </w:rPr>
        <w:t xml:space="preserve"> 2005 г.).</w:t>
      </w:r>
    </w:p>
  </w:footnote>
  <w:footnote w:id="18">
    <w:p w:rsidR="00CF5441" w:rsidRPr="00C54F22" w:rsidRDefault="00CF5441" w:rsidP="00C54F22">
      <w:pPr>
        <w:tabs>
          <w:tab w:val="left" w:pos="284"/>
          <w:tab w:val="left" w:pos="567"/>
        </w:tabs>
        <w:spacing w:before="60"/>
        <w:ind w:left="284" w:hanging="284"/>
        <w:rPr>
          <w:sz w:val="20"/>
          <w:lang w:val="ru-RU"/>
        </w:rPr>
      </w:pPr>
      <w:r w:rsidRPr="00C54F22">
        <w:rPr>
          <w:rStyle w:val="FootnoteReference"/>
        </w:rPr>
        <w:footnoteRef/>
      </w:r>
      <w:r w:rsidRPr="00111C79">
        <w:rPr>
          <w:sz w:val="16"/>
          <w:szCs w:val="16"/>
          <w:lang w:val="ru-RU"/>
        </w:rPr>
        <w:tab/>
      </w:r>
      <w:r w:rsidRPr="00C54F22">
        <w:rPr>
          <w:sz w:val="20"/>
          <w:lang w:val="ru-RU"/>
        </w:rPr>
        <w:t xml:space="preserve">Документ </w:t>
      </w:r>
      <w:proofErr w:type="spellStart"/>
      <w:r w:rsidRPr="00C54F22">
        <w:rPr>
          <w:sz w:val="20"/>
          <w:lang w:val="fr-FR"/>
        </w:rPr>
        <w:t>RGQ</w:t>
      </w:r>
      <w:proofErr w:type="spellEnd"/>
      <w:r w:rsidRPr="00C54F22">
        <w:rPr>
          <w:sz w:val="20"/>
          <w:lang w:val="ru-RU"/>
        </w:rPr>
        <w:t xml:space="preserve"> 10-2/1/020, 2</w:t>
      </w:r>
      <w:r w:rsidRPr="00C54F22">
        <w:rPr>
          <w:sz w:val="20"/>
          <w:lang w:val="en-US"/>
        </w:rPr>
        <w:t> </w:t>
      </w:r>
      <w:r w:rsidRPr="00C54F22">
        <w:rPr>
          <w:sz w:val="20"/>
          <w:lang w:val="ru-RU"/>
        </w:rPr>
        <w:t>марта 2009</w:t>
      </w:r>
      <w:r w:rsidRPr="00C54F22">
        <w:rPr>
          <w:sz w:val="20"/>
          <w:lang w:val="en-US"/>
        </w:rPr>
        <w:t> </w:t>
      </w:r>
      <w:r w:rsidRPr="00C54F22">
        <w:rPr>
          <w:sz w:val="20"/>
          <w:lang w:val="ru-RU"/>
        </w:rPr>
        <w:t>года.</w:t>
      </w:r>
    </w:p>
  </w:footnote>
  <w:footnote w:id="19">
    <w:p w:rsidR="00CF5441" w:rsidRPr="00C54F22" w:rsidRDefault="00CF5441" w:rsidP="00C54F22">
      <w:pPr>
        <w:tabs>
          <w:tab w:val="left" w:pos="284"/>
        </w:tabs>
        <w:spacing w:before="60"/>
        <w:ind w:left="284" w:hanging="284"/>
        <w:rPr>
          <w:sz w:val="20"/>
          <w:lang w:val="ru-RU"/>
        </w:rPr>
      </w:pPr>
      <w:r w:rsidRPr="00C54F22">
        <w:rPr>
          <w:rStyle w:val="FootnoteReference"/>
        </w:rPr>
        <w:footnoteRef/>
      </w:r>
      <w:r w:rsidRPr="00111C79">
        <w:rPr>
          <w:sz w:val="16"/>
          <w:szCs w:val="16"/>
          <w:lang w:val="ru-RU"/>
        </w:rPr>
        <w:tab/>
      </w:r>
      <w:r w:rsidRPr="00C54F22">
        <w:rPr>
          <w:sz w:val="20"/>
          <w:lang w:val="ru-RU"/>
        </w:rPr>
        <w:t xml:space="preserve">Документ </w:t>
      </w:r>
      <w:proofErr w:type="spellStart"/>
      <w:r w:rsidRPr="00C54F22">
        <w:rPr>
          <w:sz w:val="20"/>
          <w:lang w:val="fr-FR"/>
        </w:rPr>
        <w:t>RGQ</w:t>
      </w:r>
      <w:proofErr w:type="spellEnd"/>
      <w:r w:rsidRPr="00C54F22">
        <w:rPr>
          <w:sz w:val="20"/>
          <w:lang w:val="ru-RU"/>
        </w:rPr>
        <w:t>10-2/1/023, 19</w:t>
      </w:r>
      <w:r w:rsidRPr="00C54F22">
        <w:rPr>
          <w:sz w:val="20"/>
          <w:lang w:val="en-US"/>
        </w:rPr>
        <w:t> </w:t>
      </w:r>
      <w:r w:rsidRPr="00C54F22">
        <w:rPr>
          <w:sz w:val="20"/>
          <w:lang w:val="ru-RU"/>
        </w:rPr>
        <w:t>марта 2009</w:t>
      </w:r>
      <w:r w:rsidRPr="00C54F22">
        <w:rPr>
          <w:sz w:val="20"/>
          <w:lang w:val="en-US"/>
        </w:rPr>
        <w:t> </w:t>
      </w:r>
      <w:r w:rsidRPr="00C54F22">
        <w:rPr>
          <w:sz w:val="20"/>
          <w:lang w:val="ru-RU"/>
        </w:rPr>
        <w:t>года.</w:t>
      </w:r>
    </w:p>
  </w:footnote>
  <w:footnote w:id="20">
    <w:p w:rsidR="00CF5441" w:rsidRPr="00111C79" w:rsidRDefault="00CF5441" w:rsidP="00C54F22">
      <w:pPr>
        <w:tabs>
          <w:tab w:val="left" w:pos="284"/>
        </w:tabs>
        <w:spacing w:before="60"/>
        <w:ind w:left="284" w:hanging="284"/>
        <w:rPr>
          <w:sz w:val="16"/>
          <w:szCs w:val="16"/>
          <w:lang w:val="ru-RU"/>
        </w:rPr>
      </w:pPr>
      <w:r w:rsidRPr="00FA5CF9">
        <w:rPr>
          <w:position w:val="6"/>
          <w:sz w:val="16"/>
          <w:szCs w:val="16"/>
        </w:rPr>
        <w:footnoteRef/>
      </w:r>
      <w:r w:rsidRPr="00111C79">
        <w:rPr>
          <w:sz w:val="16"/>
          <w:szCs w:val="16"/>
          <w:lang w:val="ru-RU"/>
        </w:rPr>
        <w:tab/>
      </w:r>
      <w:r w:rsidRPr="00C54F22">
        <w:rPr>
          <w:bCs/>
          <w:sz w:val="20"/>
          <w:lang w:val="ru-RU"/>
        </w:rPr>
        <w:t xml:space="preserve">Закон </w:t>
      </w:r>
      <w:r w:rsidRPr="00C54F22">
        <w:rPr>
          <w:bCs/>
          <w:sz w:val="20"/>
          <w:lang w:val="fr-FR"/>
        </w:rPr>
        <w:t>L</w:t>
      </w:r>
      <w:r w:rsidRPr="00C54F22">
        <w:rPr>
          <w:bCs/>
          <w:sz w:val="20"/>
          <w:lang w:val="ru-RU"/>
        </w:rPr>
        <w:t>/2005/018/</w:t>
      </w:r>
      <w:r w:rsidRPr="00C54F22">
        <w:rPr>
          <w:bCs/>
          <w:sz w:val="20"/>
          <w:lang w:val="fr-FR"/>
        </w:rPr>
        <w:t>AN</w:t>
      </w:r>
      <w:r w:rsidRPr="00C54F22">
        <w:rPr>
          <w:bCs/>
          <w:sz w:val="20"/>
          <w:lang w:val="ru-RU"/>
        </w:rPr>
        <w:t xml:space="preserve">, вносящий поправки в положения Закона </w:t>
      </w:r>
      <w:r w:rsidRPr="00C54F22">
        <w:rPr>
          <w:bCs/>
          <w:sz w:val="20"/>
          <w:lang w:val="fr-FR"/>
        </w:rPr>
        <w:t>L</w:t>
      </w:r>
      <w:r w:rsidRPr="00C54F22">
        <w:rPr>
          <w:bCs/>
          <w:sz w:val="20"/>
          <w:lang w:val="ru-RU"/>
        </w:rPr>
        <w:t>/92/016/</w:t>
      </w:r>
      <w:proofErr w:type="spellStart"/>
      <w:r w:rsidRPr="00C54F22">
        <w:rPr>
          <w:bCs/>
          <w:sz w:val="20"/>
          <w:lang w:val="fr-FR"/>
        </w:rPr>
        <w:t>CTRN</w:t>
      </w:r>
      <w:proofErr w:type="spellEnd"/>
      <w:r w:rsidRPr="00C54F22">
        <w:rPr>
          <w:bCs/>
          <w:sz w:val="20"/>
          <w:lang w:val="ru-RU"/>
        </w:rPr>
        <w:t xml:space="preserve"> относительно общего регулирования в области электросвязи; </w:t>
      </w:r>
      <w:r w:rsidRPr="00C54F22">
        <w:rPr>
          <w:sz w:val="20"/>
          <w:lang w:val="ru-RU"/>
        </w:rPr>
        <w:t xml:space="preserve">Закон </w:t>
      </w:r>
      <w:r w:rsidRPr="00C54F22">
        <w:rPr>
          <w:sz w:val="20"/>
          <w:lang w:val="fr-FR"/>
        </w:rPr>
        <w:t>L</w:t>
      </w:r>
      <w:r w:rsidRPr="00C54F22">
        <w:rPr>
          <w:sz w:val="20"/>
          <w:lang w:val="ru-RU"/>
        </w:rPr>
        <w:t>/2005/019/</w:t>
      </w:r>
      <w:r w:rsidRPr="00C54F22">
        <w:rPr>
          <w:sz w:val="20"/>
          <w:lang w:val="fr-FR"/>
        </w:rPr>
        <w:t>AN</w:t>
      </w:r>
      <w:r w:rsidRPr="00C54F22">
        <w:rPr>
          <w:sz w:val="20"/>
          <w:lang w:val="ru-RU"/>
        </w:rPr>
        <w:t xml:space="preserve"> от 08</w:t>
      </w:r>
      <w:r w:rsidRPr="00C54F22">
        <w:rPr>
          <w:sz w:val="20"/>
          <w:lang w:val="fr-FR"/>
        </w:rPr>
        <w:t> </w:t>
      </w:r>
      <w:r w:rsidRPr="00C54F22">
        <w:rPr>
          <w:sz w:val="20"/>
          <w:lang w:val="ru-RU"/>
        </w:rPr>
        <w:t>сентября 2005</w:t>
      </w:r>
      <w:r w:rsidRPr="00C54F22">
        <w:rPr>
          <w:sz w:val="20"/>
          <w:lang w:val="fr-FR"/>
        </w:rPr>
        <w:t> </w:t>
      </w:r>
      <w:r w:rsidRPr="00C54F22">
        <w:rPr>
          <w:sz w:val="20"/>
          <w:lang w:val="ru-RU"/>
        </w:rPr>
        <w:t>года, вносящий поправки в положения Закона</w:t>
      </w:r>
      <w:r w:rsidRPr="00C54F22">
        <w:rPr>
          <w:sz w:val="20"/>
          <w:lang w:val="fr-FR"/>
        </w:rPr>
        <w:t> L</w:t>
      </w:r>
      <w:r w:rsidRPr="00C54F22">
        <w:rPr>
          <w:sz w:val="20"/>
          <w:lang w:val="ru-RU"/>
        </w:rPr>
        <w:t>/95/018/</w:t>
      </w:r>
      <w:proofErr w:type="spellStart"/>
      <w:r w:rsidRPr="00C54F22">
        <w:rPr>
          <w:sz w:val="20"/>
          <w:lang w:val="fr-FR"/>
        </w:rPr>
        <w:t>CTRN</w:t>
      </w:r>
      <w:proofErr w:type="spellEnd"/>
      <w:r w:rsidRPr="00C54F22">
        <w:rPr>
          <w:sz w:val="20"/>
          <w:lang w:val="ru-RU"/>
        </w:rPr>
        <w:t xml:space="preserve"> относительно регулирования в области радиосвязи Республики Гвинеи.</w:t>
      </w:r>
    </w:p>
  </w:footnote>
  <w:footnote w:id="21">
    <w:p w:rsidR="00CF5441" w:rsidRPr="00C54F22" w:rsidRDefault="00CF5441" w:rsidP="00C54F22">
      <w:pPr>
        <w:tabs>
          <w:tab w:val="left" w:pos="284"/>
        </w:tabs>
        <w:spacing w:before="60"/>
        <w:ind w:left="284" w:hanging="284"/>
        <w:rPr>
          <w:sz w:val="20"/>
          <w:lang w:val="ru-RU"/>
        </w:rPr>
      </w:pPr>
      <w:r w:rsidRPr="00FA5CF9">
        <w:rPr>
          <w:position w:val="6"/>
          <w:sz w:val="16"/>
          <w:szCs w:val="16"/>
        </w:rPr>
        <w:footnoteRef/>
      </w:r>
      <w:r>
        <w:rPr>
          <w:sz w:val="16"/>
          <w:szCs w:val="16"/>
          <w:lang w:val="ru-RU"/>
        </w:rPr>
        <w:tab/>
      </w:r>
      <w:r w:rsidRPr="00C54F22">
        <w:rPr>
          <w:sz w:val="20"/>
          <w:lang w:val="ru-RU"/>
        </w:rPr>
        <w:t xml:space="preserve">Документ </w:t>
      </w:r>
      <w:proofErr w:type="spellStart"/>
      <w:r w:rsidRPr="00C54F22">
        <w:rPr>
          <w:sz w:val="20"/>
        </w:rPr>
        <w:t>RGQ</w:t>
      </w:r>
      <w:proofErr w:type="spellEnd"/>
      <w:r w:rsidRPr="00C54F22">
        <w:rPr>
          <w:sz w:val="20"/>
          <w:lang w:val="ru-RU"/>
        </w:rPr>
        <w:t>10-2/1/009, 13 декабря 2007 года.</w:t>
      </w:r>
    </w:p>
  </w:footnote>
  <w:footnote w:id="22">
    <w:p w:rsidR="00CF5441" w:rsidRPr="00C54F22" w:rsidRDefault="00CF5441" w:rsidP="00C54F22">
      <w:pPr>
        <w:tabs>
          <w:tab w:val="left" w:pos="284"/>
        </w:tabs>
        <w:spacing w:before="60"/>
        <w:ind w:left="284" w:hanging="284"/>
        <w:rPr>
          <w:sz w:val="20"/>
          <w:lang w:val="ru-RU"/>
        </w:rPr>
      </w:pPr>
      <w:r w:rsidRPr="00C54F22">
        <w:rPr>
          <w:rStyle w:val="FootnoteReference"/>
        </w:rPr>
        <w:footnoteRef/>
      </w:r>
      <w:r>
        <w:rPr>
          <w:sz w:val="16"/>
          <w:szCs w:val="16"/>
          <w:lang w:val="ru-RU"/>
        </w:rPr>
        <w:tab/>
      </w:r>
      <w:r w:rsidRPr="00C54F22">
        <w:rPr>
          <w:sz w:val="20"/>
          <w:lang w:val="ru-RU"/>
        </w:rPr>
        <w:t xml:space="preserve">Документ </w:t>
      </w:r>
      <w:proofErr w:type="spellStart"/>
      <w:r w:rsidRPr="00C54F22">
        <w:rPr>
          <w:sz w:val="20"/>
        </w:rPr>
        <w:t>RGQ</w:t>
      </w:r>
      <w:proofErr w:type="spellEnd"/>
      <w:r w:rsidRPr="00C54F22">
        <w:rPr>
          <w:sz w:val="20"/>
          <w:lang w:val="ru-RU"/>
        </w:rPr>
        <w:t>10-2/1/010 от 13 декабря 2007 года.</w:t>
      </w:r>
    </w:p>
  </w:footnote>
  <w:footnote w:id="23">
    <w:p w:rsidR="00CF5441" w:rsidRPr="00C54F22" w:rsidRDefault="00CF5441" w:rsidP="00C54F22">
      <w:pPr>
        <w:tabs>
          <w:tab w:val="left" w:pos="284"/>
          <w:tab w:val="left" w:pos="426"/>
        </w:tabs>
        <w:spacing w:before="60"/>
        <w:ind w:left="284" w:hanging="284"/>
        <w:rPr>
          <w:sz w:val="20"/>
          <w:lang w:val="ru-RU"/>
        </w:rPr>
      </w:pPr>
      <w:r w:rsidRPr="00C54F22">
        <w:rPr>
          <w:rStyle w:val="FootnoteReference"/>
        </w:rPr>
        <w:footnoteRef/>
      </w:r>
      <w:r w:rsidRPr="002646CC">
        <w:rPr>
          <w:sz w:val="16"/>
          <w:szCs w:val="16"/>
          <w:lang w:val="ru-RU"/>
        </w:rPr>
        <w:tab/>
      </w:r>
      <w:r w:rsidRPr="00C54F22">
        <w:rPr>
          <w:sz w:val="20"/>
          <w:lang w:val="ru-RU"/>
        </w:rPr>
        <w:t xml:space="preserve">Сектор электросвязи определяет </w:t>
      </w:r>
      <w:proofErr w:type="spellStart"/>
      <w:r w:rsidRPr="00C54F22">
        <w:rPr>
          <w:sz w:val="20"/>
          <w:lang w:val="en-US"/>
        </w:rPr>
        <w:t>IPTV</w:t>
      </w:r>
      <w:proofErr w:type="spellEnd"/>
      <w:r w:rsidRPr="00C54F22">
        <w:rPr>
          <w:sz w:val="20"/>
          <w:lang w:val="ru-RU"/>
        </w:rPr>
        <w:t xml:space="preserve"> как широкополосную конвергентную услугу, а сектор радиовещания </w:t>
      </w:r>
      <w:r w:rsidRPr="00C54F22">
        <w:rPr>
          <w:sz w:val="20"/>
          <w:lang w:val="ru-RU"/>
        </w:rPr>
        <w:sym w:font="Symbol" w:char="F02D"/>
      </w:r>
      <w:r w:rsidRPr="00C54F22">
        <w:rPr>
          <w:sz w:val="20"/>
          <w:lang w:val="ru-RU"/>
        </w:rPr>
        <w:t xml:space="preserve"> как </w:t>
      </w:r>
      <w:proofErr w:type="spellStart"/>
      <w:r w:rsidRPr="00C54F22">
        <w:rPr>
          <w:sz w:val="20"/>
          <w:lang w:val="ru-RU"/>
        </w:rPr>
        <w:t>мульмедийную</w:t>
      </w:r>
      <w:proofErr w:type="spellEnd"/>
      <w:r w:rsidRPr="00C54F22">
        <w:rPr>
          <w:sz w:val="20"/>
          <w:lang w:val="ru-RU"/>
        </w:rPr>
        <w:t xml:space="preserve"> услугу фиксированной связи.</w:t>
      </w:r>
    </w:p>
  </w:footnote>
  <w:footnote w:id="24">
    <w:p w:rsidR="00CF5441" w:rsidRPr="00C54F22" w:rsidRDefault="00CF5441" w:rsidP="00C54F22">
      <w:pPr>
        <w:tabs>
          <w:tab w:val="left" w:pos="284"/>
        </w:tabs>
        <w:spacing w:before="60"/>
        <w:ind w:left="284" w:hanging="284"/>
        <w:rPr>
          <w:sz w:val="20"/>
          <w:lang w:val="ru-RU"/>
        </w:rPr>
      </w:pPr>
      <w:r w:rsidRPr="00C54F22">
        <w:rPr>
          <w:rStyle w:val="FootnoteReference"/>
        </w:rPr>
        <w:footnoteRef/>
      </w:r>
      <w:r>
        <w:rPr>
          <w:sz w:val="16"/>
          <w:szCs w:val="16"/>
          <w:lang w:val="ru-RU"/>
        </w:rPr>
        <w:tab/>
      </w:r>
      <w:r w:rsidRPr="00C54F22">
        <w:rPr>
          <w:sz w:val="20"/>
          <w:lang w:val="ru-RU"/>
        </w:rPr>
        <w:t xml:space="preserve">Документ </w:t>
      </w:r>
      <w:proofErr w:type="spellStart"/>
      <w:r w:rsidRPr="00C54F22">
        <w:rPr>
          <w:sz w:val="20"/>
        </w:rPr>
        <w:t>RGQ</w:t>
      </w:r>
      <w:proofErr w:type="spellEnd"/>
      <w:r w:rsidRPr="00C54F22">
        <w:rPr>
          <w:sz w:val="20"/>
          <w:lang w:val="ru-RU"/>
        </w:rPr>
        <w:t>10-2/1/014 от 5 января 2008 года.</w:t>
      </w:r>
    </w:p>
  </w:footnote>
  <w:footnote w:id="25">
    <w:p w:rsidR="00CF5441" w:rsidRPr="00C54F22" w:rsidRDefault="00CF5441" w:rsidP="00BE346F">
      <w:pPr>
        <w:tabs>
          <w:tab w:val="left" w:pos="284"/>
        </w:tabs>
        <w:spacing w:before="60"/>
        <w:ind w:left="284" w:hanging="284"/>
        <w:rPr>
          <w:sz w:val="20"/>
          <w:lang w:val="ru-RU"/>
        </w:rPr>
      </w:pPr>
      <w:r w:rsidRPr="00C54F22">
        <w:rPr>
          <w:rStyle w:val="FootnoteReference"/>
        </w:rPr>
        <w:footnoteRef/>
      </w:r>
      <w:r>
        <w:rPr>
          <w:sz w:val="16"/>
          <w:szCs w:val="16"/>
          <w:lang w:val="ru-RU"/>
        </w:rPr>
        <w:tab/>
      </w:r>
      <w:r w:rsidRPr="00C54F22">
        <w:rPr>
          <w:sz w:val="20"/>
          <w:lang w:val="ru-RU"/>
        </w:rPr>
        <w:t xml:space="preserve">Документ </w:t>
      </w:r>
      <w:proofErr w:type="spellStart"/>
      <w:r w:rsidRPr="00C54F22">
        <w:rPr>
          <w:sz w:val="20"/>
        </w:rPr>
        <w:t>RGQ</w:t>
      </w:r>
      <w:proofErr w:type="spellEnd"/>
      <w:r w:rsidRPr="00C54F22">
        <w:rPr>
          <w:sz w:val="20"/>
          <w:lang w:val="ru-RU"/>
        </w:rPr>
        <w:t>10-2/1/016, 21 февраля 2008 года.</w:t>
      </w:r>
    </w:p>
  </w:footnote>
  <w:footnote w:id="26">
    <w:p w:rsidR="00CF5441" w:rsidRPr="00836177" w:rsidRDefault="00CF5441" w:rsidP="00BE346F">
      <w:pPr>
        <w:tabs>
          <w:tab w:val="left" w:pos="284"/>
        </w:tabs>
        <w:spacing w:before="60"/>
        <w:ind w:left="284" w:hanging="284"/>
        <w:rPr>
          <w:sz w:val="20"/>
          <w:lang w:val="ru-RU"/>
        </w:rPr>
      </w:pPr>
      <w:r w:rsidRPr="00836177">
        <w:rPr>
          <w:rStyle w:val="FootnoteReference"/>
        </w:rPr>
        <w:footnoteRef/>
      </w:r>
      <w:r w:rsidRPr="00836177">
        <w:rPr>
          <w:rStyle w:val="FootnoteReference"/>
        </w:rPr>
        <w:tab/>
      </w:r>
      <w:r w:rsidRPr="00836177">
        <w:rPr>
          <w:sz w:val="20"/>
          <w:lang w:val="ru-RU"/>
        </w:rPr>
        <w:t xml:space="preserve">Документ </w:t>
      </w:r>
      <w:proofErr w:type="spellStart"/>
      <w:r w:rsidRPr="00836177">
        <w:rPr>
          <w:sz w:val="20"/>
          <w:lang w:val="fr-FR"/>
        </w:rPr>
        <w:t>RGQ</w:t>
      </w:r>
      <w:proofErr w:type="spellEnd"/>
      <w:r w:rsidRPr="00836177">
        <w:rPr>
          <w:sz w:val="20"/>
          <w:lang w:val="ru-RU"/>
        </w:rPr>
        <w:t xml:space="preserve"> 10-2/1/021, 25 февраля 2009 года.</w:t>
      </w:r>
    </w:p>
  </w:footnote>
  <w:footnote w:id="27">
    <w:p w:rsidR="00CF5441" w:rsidRPr="00574CA5" w:rsidRDefault="00CF5441" w:rsidP="00470146">
      <w:pPr>
        <w:pStyle w:val="FootnoteText"/>
        <w:keepLines w:val="0"/>
        <w:tabs>
          <w:tab w:val="left" w:pos="284"/>
          <w:tab w:val="left" w:pos="426"/>
        </w:tabs>
        <w:overflowPunct/>
        <w:autoSpaceDE/>
        <w:autoSpaceDN/>
        <w:adjustRightInd/>
        <w:spacing w:before="60"/>
        <w:ind w:left="284" w:hanging="284"/>
        <w:textAlignment w:val="auto"/>
        <w:rPr>
          <w:rFonts w:ascii="Verdana" w:hAnsi="Verdana"/>
          <w:sz w:val="16"/>
          <w:szCs w:val="16"/>
          <w:lang w:val="ru-RU"/>
        </w:rPr>
      </w:pPr>
      <w:r w:rsidRPr="00470146">
        <w:rPr>
          <w:rStyle w:val="FootnoteReference"/>
        </w:rPr>
        <w:footnoteRef/>
      </w:r>
      <w:r w:rsidRPr="00D704A8">
        <w:rPr>
          <w:rFonts w:ascii="Verdana" w:hAnsi="Verdana"/>
          <w:sz w:val="16"/>
          <w:szCs w:val="16"/>
          <w:lang w:val="ru-RU"/>
        </w:rPr>
        <w:tab/>
      </w:r>
      <w:proofErr w:type="spellStart"/>
      <w:proofErr w:type="gramStart"/>
      <w:r w:rsidRPr="00470146">
        <w:t>Документ</w:t>
      </w:r>
      <w:proofErr w:type="spellEnd"/>
      <w:r w:rsidRPr="00470146">
        <w:t xml:space="preserve"> </w:t>
      </w:r>
      <w:proofErr w:type="spellStart"/>
      <w:r w:rsidRPr="00470146">
        <w:t>RGQ</w:t>
      </w:r>
      <w:proofErr w:type="spellEnd"/>
      <w:r w:rsidRPr="00470146">
        <w:t xml:space="preserve"> 10-2/1/021, 25 </w:t>
      </w:r>
      <w:proofErr w:type="spellStart"/>
      <w:r w:rsidRPr="00470146">
        <w:t>февраля</w:t>
      </w:r>
      <w:proofErr w:type="spellEnd"/>
      <w:r w:rsidRPr="00470146">
        <w:t xml:space="preserve"> 2009 </w:t>
      </w:r>
      <w:proofErr w:type="spellStart"/>
      <w:r w:rsidRPr="00470146">
        <w:t>года</w:t>
      </w:r>
      <w:proofErr w:type="spellEnd"/>
      <w:r w:rsidRPr="00470146">
        <w:t>.</w:t>
      </w:r>
      <w:proofErr w:type="gramEnd"/>
    </w:p>
  </w:footnote>
  <w:footnote w:id="28">
    <w:p w:rsidR="00CF5441" w:rsidRPr="00D704A8" w:rsidRDefault="00CF5441" w:rsidP="00470146">
      <w:pPr>
        <w:pStyle w:val="CEONormal"/>
        <w:tabs>
          <w:tab w:val="left" w:pos="284"/>
        </w:tabs>
        <w:spacing w:before="60"/>
        <w:ind w:left="284" w:hanging="284"/>
        <w:rPr>
          <w:sz w:val="16"/>
          <w:szCs w:val="16"/>
          <w:lang w:val="ru-RU"/>
        </w:rPr>
      </w:pPr>
      <w:r w:rsidRPr="00836177">
        <w:rPr>
          <w:rStyle w:val="Verdana"/>
          <w:rFonts w:asciiTheme="majorBidi" w:hAnsiTheme="majorBidi" w:cstheme="majorBidi"/>
          <w:sz w:val="16"/>
          <w:szCs w:val="16"/>
        </w:rPr>
        <w:footnoteRef/>
      </w:r>
      <w:r w:rsidRPr="00D704A8">
        <w:rPr>
          <w:sz w:val="16"/>
          <w:szCs w:val="16"/>
          <w:lang w:val="ru-RU"/>
        </w:rPr>
        <w:tab/>
      </w:r>
      <w:proofErr w:type="spellStart"/>
      <w:r w:rsidRPr="00836177">
        <w:rPr>
          <w:rFonts w:ascii="Times New Roman" w:eastAsia="Times New Roman" w:hAnsi="Times New Roman"/>
          <w:sz w:val="20"/>
          <w:szCs w:val="20"/>
          <w:lang w:val="en-US"/>
        </w:rPr>
        <w:t>Документ</w:t>
      </w:r>
      <w:proofErr w:type="spellEnd"/>
      <w:r w:rsidRPr="00836177">
        <w:rPr>
          <w:rFonts w:ascii="Times New Roman" w:eastAsia="Times New Roman" w:hAnsi="Times New Roman"/>
          <w:sz w:val="20"/>
          <w:szCs w:val="20"/>
          <w:lang w:val="en-US"/>
        </w:rPr>
        <w:t xml:space="preserve"> 1/048, 6 </w:t>
      </w:r>
      <w:proofErr w:type="spellStart"/>
      <w:r w:rsidRPr="00836177">
        <w:rPr>
          <w:rFonts w:ascii="Times New Roman" w:eastAsia="Times New Roman" w:hAnsi="Times New Roman"/>
          <w:sz w:val="20"/>
          <w:szCs w:val="20"/>
          <w:lang w:val="en-US"/>
        </w:rPr>
        <w:t>сентября</w:t>
      </w:r>
      <w:proofErr w:type="spellEnd"/>
      <w:r w:rsidRPr="00836177">
        <w:rPr>
          <w:rFonts w:ascii="Times New Roman" w:eastAsia="Times New Roman" w:hAnsi="Times New Roman"/>
          <w:sz w:val="20"/>
          <w:szCs w:val="20"/>
          <w:lang w:val="en-US"/>
        </w:rPr>
        <w:t xml:space="preserve"> 2006 </w:t>
      </w:r>
      <w:proofErr w:type="spellStart"/>
      <w:r w:rsidRPr="00836177">
        <w:rPr>
          <w:rFonts w:ascii="Times New Roman" w:eastAsia="Times New Roman" w:hAnsi="Times New Roman"/>
          <w:sz w:val="20"/>
          <w:szCs w:val="20"/>
          <w:lang w:val="en-US"/>
        </w:rPr>
        <w:t>года</w:t>
      </w:r>
      <w:proofErr w:type="spellEnd"/>
      <w:r w:rsidRPr="00836177">
        <w:rPr>
          <w:rFonts w:ascii="Times New Roman" w:eastAsia="Times New Roman" w:hAnsi="Times New Roman"/>
          <w:sz w:val="20"/>
          <w:szCs w:val="20"/>
          <w:lang w:val="en-US"/>
        </w:rPr>
        <w:t>.</w:t>
      </w:r>
    </w:p>
  </w:footnote>
  <w:footnote w:id="29">
    <w:p w:rsidR="00CF5441" w:rsidRPr="00836177" w:rsidRDefault="00CF5441" w:rsidP="00836177">
      <w:pPr>
        <w:pStyle w:val="CEONormal"/>
        <w:tabs>
          <w:tab w:val="left" w:pos="284"/>
        </w:tabs>
        <w:spacing w:before="60"/>
        <w:ind w:left="284" w:hanging="284"/>
        <w:rPr>
          <w:rFonts w:asciiTheme="majorBidi" w:hAnsiTheme="majorBidi" w:cstheme="majorBidi"/>
          <w:sz w:val="20"/>
          <w:szCs w:val="20"/>
          <w:lang w:val="ru-RU"/>
        </w:rPr>
      </w:pPr>
      <w:r w:rsidRPr="00836177">
        <w:rPr>
          <w:rStyle w:val="FootnoteReference"/>
          <w:rFonts w:asciiTheme="majorBidi" w:hAnsiTheme="majorBidi" w:cstheme="majorBidi"/>
        </w:rPr>
        <w:footnoteRef/>
      </w:r>
      <w:r w:rsidRPr="00D704A8">
        <w:rPr>
          <w:sz w:val="16"/>
          <w:szCs w:val="16"/>
          <w:lang w:val="ru-RU"/>
        </w:rPr>
        <w:tab/>
      </w:r>
      <w:r w:rsidRPr="00836177">
        <w:rPr>
          <w:rFonts w:asciiTheme="majorBidi" w:hAnsiTheme="majorBidi" w:cstheme="majorBidi"/>
          <w:sz w:val="20"/>
          <w:szCs w:val="20"/>
          <w:lang w:val="ru-RU"/>
        </w:rPr>
        <w:t xml:space="preserve">Документ </w:t>
      </w:r>
      <w:proofErr w:type="spellStart"/>
      <w:r w:rsidRPr="00836177">
        <w:rPr>
          <w:rFonts w:asciiTheme="majorBidi" w:hAnsiTheme="majorBidi" w:cstheme="majorBidi"/>
          <w:sz w:val="20"/>
          <w:szCs w:val="20"/>
          <w:lang w:val="fr-FR"/>
        </w:rPr>
        <w:t>RGQ</w:t>
      </w:r>
      <w:proofErr w:type="spellEnd"/>
      <w:r w:rsidRPr="00836177">
        <w:rPr>
          <w:rFonts w:asciiTheme="majorBidi" w:hAnsiTheme="majorBidi" w:cstheme="majorBidi"/>
          <w:sz w:val="20"/>
          <w:szCs w:val="20"/>
          <w:lang w:val="ru-RU"/>
        </w:rPr>
        <w:t xml:space="preserve"> 10-2/1/022, 18 марта 2009 года.</w:t>
      </w:r>
    </w:p>
  </w:footnote>
  <w:footnote w:id="30">
    <w:p w:rsidR="00CF5441" w:rsidRPr="00836177" w:rsidRDefault="00CF5441" w:rsidP="00836177">
      <w:pPr>
        <w:pStyle w:val="CEONormal"/>
        <w:tabs>
          <w:tab w:val="left" w:pos="284"/>
        </w:tabs>
        <w:spacing w:before="60"/>
        <w:ind w:left="284" w:hanging="284"/>
        <w:rPr>
          <w:rFonts w:asciiTheme="majorBidi" w:hAnsiTheme="majorBidi" w:cstheme="majorBidi"/>
          <w:sz w:val="20"/>
          <w:szCs w:val="20"/>
          <w:lang w:val="ru-RU"/>
        </w:rPr>
      </w:pPr>
      <w:r w:rsidRPr="00836177">
        <w:rPr>
          <w:rStyle w:val="FootnoteReference"/>
          <w:rFonts w:asciiTheme="majorBidi" w:hAnsiTheme="majorBidi" w:cstheme="majorBidi"/>
        </w:rPr>
        <w:footnoteRef/>
      </w:r>
      <w:r w:rsidRPr="00D704A8">
        <w:rPr>
          <w:sz w:val="16"/>
          <w:szCs w:val="16"/>
          <w:lang w:val="ru-RU"/>
        </w:rPr>
        <w:tab/>
      </w:r>
      <w:r w:rsidRPr="00836177">
        <w:rPr>
          <w:rFonts w:asciiTheme="majorBidi" w:hAnsiTheme="majorBidi" w:cstheme="majorBidi"/>
          <w:sz w:val="20"/>
          <w:szCs w:val="20"/>
          <w:lang w:val="ru-RU"/>
        </w:rPr>
        <w:t xml:space="preserve">Документ </w:t>
      </w:r>
      <w:proofErr w:type="spellStart"/>
      <w:r w:rsidRPr="00836177">
        <w:rPr>
          <w:rFonts w:asciiTheme="majorBidi" w:hAnsiTheme="majorBidi" w:cstheme="majorBidi"/>
          <w:sz w:val="20"/>
          <w:szCs w:val="20"/>
          <w:lang w:val="ru-RU"/>
        </w:rPr>
        <w:t>RGQ</w:t>
      </w:r>
      <w:proofErr w:type="spellEnd"/>
      <w:r w:rsidRPr="00836177">
        <w:rPr>
          <w:rFonts w:asciiTheme="majorBidi" w:hAnsiTheme="majorBidi" w:cstheme="majorBidi"/>
          <w:sz w:val="20"/>
          <w:szCs w:val="20"/>
          <w:lang w:val="ru-RU"/>
        </w:rPr>
        <w:t xml:space="preserve"> 10-2/1/012, 18 января 2008 года.</w:t>
      </w:r>
    </w:p>
  </w:footnote>
  <w:footnote w:id="31">
    <w:p w:rsidR="00CF5441" w:rsidRPr="00836177" w:rsidRDefault="00CF5441" w:rsidP="00836177">
      <w:pPr>
        <w:pStyle w:val="CEONormal"/>
        <w:tabs>
          <w:tab w:val="left" w:pos="284"/>
        </w:tabs>
        <w:spacing w:before="60"/>
        <w:ind w:left="284" w:hanging="284"/>
        <w:rPr>
          <w:sz w:val="20"/>
          <w:szCs w:val="20"/>
          <w:lang w:val="ru-RU"/>
        </w:rPr>
      </w:pPr>
      <w:r w:rsidRPr="00FA5CF9">
        <w:rPr>
          <w:rStyle w:val="FootnoteTextChar"/>
          <w:position w:val="6"/>
          <w:sz w:val="16"/>
          <w:szCs w:val="16"/>
        </w:rPr>
        <w:footnoteRef/>
      </w:r>
      <w:r w:rsidRPr="00D704A8">
        <w:rPr>
          <w:sz w:val="16"/>
          <w:szCs w:val="16"/>
          <w:lang w:val="ru-RU"/>
        </w:rPr>
        <w:tab/>
      </w:r>
      <w:proofErr w:type="spellStart"/>
      <w:r w:rsidRPr="00836177">
        <w:rPr>
          <w:rStyle w:val="FootnoteTextChar"/>
          <w:sz w:val="20"/>
          <w:szCs w:val="20"/>
        </w:rPr>
        <w:t>Закон</w:t>
      </w:r>
      <w:proofErr w:type="spellEnd"/>
      <w:r w:rsidRPr="00836177">
        <w:rPr>
          <w:rStyle w:val="FootnoteTextChar"/>
          <w:sz w:val="20"/>
          <w:szCs w:val="20"/>
        </w:rPr>
        <w:t xml:space="preserve"> N°098 </w:t>
      </w:r>
      <w:proofErr w:type="spellStart"/>
      <w:r w:rsidRPr="00836177">
        <w:rPr>
          <w:rStyle w:val="FootnoteTextChar"/>
          <w:sz w:val="20"/>
          <w:szCs w:val="20"/>
        </w:rPr>
        <w:t>от</w:t>
      </w:r>
      <w:proofErr w:type="spellEnd"/>
      <w:r w:rsidRPr="00836177">
        <w:rPr>
          <w:rStyle w:val="FootnoteTextChar"/>
          <w:sz w:val="20"/>
          <w:szCs w:val="20"/>
        </w:rPr>
        <w:t xml:space="preserve"> 14 </w:t>
      </w:r>
      <w:proofErr w:type="spellStart"/>
      <w:r w:rsidRPr="00836177">
        <w:rPr>
          <w:rStyle w:val="FootnoteTextChar"/>
          <w:sz w:val="20"/>
          <w:szCs w:val="20"/>
        </w:rPr>
        <w:t>июля</w:t>
      </w:r>
      <w:proofErr w:type="spellEnd"/>
      <w:r w:rsidRPr="00836177">
        <w:rPr>
          <w:rStyle w:val="FootnoteTextChar"/>
          <w:sz w:val="20"/>
          <w:szCs w:val="20"/>
        </w:rPr>
        <w:t xml:space="preserve"> 1998 </w:t>
      </w:r>
      <w:proofErr w:type="spellStart"/>
      <w:r w:rsidRPr="00836177">
        <w:rPr>
          <w:rStyle w:val="FootnoteTextChar"/>
          <w:sz w:val="20"/>
          <w:szCs w:val="20"/>
        </w:rPr>
        <w:t>года</w:t>
      </w:r>
      <w:proofErr w:type="spellEnd"/>
      <w:r w:rsidRPr="00836177">
        <w:rPr>
          <w:rStyle w:val="FootnoteTextChar"/>
          <w:sz w:val="20"/>
          <w:szCs w:val="20"/>
        </w:rPr>
        <w:t xml:space="preserve">, </w:t>
      </w:r>
      <w:proofErr w:type="spellStart"/>
      <w:r w:rsidRPr="00836177">
        <w:rPr>
          <w:rStyle w:val="FootnoteTextChar"/>
          <w:sz w:val="20"/>
          <w:szCs w:val="20"/>
        </w:rPr>
        <w:t>регулирующий</w:t>
      </w:r>
      <w:proofErr w:type="spellEnd"/>
      <w:r w:rsidRPr="00836177">
        <w:rPr>
          <w:rStyle w:val="FootnoteTextChar"/>
          <w:sz w:val="20"/>
          <w:szCs w:val="20"/>
        </w:rPr>
        <w:t xml:space="preserve"> </w:t>
      </w:r>
      <w:proofErr w:type="spellStart"/>
      <w:r w:rsidRPr="00836177">
        <w:rPr>
          <w:rStyle w:val="FootnoteTextChar"/>
          <w:sz w:val="20"/>
          <w:szCs w:val="20"/>
        </w:rPr>
        <w:t>электросвязь</w:t>
      </w:r>
      <w:proofErr w:type="spellEnd"/>
      <w:r w:rsidRPr="00836177">
        <w:rPr>
          <w:rStyle w:val="FootnoteTextChar"/>
          <w:sz w:val="20"/>
          <w:szCs w:val="20"/>
        </w:rPr>
        <w:t xml:space="preserve"> в </w:t>
      </w:r>
      <w:proofErr w:type="spellStart"/>
      <w:r w:rsidRPr="00836177">
        <w:rPr>
          <w:rStyle w:val="FootnoteTextChar"/>
          <w:sz w:val="20"/>
          <w:szCs w:val="20"/>
        </w:rPr>
        <w:t>Камеруне</w:t>
      </w:r>
      <w:proofErr w:type="spellEnd"/>
      <w:r w:rsidRPr="00836177">
        <w:rPr>
          <w:rStyle w:val="FootnoteTextChar"/>
          <w:sz w:val="20"/>
          <w:szCs w:val="20"/>
        </w:rPr>
        <w:t>.</w:t>
      </w:r>
    </w:p>
  </w:footnote>
  <w:footnote w:id="32">
    <w:p w:rsidR="00CF5441" w:rsidRPr="00836177" w:rsidRDefault="00CF5441" w:rsidP="00836177">
      <w:pPr>
        <w:pStyle w:val="CEONormal"/>
        <w:tabs>
          <w:tab w:val="left" w:pos="284"/>
        </w:tabs>
        <w:spacing w:before="60"/>
        <w:ind w:left="284" w:hanging="284"/>
        <w:rPr>
          <w:rStyle w:val="FootnoteTextChar"/>
          <w:sz w:val="20"/>
          <w:szCs w:val="20"/>
        </w:rPr>
      </w:pPr>
      <w:r w:rsidRPr="00FA5CF9">
        <w:rPr>
          <w:rStyle w:val="FootnoteTextChar"/>
          <w:position w:val="6"/>
          <w:sz w:val="16"/>
          <w:szCs w:val="16"/>
        </w:rPr>
        <w:footnoteRef/>
      </w:r>
      <w:r w:rsidRPr="00980485">
        <w:rPr>
          <w:sz w:val="16"/>
          <w:szCs w:val="16"/>
          <w:vertAlign w:val="superscript"/>
          <w:lang w:val="ru-RU"/>
        </w:rPr>
        <w:tab/>
      </w:r>
      <w:proofErr w:type="spellStart"/>
      <w:proofErr w:type="gramStart"/>
      <w:r w:rsidRPr="00836177">
        <w:rPr>
          <w:rStyle w:val="FootnoteTextChar"/>
          <w:sz w:val="20"/>
          <w:szCs w:val="20"/>
        </w:rPr>
        <w:t>Документ</w:t>
      </w:r>
      <w:proofErr w:type="spellEnd"/>
      <w:r w:rsidRPr="00836177">
        <w:rPr>
          <w:rStyle w:val="FootnoteTextChar"/>
          <w:sz w:val="20"/>
          <w:szCs w:val="20"/>
        </w:rPr>
        <w:t xml:space="preserve"> 1/036(</w:t>
      </w:r>
      <w:proofErr w:type="spellStart"/>
      <w:r w:rsidRPr="00836177">
        <w:rPr>
          <w:rStyle w:val="FootnoteTextChar"/>
          <w:sz w:val="20"/>
          <w:szCs w:val="20"/>
        </w:rPr>
        <w:t>Rev.1</w:t>
      </w:r>
      <w:proofErr w:type="spellEnd"/>
      <w:r w:rsidRPr="00836177">
        <w:rPr>
          <w:rStyle w:val="FootnoteTextChar"/>
          <w:sz w:val="20"/>
          <w:szCs w:val="20"/>
        </w:rPr>
        <w:t xml:space="preserve">), 29 </w:t>
      </w:r>
      <w:proofErr w:type="spellStart"/>
      <w:r w:rsidRPr="00836177">
        <w:rPr>
          <w:rStyle w:val="FootnoteTextChar"/>
          <w:sz w:val="20"/>
          <w:szCs w:val="20"/>
        </w:rPr>
        <w:t>августа</w:t>
      </w:r>
      <w:proofErr w:type="spellEnd"/>
      <w:r w:rsidRPr="00836177">
        <w:rPr>
          <w:rStyle w:val="FootnoteTextChar"/>
          <w:sz w:val="20"/>
          <w:szCs w:val="20"/>
        </w:rPr>
        <w:t xml:space="preserve"> 2006 </w:t>
      </w:r>
      <w:proofErr w:type="spellStart"/>
      <w:r w:rsidRPr="00836177">
        <w:rPr>
          <w:rStyle w:val="FootnoteTextChar"/>
          <w:sz w:val="20"/>
          <w:szCs w:val="20"/>
        </w:rPr>
        <w:t>года</w:t>
      </w:r>
      <w:proofErr w:type="spellEnd"/>
      <w:r w:rsidRPr="00836177">
        <w:rPr>
          <w:rStyle w:val="FootnoteTextChar"/>
          <w:sz w:val="20"/>
          <w:szCs w:val="20"/>
        </w:rPr>
        <w:t>.</w:t>
      </w:r>
      <w:proofErr w:type="gramEnd"/>
    </w:p>
  </w:footnote>
  <w:footnote w:id="33">
    <w:p w:rsidR="00CF5441" w:rsidRPr="00836177" w:rsidRDefault="00CF5441" w:rsidP="00836177">
      <w:pPr>
        <w:pStyle w:val="CEONormal"/>
        <w:tabs>
          <w:tab w:val="left" w:pos="284"/>
        </w:tabs>
        <w:spacing w:before="60"/>
        <w:ind w:left="284" w:hanging="284"/>
        <w:rPr>
          <w:rStyle w:val="FootnoteTextChar"/>
          <w:sz w:val="20"/>
          <w:szCs w:val="20"/>
        </w:rPr>
      </w:pPr>
      <w:r w:rsidRPr="00FA5CF9">
        <w:rPr>
          <w:rStyle w:val="FootnoteTextChar"/>
          <w:position w:val="6"/>
          <w:sz w:val="16"/>
          <w:szCs w:val="16"/>
        </w:rPr>
        <w:footnoteRef/>
      </w:r>
      <w:r>
        <w:rPr>
          <w:sz w:val="16"/>
          <w:szCs w:val="16"/>
          <w:lang w:val="ru-RU"/>
        </w:rPr>
        <w:tab/>
      </w:r>
      <w:proofErr w:type="spellStart"/>
      <w:proofErr w:type="gramStart"/>
      <w:r w:rsidRPr="00836177">
        <w:rPr>
          <w:rStyle w:val="FootnoteTextChar"/>
          <w:sz w:val="20"/>
          <w:szCs w:val="20"/>
        </w:rPr>
        <w:t>Документ</w:t>
      </w:r>
      <w:proofErr w:type="spellEnd"/>
      <w:r w:rsidRPr="00836177">
        <w:rPr>
          <w:rStyle w:val="FootnoteTextChar"/>
          <w:sz w:val="20"/>
          <w:szCs w:val="20"/>
        </w:rPr>
        <w:t xml:space="preserve"> 1/014, 5 </w:t>
      </w:r>
      <w:proofErr w:type="spellStart"/>
      <w:r w:rsidRPr="00836177">
        <w:rPr>
          <w:rStyle w:val="FootnoteTextChar"/>
          <w:sz w:val="20"/>
          <w:szCs w:val="20"/>
        </w:rPr>
        <w:t>июля</w:t>
      </w:r>
      <w:proofErr w:type="spellEnd"/>
      <w:r w:rsidRPr="00836177">
        <w:rPr>
          <w:rStyle w:val="FootnoteTextChar"/>
          <w:sz w:val="20"/>
          <w:szCs w:val="20"/>
        </w:rPr>
        <w:t xml:space="preserve"> 2006 </w:t>
      </w:r>
      <w:proofErr w:type="spellStart"/>
      <w:r w:rsidRPr="00836177">
        <w:rPr>
          <w:rStyle w:val="FootnoteTextChar"/>
          <w:sz w:val="20"/>
          <w:szCs w:val="20"/>
        </w:rPr>
        <w:t>года</w:t>
      </w:r>
      <w:proofErr w:type="spellEnd"/>
      <w:r w:rsidRPr="00836177">
        <w:rPr>
          <w:rStyle w:val="FootnoteTextChar"/>
          <w:sz w:val="20"/>
          <w:szCs w:val="2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02731C" w:rsidRDefault="00CF5441" w:rsidP="0002731C">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r>
    <w:r w:rsidRPr="0002731C">
      <w:rPr>
        <w:rStyle w:val="PageNumber"/>
        <w:lang w:val="ru-RU"/>
      </w:rPr>
      <w:t>Вопрос</w:t>
    </w:r>
    <w:r w:rsidRPr="0002731C">
      <w:rPr>
        <w:szCs w:val="22"/>
        <w:lang w:val="fr-CH"/>
      </w:rPr>
      <w:t xml:space="preserve"> </w:t>
    </w:r>
    <w:r w:rsidRPr="0002731C">
      <w:rPr>
        <w:szCs w:val="22"/>
        <w:lang w:val="ru-RU"/>
      </w:rPr>
      <w:t>18-1</w:t>
    </w:r>
    <w:r w:rsidRPr="0002731C">
      <w:rPr>
        <w:szCs w:val="22"/>
        <w:lang w:val="fr-CH"/>
      </w:rPr>
      <w:t>/</w:t>
    </w:r>
    <w:r w:rsidRPr="0002731C">
      <w:rPr>
        <w:szCs w:val="22"/>
        <w:lang w:val="ru-RU"/>
      </w:rPr>
      <w:t>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F10CFB">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531E61">
      <w:rPr>
        <w:rStyle w:val="PageNumber"/>
        <w:noProof/>
      </w:rPr>
      <w:t>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B04C99" w:rsidRDefault="00CF5441"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CF5441" w:rsidRPr="0062594A" w:rsidRDefault="00CF5441"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E87C8C" w:rsidRDefault="00CF5441"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93317B" w:rsidRDefault="00CF5441"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D400DF">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18-1</w:t>
    </w:r>
    <w:r w:rsidRPr="00DB09F2">
      <w:rPr>
        <w:bCs/>
        <w:szCs w:val="22"/>
        <w:lang w:val="fr-CH"/>
      </w:rPr>
      <w:t>/</w:t>
    </w:r>
    <w:r>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F10CFB">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531E61">
      <w:rPr>
        <w:rStyle w:val="PageNumber"/>
        <w:noProof/>
      </w:rPr>
      <w:t>iii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6D3536" w:rsidRDefault="00CF5441" w:rsidP="00F10CFB">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531E61">
      <w:rPr>
        <w:rStyle w:val="PageNumber"/>
        <w:noProof/>
      </w:rPr>
      <w:t>iv</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Default="00CF5441" w:rsidP="00F10CFB">
    <w:pPr>
      <w:pStyle w:val="Header"/>
      <w:tabs>
        <w:tab w:val="left" w:pos="1122"/>
      </w:tabs>
      <w:jc w:val="left"/>
      <w:rPr>
        <w:lang w:val="fr-CH"/>
      </w:rPr>
    </w:pP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531E61">
      <w:rPr>
        <w:rStyle w:val="PageNumber"/>
        <w:noProof/>
      </w:rPr>
      <w:t>v</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41" w:rsidRPr="00D01A01" w:rsidRDefault="00CF5441" w:rsidP="00F10CFB">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531E61">
      <w:rPr>
        <w:rStyle w:val="PageNumber"/>
        <w:noProof/>
      </w:rPr>
      <w:t>18</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1554C"/>
    <w:multiLevelType w:val="hybridMultilevel"/>
    <w:tmpl w:val="F62469F4"/>
    <w:lvl w:ilvl="0" w:tplc="287A33FE">
      <w:start w:val="1"/>
      <w:numFmt w:val="bullet"/>
      <w:pStyle w:val="CEOSTG"/>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5B505F91"/>
    <w:multiLevelType w:val="hybridMultilevel"/>
    <w:tmpl w:val="4EEC26AE"/>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DFD1655"/>
    <w:multiLevelType w:val="hybridMultilevel"/>
    <w:tmpl w:val="D03057F4"/>
    <w:lvl w:ilvl="0" w:tplc="72D4B984">
      <w:start w:val="1"/>
      <w:numFmt w:val="bullet"/>
      <w:lvlText w:val=""/>
      <w:lvlJc w:val="left"/>
      <w:pPr>
        <w:tabs>
          <w:tab w:val="num" w:pos="720"/>
        </w:tabs>
        <w:ind w:left="720" w:hanging="360"/>
      </w:pPr>
      <w:rPr>
        <w:rFonts w:ascii="Symbol" w:hAnsi="Symbol" w:hint="default"/>
      </w:rPr>
    </w:lvl>
    <w:lvl w:ilvl="1" w:tplc="E258DE4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18"/>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2"/>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15"/>
  </w:num>
  <w:num w:numId="24">
    <w:abstractNumId w:val="24"/>
  </w:num>
  <w:num w:numId="25">
    <w:abstractNumId w:val="12"/>
  </w:num>
  <w:num w:numId="2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proofState w:spelling="clean"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641B"/>
    <w:rsid w:val="0002731C"/>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16BD"/>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146"/>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30357"/>
    <w:rsid w:val="00531E61"/>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53B"/>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E0CF1"/>
    <w:rsid w:val="006E244C"/>
    <w:rsid w:val="006E55FD"/>
    <w:rsid w:val="006E5CF2"/>
    <w:rsid w:val="006E713D"/>
    <w:rsid w:val="006F01A1"/>
    <w:rsid w:val="006F0B3D"/>
    <w:rsid w:val="006F2B58"/>
    <w:rsid w:val="006F3DCF"/>
    <w:rsid w:val="006F46EE"/>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0A21"/>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7F7E15"/>
    <w:rsid w:val="008033A9"/>
    <w:rsid w:val="00805BBB"/>
    <w:rsid w:val="0080634C"/>
    <w:rsid w:val="00811065"/>
    <w:rsid w:val="008129C6"/>
    <w:rsid w:val="008154A5"/>
    <w:rsid w:val="00821B86"/>
    <w:rsid w:val="0082206D"/>
    <w:rsid w:val="00822963"/>
    <w:rsid w:val="00822ACE"/>
    <w:rsid w:val="00822D58"/>
    <w:rsid w:val="00822F0A"/>
    <w:rsid w:val="00830310"/>
    <w:rsid w:val="008310B3"/>
    <w:rsid w:val="00833443"/>
    <w:rsid w:val="008346BA"/>
    <w:rsid w:val="00834AC8"/>
    <w:rsid w:val="00835EAD"/>
    <w:rsid w:val="00836177"/>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27B3"/>
    <w:rsid w:val="009C5764"/>
    <w:rsid w:val="009C61C4"/>
    <w:rsid w:val="009D09D6"/>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499D"/>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59CF"/>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9FC"/>
    <w:rsid w:val="00B25DE6"/>
    <w:rsid w:val="00B27BCC"/>
    <w:rsid w:val="00B31680"/>
    <w:rsid w:val="00B31B23"/>
    <w:rsid w:val="00B32A4C"/>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18B1"/>
    <w:rsid w:val="00CD2BA9"/>
    <w:rsid w:val="00CD30E0"/>
    <w:rsid w:val="00CD4694"/>
    <w:rsid w:val="00CD5BBC"/>
    <w:rsid w:val="00CE11A4"/>
    <w:rsid w:val="00CE1F20"/>
    <w:rsid w:val="00CE57F6"/>
    <w:rsid w:val="00CE72B1"/>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6597"/>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3699"/>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7798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E5C"/>
    <w:rsid w:val="00FB18DD"/>
    <w:rsid w:val="00FB38A9"/>
    <w:rsid w:val="00FB582D"/>
    <w:rsid w:val="00FB5F1E"/>
    <w:rsid w:val="00FC29B6"/>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BE346F"/>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2455FC"/>
    <w:pPr>
      <w:spacing w:before="120"/>
    </w:pPr>
    <w:rPr>
      <w:rFonts w:ascii="Verdana" w:eastAsia="SimSun" w:hAnsi="Verdana"/>
      <w:sz w:val="19"/>
      <w:szCs w:val="19"/>
      <w:lang w:val="en-GB" w:eastAsia="en-US"/>
    </w:rPr>
  </w:style>
  <w:style w:type="paragraph" w:customStyle="1" w:styleId="CEOIndent-bulletsblackdot">
    <w:name w:val="CEO_Indent-bulletsblackdot"/>
    <w:basedOn w:val="Normal"/>
    <w:rsid w:val="002455FC"/>
    <w:pPr>
      <w:numPr>
        <w:numId w:val="1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contribution-H123">
    <w:name w:val="CEO_contribution-H123"/>
    <w:basedOn w:val="Normal"/>
    <w:rsid w:val="002455FC"/>
    <w:pPr>
      <w:numPr>
        <w:numId w:val="19"/>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FooterContact2-3">
    <w:name w:val="CEO_FooterContact2-3"/>
    <w:basedOn w:val="CEONormal"/>
    <w:rsid w:val="005F6887"/>
    <w:pPr>
      <w:spacing w:before="0"/>
      <w:ind w:left="3827" w:hanging="2268"/>
    </w:pPr>
    <w:rPr>
      <w:sz w:val="16"/>
      <w:szCs w:val="16"/>
    </w:rPr>
  </w:style>
  <w:style w:type="paragraph" w:styleId="EnvelopeAddress">
    <w:name w:val="envelope address"/>
    <w:basedOn w:val="CEONormal"/>
    <w:next w:val="CEONormal"/>
    <w:rsid w:val="008D2484"/>
    <w:pPr>
      <w:framePr w:w="7920" w:h="1980" w:hRule="exact" w:hSpace="180" w:wrap="auto" w:hAnchor="page" w:xAlign="center" w:yAlign="bottom"/>
      <w:spacing w:after="120"/>
      <w:ind w:left="2880"/>
    </w:pPr>
    <w:rPr>
      <w:rFonts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character" w:customStyle="1" w:styleId="CEONormalChar">
    <w:name w:val="CEO_Normal Char"/>
    <w:basedOn w:val="DefaultParagraphFont"/>
    <w:link w:val="CEONormal"/>
    <w:rsid w:val="0002731C"/>
    <w:rPr>
      <w:rFonts w:ascii="Verdana" w:eastAsia="SimSun" w:hAnsi="Verdana"/>
      <w:sz w:val="19"/>
      <w:szCs w:val="19"/>
      <w:lang w:val="en-GB" w:eastAsia="en-US"/>
    </w:rPr>
  </w:style>
  <w:style w:type="paragraph" w:customStyle="1" w:styleId="CEOQuestionDetails">
    <w:name w:val="CEO_QuestionDetails"/>
    <w:basedOn w:val="CEOOriginalLanguage"/>
    <w:rsid w:val="0002731C"/>
    <w:rPr>
      <w:b w:val="0"/>
      <w:bCs w:val="0"/>
      <w:sz w:val="19"/>
      <w:szCs w:val="19"/>
    </w:rPr>
  </w:style>
  <w:style w:type="paragraph" w:customStyle="1" w:styleId="CEOOriginalLanguage">
    <w:name w:val="CEO_OriginalLanguage"/>
    <w:basedOn w:val="CEONormal"/>
    <w:next w:val="CEONormal"/>
    <w:rsid w:val="0002731C"/>
    <w:pPr>
      <w:spacing w:before="0"/>
    </w:pPr>
    <w:rPr>
      <w:b/>
      <w:bCs/>
      <w:sz w:val="20"/>
      <w:szCs w:val="20"/>
      <w:lang w:val="ru-RU"/>
    </w:rPr>
  </w:style>
  <w:style w:type="paragraph" w:customStyle="1" w:styleId="CEOSectorName">
    <w:name w:val="CEO_SectorName"/>
    <w:basedOn w:val="CEONormal"/>
    <w:rsid w:val="0002731C"/>
    <w:rPr>
      <w:b/>
      <w:bCs/>
      <w:sz w:val="26"/>
      <w:szCs w:val="28"/>
      <w:lang w:val="ru-RU"/>
    </w:rPr>
  </w:style>
  <w:style w:type="paragraph" w:customStyle="1" w:styleId="CEOMeetingDates">
    <w:name w:val="CEO_MeetingDates"/>
    <w:basedOn w:val="Normal"/>
    <w:rsid w:val="0002731C"/>
    <w:pPr>
      <w:tabs>
        <w:tab w:val="clear" w:pos="794"/>
        <w:tab w:val="clear" w:pos="1191"/>
        <w:tab w:val="clear" w:pos="1588"/>
        <w:tab w:val="clear" w:pos="1985"/>
      </w:tabs>
      <w:overflowPunct/>
      <w:autoSpaceDE/>
      <w:autoSpaceDN/>
      <w:adjustRightInd/>
      <w:spacing w:before="0" w:after="40"/>
      <w:jc w:val="left"/>
      <w:textAlignment w:val="auto"/>
    </w:pPr>
    <w:rPr>
      <w:rFonts w:ascii="Verdana" w:eastAsia="SimSun" w:hAnsi="Verdana"/>
      <w:b/>
      <w:bCs/>
      <w:sz w:val="20"/>
      <w:lang w:val="ru-RU"/>
    </w:rPr>
  </w:style>
  <w:style w:type="paragraph" w:customStyle="1" w:styleId="CEOMeetingName">
    <w:name w:val="CEO_MeetingName"/>
    <w:basedOn w:val="CEONormal"/>
    <w:next w:val="CEONormal"/>
    <w:link w:val="CEOMeetingNameChar"/>
    <w:rsid w:val="0002731C"/>
    <w:rPr>
      <w:b/>
      <w:bCs/>
      <w:sz w:val="20"/>
      <w:szCs w:val="20"/>
      <w:lang w:val="ru-RU"/>
    </w:rPr>
  </w:style>
  <w:style w:type="character" w:customStyle="1" w:styleId="CEOMeetingNameChar">
    <w:name w:val="CEO_MeetingName Char"/>
    <w:basedOn w:val="CEONormalChar"/>
    <w:link w:val="CEOMeetingName"/>
    <w:rsid w:val="0002731C"/>
    <w:rPr>
      <w:b/>
      <w:bCs/>
      <w:lang w:val="ru-RU"/>
    </w:rPr>
  </w:style>
  <w:style w:type="paragraph" w:customStyle="1" w:styleId="CEODocNo">
    <w:name w:val="CEO_DocNo"/>
    <w:basedOn w:val="CEONormal"/>
    <w:next w:val="CEONormal"/>
    <w:rsid w:val="0002731C"/>
    <w:pPr>
      <w:spacing w:before="0"/>
    </w:pPr>
    <w:rPr>
      <w:b/>
      <w:bCs/>
      <w:sz w:val="20"/>
      <w:szCs w:val="20"/>
      <w:lang w:val="ru-RU"/>
    </w:rPr>
  </w:style>
  <w:style w:type="paragraph" w:customStyle="1" w:styleId="CEODocDates">
    <w:name w:val="CEO_DocDates"/>
    <w:basedOn w:val="CEONormal"/>
    <w:next w:val="CEONormal"/>
    <w:rsid w:val="0002731C"/>
    <w:pPr>
      <w:spacing w:before="0"/>
    </w:pPr>
    <w:rPr>
      <w:b/>
      <w:bCs/>
      <w:sz w:val="20"/>
      <w:szCs w:val="20"/>
      <w:lang w:val="ru-RU"/>
    </w:rPr>
  </w:style>
  <w:style w:type="paragraph" w:customStyle="1" w:styleId="CEOSourceTitle">
    <w:name w:val="CEO_Source_Title"/>
    <w:basedOn w:val="CEONormal"/>
    <w:rsid w:val="0002731C"/>
    <w:rPr>
      <w:b/>
      <w:bCs/>
      <w:sz w:val="20"/>
      <w:szCs w:val="20"/>
      <w:lang w:val="ru-RU"/>
    </w:rPr>
  </w:style>
  <w:style w:type="paragraph" w:customStyle="1" w:styleId="CEONormalCells">
    <w:name w:val="CEO_NormalCells"/>
    <w:basedOn w:val="CEONormal"/>
    <w:rsid w:val="0002731C"/>
    <w:pPr>
      <w:spacing w:before="0"/>
    </w:pPr>
    <w:rPr>
      <w:sz w:val="18"/>
      <w:szCs w:val="20"/>
      <w:lang w:val="ru-RU"/>
    </w:rPr>
  </w:style>
  <w:style w:type="paragraph" w:customStyle="1" w:styleId="CEOQuestion">
    <w:name w:val="CEO_Question"/>
    <w:basedOn w:val="CEOOriginalLanguage"/>
    <w:rsid w:val="0002731C"/>
    <w:rPr>
      <w:lang w:val="fr-CH"/>
    </w:rPr>
  </w:style>
  <w:style w:type="paragraph" w:customStyle="1" w:styleId="CEOSourceTitleDetails">
    <w:name w:val="CEO_SourceTitleDetails"/>
    <w:basedOn w:val="CEONormal"/>
    <w:rsid w:val="0002731C"/>
    <w:rPr>
      <w:lang w:val="ru-RU"/>
    </w:rPr>
  </w:style>
  <w:style w:type="paragraph" w:customStyle="1" w:styleId="CEOForAction">
    <w:name w:val="CEO_ForAction"/>
    <w:basedOn w:val="CEONormal"/>
    <w:next w:val="CEOSourceTitle"/>
    <w:rsid w:val="0002731C"/>
    <w:pPr>
      <w:ind w:left="1593"/>
    </w:pPr>
    <w:rPr>
      <w:b/>
      <w:bCs/>
      <w:iCs/>
      <w:lang w:val="ru-RU"/>
    </w:rPr>
  </w:style>
  <w:style w:type="paragraph" w:customStyle="1" w:styleId="CEOcontributionStart">
    <w:name w:val="CEO_contributionStart"/>
    <w:basedOn w:val="Normal"/>
    <w:rsid w:val="0002731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FooterContact1">
    <w:name w:val="CEO_FooterContact1"/>
    <w:basedOn w:val="CEONormal"/>
    <w:next w:val="CEOFooterContact2-3"/>
    <w:rsid w:val="0002731C"/>
    <w:pPr>
      <w:pBdr>
        <w:top w:val="single" w:sz="4" w:space="5" w:color="auto"/>
      </w:pBdr>
      <w:tabs>
        <w:tab w:val="left" w:pos="1560"/>
      </w:tabs>
      <w:ind w:left="3827" w:hanging="3827"/>
    </w:pPr>
    <w:rPr>
      <w:sz w:val="16"/>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02731C"/>
    <w:p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Footer">
    <w:name w:val="CEO_Footer"/>
    <w:basedOn w:val="Normal"/>
    <w:rsid w:val="0002731C"/>
    <w:pPr>
      <w:tabs>
        <w:tab w:val="clear" w:pos="794"/>
        <w:tab w:val="clear" w:pos="1191"/>
        <w:tab w:val="clear" w:pos="1588"/>
        <w:tab w:val="clear" w:pos="1985"/>
        <w:tab w:val="num" w:pos="115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indent-abc">
    <w:name w:val="CEO_indent-abc"/>
    <w:basedOn w:val="Normal"/>
    <w:rsid w:val="0002731C"/>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contribution-H2">
    <w:name w:val="CEO_contribution-H2"/>
    <w:basedOn w:val="Normal"/>
    <w:rsid w:val="0002731C"/>
    <w:pPr>
      <w:keepNext/>
      <w:keepLines/>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STG">
    <w:name w:val="CEO_STG"/>
    <w:basedOn w:val="CEOOriginalLanguage"/>
    <w:rsid w:val="0002731C"/>
    <w:pPr>
      <w:numPr>
        <w:numId w:val="26"/>
      </w:numPr>
      <w:tabs>
        <w:tab w:val="clear" w:pos="1134"/>
      </w:tabs>
      <w:spacing w:before="120" w:after="120"/>
      <w:ind w:left="0" w:firstLine="0"/>
      <w:jc w:val="center"/>
    </w:pPr>
    <w:rPr>
      <w:rFonts w:eastAsia="SimHei" w:cs="Simplified Arabic"/>
      <w:bCs w:val="0"/>
      <w:sz w:val="19"/>
      <w:szCs w:val="19"/>
      <w:lang w:val="en-GB"/>
    </w:rPr>
  </w:style>
  <w:style w:type="paragraph" w:customStyle="1" w:styleId="CEOindent-endash">
    <w:name w:val="CEO_indent-endash"/>
    <w:basedOn w:val="Normal"/>
    <w:rsid w:val="0002731C"/>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sz w:val="19"/>
      <w:szCs w:val="23"/>
    </w:rPr>
  </w:style>
  <w:style w:type="paragraph" w:customStyle="1" w:styleId="CEOcontributionH1">
    <w:name w:val="CEO_contributionH1"/>
    <w:basedOn w:val="Normal"/>
    <w:next w:val="CEONormal"/>
    <w:rsid w:val="0002731C"/>
    <w:pPr>
      <w:keepNext/>
      <w:keepLines/>
      <w:tabs>
        <w:tab w:val="clear" w:pos="794"/>
        <w:tab w:val="clear" w:pos="1191"/>
        <w:tab w:val="clear" w:pos="1588"/>
        <w:tab w:val="clear" w:pos="1985"/>
      </w:tabs>
      <w:overflowPunct/>
      <w:autoSpaceDE/>
      <w:autoSpaceDN/>
      <w:adjustRightInd/>
      <w:spacing w:before="480" w:after="120"/>
      <w:jc w:val="left"/>
      <w:textAlignment w:val="auto"/>
    </w:pPr>
    <w:rPr>
      <w:rFonts w:ascii="Verdana" w:eastAsia="SimHei" w:hAnsi="Verdana" w:cs="Simplified Arabic"/>
      <w:b/>
      <w:sz w:val="19"/>
      <w:szCs w:val="19"/>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character" w:customStyle="1" w:styleId="CEONormal0">
    <w:name w:val="CEO_Normal Знак"/>
    <w:basedOn w:val="DefaultParagraphFont"/>
    <w:rsid w:val="00522DF3"/>
    <w:rPr>
      <w:rFonts w:ascii="Verdana" w:eastAsia="SimSun" w:hAnsi="Verdana"/>
      <w:sz w:val="18"/>
      <w:szCs w:val="19"/>
      <w:lang w:eastAsia="en-US" w:bidi="ar-SA"/>
    </w:rPr>
  </w:style>
  <w:style w:type="paragraph" w:customStyle="1" w:styleId="CEONormal1">
    <w:name w:val="Стиль CEO_Normal + полужирный"/>
    <w:basedOn w:val="CEONormal"/>
    <w:link w:val="CEONormal2"/>
    <w:rsid w:val="00470146"/>
    <w:rPr>
      <w:b/>
      <w:bCs/>
      <w:sz w:val="18"/>
    </w:rPr>
  </w:style>
  <w:style w:type="character" w:customStyle="1" w:styleId="CEONormal2">
    <w:name w:val="Стиль CEO_Normal + полужирный Знак"/>
    <w:basedOn w:val="CEONormal0"/>
    <w:link w:val="CEONormal1"/>
    <w:rsid w:val="00470146"/>
    <w:rPr>
      <w:b/>
      <w:bCs/>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ncc.gov.ng/index4.htm" TargetMode="External"/><Relationship Id="rId3" Type="http://schemas.openxmlformats.org/officeDocument/2006/relationships/hyperlink" Target="http://www.ucc.co.ug/licensing/default.php" TargetMode="External"/><Relationship Id="rId7" Type="http://schemas.openxmlformats.org/officeDocument/2006/relationships/hyperlink" Target="http://www.trai.gov.in/trai/upload/Recommendations/13/recom13jan05.pdf" TargetMode="External"/><Relationship Id="rId2" Type="http://schemas.openxmlformats.org/officeDocument/2006/relationships/hyperlink" Target="http://www.mcmc.gov.my/mcmc/the_law/ViewAct.asp?cc=31478525&amp;lg=e&amp;arid=900722"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ConsultationPapers_content.asp" TargetMode="External"/><Relationship Id="rId5" Type="http://schemas.openxmlformats.org/officeDocument/2006/relationships/hyperlink" Target="http://www.trai.gov.in/WriteReadData/trai/upload/ConsultationPapers/163/%20cpaper27jan09no3.pdf" TargetMode="External"/><Relationship Id="rId4" Type="http://schemas.openxmlformats.org/officeDocument/2006/relationships/hyperlink" Target="http://ec.europa.eu/information_society/topics/telecoms/regulatory/new_rf/index_en.htm#reg" TargetMode="External"/><Relationship Id="rId9" Type="http://schemas.openxmlformats.org/officeDocument/2006/relationships/hyperlink" Target="http://www.ncc.gov.ng/RegulatorFramework/unifiedLicensingFramework.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150E-0D1F-458A-B4AB-773885B3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193</TotalTime>
  <Pages>24</Pages>
  <Words>8220</Words>
  <Characters>46856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54967</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10</cp:revision>
  <cp:lastPrinted>2010-05-10T14:56:00Z</cp:lastPrinted>
  <dcterms:created xsi:type="dcterms:W3CDTF">2010-05-26T13:06:00Z</dcterms:created>
  <dcterms:modified xsi:type="dcterms:W3CDTF">2010-05-27T09:09:00Z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