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226"/>
      </w:tblGrid>
      <w:tr w:rsidR="006F0E7F" w:rsidRPr="003B49B4" w14:paraId="01511CF2" w14:textId="77777777" w:rsidTr="00EC4230">
        <w:tc>
          <w:tcPr>
            <w:tcW w:w="6408" w:type="dxa"/>
          </w:tcPr>
          <w:p w14:paraId="5B7F7E5D" w14:textId="33F8CCD5" w:rsidR="006F0E7F" w:rsidRPr="003B49B4" w:rsidRDefault="006F0E7F" w:rsidP="00160AD2">
            <w:pPr>
              <w:widowControl w:val="0"/>
              <w:tabs>
                <w:tab w:val="left" w:pos="7200"/>
              </w:tabs>
              <w:rPr>
                <w:rFonts w:eastAsia="Arial Unicode MS"/>
                <w:b/>
                <w:kern w:val="2"/>
                <w:lang w:eastAsia="zh-CN"/>
              </w:rPr>
            </w:pPr>
            <w:r w:rsidRPr="003B49B4">
              <w:rPr>
                <w:rFonts w:eastAsia="Arial Unicode MS"/>
                <w:b/>
                <w:kern w:val="2"/>
                <w:highlight w:val="yellow"/>
                <w:lang w:eastAsia="zh-CN"/>
              </w:rPr>
              <w:fldChar w:fldCharType="begin"/>
            </w:r>
            <w:r w:rsidRPr="003B49B4">
              <w:rPr>
                <w:rFonts w:eastAsia="Arial Unicode MS"/>
                <w:b/>
                <w:kern w:val="2"/>
                <w:highlight w:val="yellow"/>
                <w:lang w:eastAsia="zh-CN"/>
              </w:rPr>
              <w:instrText xml:space="preserve"> MACROBUTTON MTEditEquationSection2 </w:instrText>
            </w:r>
            <w:r w:rsidRPr="003B49B4">
              <w:rPr>
                <w:rFonts w:eastAsia="Arial Unicode MS"/>
                <w:b/>
                <w:vanish/>
                <w:color w:val="FF0000"/>
                <w:kern w:val="2"/>
                <w:highlight w:val="yellow"/>
                <w:lang w:eastAsia="zh-CN"/>
              </w:rPr>
              <w:instrText>Equation Chapter 1 Section 1</w:instrText>
            </w:r>
            <w:r w:rsidRPr="003B49B4">
              <w:rPr>
                <w:rFonts w:eastAsia="Arial Unicode MS"/>
                <w:b/>
                <w:kern w:val="2"/>
                <w:highlight w:val="yellow"/>
                <w:lang w:eastAsia="zh-CN"/>
              </w:rPr>
              <w:fldChar w:fldCharType="begin"/>
            </w:r>
            <w:r w:rsidRPr="003B49B4">
              <w:rPr>
                <w:rFonts w:eastAsia="Arial Unicode MS"/>
                <w:b/>
                <w:kern w:val="2"/>
                <w:highlight w:val="yellow"/>
                <w:lang w:eastAsia="zh-CN"/>
              </w:rPr>
              <w:instrText xml:space="preserve"> SEQ MTEqn \r \h \* MERGEFORMAT </w:instrText>
            </w:r>
            <w:r w:rsidRPr="003B49B4">
              <w:rPr>
                <w:rFonts w:eastAsia="Arial Unicode MS"/>
                <w:b/>
                <w:kern w:val="2"/>
                <w:highlight w:val="yellow"/>
                <w:lang w:eastAsia="zh-CN"/>
              </w:rPr>
              <w:fldChar w:fldCharType="end"/>
            </w:r>
            <w:r w:rsidRPr="003B49B4">
              <w:rPr>
                <w:rFonts w:eastAsia="Arial Unicode MS"/>
                <w:b/>
                <w:kern w:val="2"/>
                <w:highlight w:val="yellow"/>
                <w:lang w:eastAsia="zh-CN"/>
              </w:rPr>
              <w:fldChar w:fldCharType="begin"/>
            </w:r>
            <w:r w:rsidRPr="003B49B4">
              <w:rPr>
                <w:rFonts w:eastAsia="Arial Unicode MS"/>
                <w:b/>
                <w:kern w:val="2"/>
                <w:highlight w:val="yellow"/>
                <w:lang w:eastAsia="zh-CN"/>
              </w:rPr>
              <w:instrText xml:space="preserve"> SEQ MTSec \r 1 \h \* MERGEFORMAT </w:instrText>
            </w:r>
            <w:r w:rsidRPr="003B49B4">
              <w:rPr>
                <w:rFonts w:eastAsia="Arial Unicode MS"/>
                <w:b/>
                <w:kern w:val="2"/>
                <w:highlight w:val="yellow"/>
                <w:lang w:eastAsia="zh-CN"/>
              </w:rPr>
              <w:fldChar w:fldCharType="end"/>
            </w:r>
            <w:r w:rsidRPr="003B49B4">
              <w:rPr>
                <w:rFonts w:eastAsia="Arial Unicode MS"/>
                <w:b/>
                <w:kern w:val="2"/>
                <w:highlight w:val="yellow"/>
                <w:lang w:eastAsia="zh-CN"/>
              </w:rPr>
              <w:fldChar w:fldCharType="begin"/>
            </w:r>
            <w:r w:rsidRPr="003B49B4">
              <w:rPr>
                <w:rFonts w:eastAsia="Arial Unicode MS"/>
                <w:b/>
                <w:kern w:val="2"/>
                <w:highlight w:val="yellow"/>
                <w:lang w:eastAsia="zh-CN"/>
              </w:rPr>
              <w:instrText xml:space="preserve"> SEQ MTChap \r 1 \h \* MERGEFORMAT </w:instrText>
            </w:r>
            <w:r w:rsidRPr="003B49B4">
              <w:rPr>
                <w:rFonts w:eastAsia="Arial Unicode MS"/>
                <w:b/>
                <w:kern w:val="2"/>
                <w:highlight w:val="yellow"/>
                <w:lang w:eastAsia="zh-CN"/>
              </w:rPr>
              <w:fldChar w:fldCharType="end"/>
            </w:r>
            <w:r w:rsidRPr="003B49B4">
              <w:rPr>
                <w:rFonts w:eastAsia="Arial Unicode MS"/>
                <w:b/>
                <w:kern w:val="2"/>
                <w:highlight w:val="yellow"/>
                <w:lang w:eastAsia="zh-CN"/>
              </w:rPr>
              <w:fldChar w:fldCharType="end"/>
            </w:r>
            <w:r w:rsidRPr="003B49B4">
              <w:rPr>
                <w:rFonts w:eastAsia="Arial Unicode MS"/>
                <w:b/>
                <w:kern w:val="2"/>
                <w:lang w:eastAsia="zh-CN"/>
              </w:rPr>
              <w:t>ITU – Telecommunications Standardization Sector</w:t>
            </w:r>
          </w:p>
          <w:p w14:paraId="451F8E20" w14:textId="55BE6BB5" w:rsidR="006F0E7F" w:rsidRPr="003B49B4" w:rsidRDefault="006F0E7F" w:rsidP="00160AD2">
            <w:pPr>
              <w:widowControl w:val="0"/>
              <w:tabs>
                <w:tab w:val="left" w:pos="7200"/>
              </w:tabs>
              <w:rPr>
                <w:rFonts w:eastAsia="Arial Unicode MS"/>
                <w:kern w:val="2"/>
                <w:lang w:eastAsia="zh-CN"/>
              </w:rPr>
            </w:pPr>
            <w:r w:rsidRPr="003B49B4">
              <w:rPr>
                <w:rFonts w:eastAsia="Arial Unicode MS"/>
                <w:kern w:val="2"/>
                <w:lang w:eastAsia="zh-CN"/>
              </w:rPr>
              <w:t xml:space="preserve">STUDY GROUP 21 Question </w:t>
            </w:r>
            <w:r w:rsidR="00F056C0">
              <w:rPr>
                <w:rFonts w:eastAsia="Arial Unicode MS"/>
                <w:kern w:val="2"/>
                <w:lang w:eastAsia="zh-CN"/>
              </w:rPr>
              <w:t>6</w:t>
            </w:r>
          </w:p>
          <w:p w14:paraId="669C4162" w14:textId="77777777" w:rsidR="006F0E7F" w:rsidRPr="003B49B4" w:rsidRDefault="006F0E7F" w:rsidP="00160AD2">
            <w:pPr>
              <w:widowControl w:val="0"/>
              <w:pBdr>
                <w:bottom w:val="single" w:sz="6" w:space="1" w:color="auto"/>
              </w:pBdr>
              <w:tabs>
                <w:tab w:val="left" w:pos="7200"/>
              </w:tabs>
              <w:rPr>
                <w:rFonts w:eastAsia="Arial Unicode MS"/>
                <w:b/>
                <w:kern w:val="2"/>
                <w:sz w:val="22"/>
                <w:lang w:eastAsia="zh-CN"/>
              </w:rPr>
            </w:pPr>
            <w:r w:rsidRPr="003B49B4">
              <w:rPr>
                <w:rFonts w:eastAsia="Arial Unicode MS"/>
                <w:b/>
                <w:kern w:val="2"/>
                <w:sz w:val="22"/>
                <w:lang w:eastAsia="zh-CN"/>
              </w:rPr>
              <w:t>Video Coding Experts Group (VCEG)</w:t>
            </w:r>
          </w:p>
          <w:p w14:paraId="13852BB0" w14:textId="7D772420" w:rsidR="006F0E7F" w:rsidRPr="003B49B4" w:rsidRDefault="00351259" w:rsidP="006B4362">
            <w:pPr>
              <w:widowControl w:val="0"/>
              <w:tabs>
                <w:tab w:val="left" w:pos="7200"/>
              </w:tabs>
              <w:rPr>
                <w:rFonts w:eastAsia="Arial Unicode MS"/>
                <w:b/>
                <w:kern w:val="2"/>
                <w:highlight w:val="yellow"/>
                <w:lang w:eastAsia="zh-CN"/>
              </w:rPr>
            </w:pPr>
            <w:r w:rsidRPr="0092744C">
              <w:rPr>
                <w:rFonts w:eastAsia="Arial Unicode MS"/>
                <w:kern w:val="2"/>
                <w:sz w:val="22"/>
                <w:szCs w:val="22"/>
                <w:lang w:eastAsia="zh-CN"/>
              </w:rPr>
              <w:t>76</w:t>
            </w:r>
            <w:r w:rsidRPr="0092744C">
              <w:rPr>
                <w:rFonts w:eastAsia="Arial Unicode MS"/>
                <w:kern w:val="2"/>
                <w:sz w:val="22"/>
                <w:szCs w:val="22"/>
                <w:vertAlign w:val="superscript"/>
                <w:lang w:eastAsia="zh-CN"/>
              </w:rPr>
              <w:t>th</w:t>
            </w:r>
            <w:r w:rsidRPr="0092744C">
              <w:rPr>
                <w:rFonts w:eastAsia="Arial Unicode MS"/>
                <w:kern w:val="2"/>
                <w:sz w:val="22"/>
                <w:szCs w:val="22"/>
                <w:lang w:eastAsia="zh-CN"/>
              </w:rPr>
              <w:t xml:space="preserve"> Meeting: 2</w:t>
            </w:r>
            <w:r w:rsidR="00F056C0">
              <w:rPr>
                <w:rFonts w:eastAsia="Arial Unicode MS"/>
                <w:kern w:val="2"/>
                <w:sz w:val="22"/>
                <w:szCs w:val="22"/>
                <w:lang w:eastAsia="zh-CN"/>
              </w:rPr>
              <w:t>7</w:t>
            </w:r>
            <w:r w:rsidRPr="0092744C">
              <w:rPr>
                <w:rFonts w:eastAsia="Arial Unicode MS"/>
                <w:kern w:val="2"/>
                <w:sz w:val="22"/>
                <w:szCs w:val="22"/>
                <w:lang w:eastAsia="zh-CN"/>
              </w:rPr>
              <w:t xml:space="preserve"> March – 4 April 2025, by teleconference</w:t>
            </w:r>
          </w:p>
        </w:tc>
        <w:tc>
          <w:tcPr>
            <w:tcW w:w="3226" w:type="dxa"/>
          </w:tcPr>
          <w:p w14:paraId="76E9C5AB" w14:textId="2591EA07" w:rsidR="006F0E7F" w:rsidRPr="003B49B4" w:rsidRDefault="006F0E7F" w:rsidP="00351259">
            <w:pPr>
              <w:widowControl w:val="0"/>
              <w:tabs>
                <w:tab w:val="left" w:pos="7200"/>
              </w:tabs>
              <w:rPr>
                <w:rFonts w:eastAsia="Arial Unicode MS"/>
                <w:kern w:val="2"/>
                <w:lang w:eastAsia="ja-JP"/>
              </w:rPr>
            </w:pPr>
            <w:proofErr w:type="gramStart"/>
            <w:r w:rsidRPr="003B49B4">
              <w:rPr>
                <w:rFonts w:eastAsia="Arial Unicode MS"/>
                <w:kern w:val="2"/>
                <w:lang w:eastAsia="zh-CN"/>
              </w:rPr>
              <w:t>Document  VCEG</w:t>
            </w:r>
            <w:proofErr w:type="gramEnd"/>
            <w:r w:rsidRPr="003B49B4">
              <w:rPr>
                <w:rFonts w:eastAsia="Arial Unicode MS"/>
                <w:kern w:val="2"/>
                <w:lang w:eastAsia="zh-CN"/>
              </w:rPr>
              <w:t>-B</w:t>
            </w:r>
            <w:r w:rsidR="00351259">
              <w:rPr>
                <w:rFonts w:eastAsia="Arial Unicode MS"/>
                <w:kern w:val="2"/>
                <w:lang w:eastAsia="zh-CN"/>
              </w:rPr>
              <w:t>X</w:t>
            </w:r>
            <w:r w:rsidR="007C53E9">
              <w:rPr>
                <w:rFonts w:eastAsia="Arial Unicode MS"/>
                <w:kern w:val="2"/>
                <w:lang w:eastAsia="zh-CN"/>
              </w:rPr>
              <w:t>1</w:t>
            </w:r>
            <w:r w:rsidR="003866D3">
              <w:rPr>
                <w:rFonts w:eastAsia="Arial Unicode MS"/>
                <w:kern w:val="2"/>
                <w:lang w:eastAsia="zh-CN"/>
              </w:rPr>
              <w:t>5</w:t>
            </w:r>
            <w:r w:rsidR="006B4362" w:rsidRPr="003B49B4">
              <w:rPr>
                <w:rFonts w:eastAsia="Arial Unicode MS"/>
                <w:kern w:val="2"/>
                <w:lang w:eastAsia="zh-CN"/>
              </w:rPr>
              <w:t>-v1</w:t>
            </w:r>
          </w:p>
        </w:tc>
      </w:tr>
    </w:tbl>
    <w:p w14:paraId="1FD03214" w14:textId="77777777" w:rsidR="006F0E7F" w:rsidRPr="00666723" w:rsidRDefault="006F0E7F" w:rsidP="006F0E7F">
      <w:pPr>
        <w:jc w:val="center"/>
        <w:rPr>
          <w:b/>
          <w:kern w:val="2"/>
          <w:sz w:val="6"/>
          <w:szCs w:val="25"/>
        </w:rPr>
      </w:pPr>
    </w:p>
    <w:p w14:paraId="111DEBA8" w14:textId="77777777" w:rsidR="006F0E7F" w:rsidRPr="003B49B4" w:rsidRDefault="006F0E7F" w:rsidP="006F0E7F">
      <w:pPr>
        <w:spacing w:line="240" w:lineRule="exact"/>
        <w:rPr>
          <w:kern w:val="2"/>
        </w:rPr>
      </w:pPr>
    </w:p>
    <w:tbl>
      <w:tblPr>
        <w:tblW w:w="9747" w:type="dxa"/>
        <w:tblLayout w:type="fixed"/>
        <w:tblLook w:val="0000" w:firstRow="0" w:lastRow="0" w:firstColumn="0" w:lastColumn="0" w:noHBand="0" w:noVBand="0"/>
      </w:tblPr>
      <w:tblGrid>
        <w:gridCol w:w="1242"/>
        <w:gridCol w:w="4536"/>
        <w:gridCol w:w="900"/>
        <w:gridCol w:w="3069"/>
      </w:tblGrid>
      <w:tr w:rsidR="006F0E7F" w:rsidRPr="003B49B4" w14:paraId="085BD1D8" w14:textId="77777777" w:rsidTr="00160AD2">
        <w:tc>
          <w:tcPr>
            <w:tcW w:w="1242" w:type="dxa"/>
          </w:tcPr>
          <w:p w14:paraId="43E64876" w14:textId="77777777" w:rsidR="006F0E7F" w:rsidRPr="003B49B4" w:rsidRDefault="006F0E7F" w:rsidP="00160AD2">
            <w:pPr>
              <w:widowControl w:val="0"/>
              <w:tabs>
                <w:tab w:val="left" w:pos="1800"/>
                <w:tab w:val="right" w:pos="9360"/>
              </w:tabs>
              <w:spacing w:before="120"/>
              <w:rPr>
                <w:rFonts w:eastAsia="Arial Unicode MS"/>
                <w:kern w:val="2"/>
                <w:sz w:val="22"/>
                <w:szCs w:val="22"/>
                <w:lang w:eastAsia="zh-CN"/>
              </w:rPr>
            </w:pPr>
            <w:r w:rsidRPr="003B49B4">
              <w:rPr>
                <w:rFonts w:eastAsia="Arial Unicode MS"/>
                <w:kern w:val="2"/>
                <w:sz w:val="22"/>
                <w:szCs w:val="22"/>
                <w:lang w:eastAsia="zh-CN"/>
              </w:rPr>
              <w:t>Question:</w:t>
            </w:r>
          </w:p>
        </w:tc>
        <w:tc>
          <w:tcPr>
            <w:tcW w:w="8505" w:type="dxa"/>
            <w:gridSpan w:val="3"/>
          </w:tcPr>
          <w:p w14:paraId="7476B071" w14:textId="6E7D2BDF" w:rsidR="006F0E7F" w:rsidRPr="003B49B4" w:rsidRDefault="00F056C0" w:rsidP="00160AD2">
            <w:pPr>
              <w:widowControl w:val="0"/>
              <w:tabs>
                <w:tab w:val="left" w:pos="1800"/>
                <w:tab w:val="right" w:pos="9360"/>
              </w:tabs>
              <w:spacing w:before="120"/>
              <w:rPr>
                <w:rFonts w:eastAsia="Arial Unicode MS"/>
                <w:kern w:val="2"/>
                <w:sz w:val="22"/>
                <w:szCs w:val="22"/>
                <w:lang w:eastAsia="zh-CN"/>
              </w:rPr>
            </w:pPr>
            <w:r>
              <w:rPr>
                <w:rFonts w:eastAsia="Arial Unicode MS"/>
                <w:kern w:val="2"/>
                <w:sz w:val="22"/>
                <w:szCs w:val="22"/>
                <w:lang w:eastAsia="zh-CN"/>
              </w:rPr>
              <w:t>6/</w:t>
            </w:r>
            <w:r w:rsidR="006F0E7F" w:rsidRPr="003B49B4">
              <w:rPr>
                <w:rFonts w:eastAsia="Arial Unicode MS"/>
                <w:kern w:val="2"/>
                <w:sz w:val="22"/>
                <w:szCs w:val="22"/>
                <w:lang w:eastAsia="zh-CN"/>
              </w:rPr>
              <w:t xml:space="preserve">21 (VCEG) </w:t>
            </w:r>
          </w:p>
        </w:tc>
      </w:tr>
      <w:tr w:rsidR="006F0E7F" w:rsidRPr="003B49B4" w14:paraId="06CA394D" w14:textId="77777777" w:rsidTr="00401FFD">
        <w:tc>
          <w:tcPr>
            <w:tcW w:w="1242" w:type="dxa"/>
          </w:tcPr>
          <w:p w14:paraId="458E096F" w14:textId="77777777" w:rsidR="006F0E7F" w:rsidRPr="003B49B4" w:rsidRDefault="006F0E7F" w:rsidP="00160AD2">
            <w:pPr>
              <w:widowControl w:val="0"/>
              <w:tabs>
                <w:tab w:val="left" w:pos="1800"/>
                <w:tab w:val="right" w:pos="9360"/>
              </w:tabs>
              <w:spacing w:before="120"/>
              <w:jc w:val="left"/>
              <w:rPr>
                <w:rFonts w:eastAsia="Arial Unicode MS"/>
                <w:kern w:val="2"/>
                <w:sz w:val="22"/>
                <w:szCs w:val="22"/>
                <w:lang w:eastAsia="zh-CN"/>
              </w:rPr>
            </w:pPr>
            <w:r w:rsidRPr="003B49B4">
              <w:rPr>
                <w:rFonts w:eastAsia="Arial Unicode MS"/>
                <w:kern w:val="2"/>
                <w:sz w:val="22"/>
                <w:szCs w:val="22"/>
                <w:lang w:eastAsia="zh-CN"/>
              </w:rPr>
              <w:t>Source:</w:t>
            </w:r>
          </w:p>
        </w:tc>
        <w:tc>
          <w:tcPr>
            <w:tcW w:w="4536" w:type="dxa"/>
            <w:tcMar>
              <w:right w:w="28" w:type="dxa"/>
            </w:tcMar>
          </w:tcPr>
          <w:p w14:paraId="069A4B94" w14:textId="52595FC5" w:rsidR="006F0E7F" w:rsidRPr="00921C69" w:rsidRDefault="00921C69" w:rsidP="00921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
                <w:lang w:val="de-DE" w:eastAsia="ja-JP"/>
              </w:rPr>
            </w:pPr>
            <w:bookmarkStart w:id="0" w:name="_Hlk193735287"/>
            <w:r w:rsidRPr="00921C69">
              <w:rPr>
                <w:b/>
                <w:kern w:val="2"/>
                <w:sz w:val="23"/>
                <w:szCs w:val="23"/>
                <w:lang w:val="de-DE" w:eastAsia="ja-JP"/>
              </w:rPr>
              <w:t>Tung Nguyen,</w:t>
            </w:r>
            <w:r w:rsidR="006B4362" w:rsidRPr="00921C69">
              <w:rPr>
                <w:b/>
                <w:kern w:val="2"/>
                <w:sz w:val="23"/>
                <w:szCs w:val="23"/>
                <w:lang w:val="de-DE" w:eastAsia="ja-JP"/>
              </w:rPr>
              <w:t xml:space="preserve"> </w:t>
            </w:r>
            <w:r w:rsidR="005543D7" w:rsidRPr="00921C69">
              <w:rPr>
                <w:b/>
                <w:kern w:val="2"/>
                <w:sz w:val="23"/>
                <w:szCs w:val="23"/>
                <w:lang w:val="de-DE" w:eastAsia="ja-JP"/>
              </w:rPr>
              <w:t>Jonathan Pfaff</w:t>
            </w:r>
            <w:r w:rsidR="005543D7">
              <w:rPr>
                <w:b/>
                <w:kern w:val="2"/>
                <w:sz w:val="23"/>
                <w:szCs w:val="23"/>
                <w:lang w:val="de-DE" w:eastAsia="ja-JP"/>
              </w:rPr>
              <w:t xml:space="preserve">, </w:t>
            </w:r>
            <w:r w:rsidR="007B7B25" w:rsidRPr="00921C69">
              <w:rPr>
                <w:b/>
                <w:kern w:val="2"/>
                <w:sz w:val="23"/>
                <w:szCs w:val="23"/>
                <w:lang w:val="de-DE" w:eastAsia="ja-JP"/>
              </w:rPr>
              <w:t xml:space="preserve">Heiko Schwarz, </w:t>
            </w:r>
            <w:r w:rsidRPr="00921C69">
              <w:rPr>
                <w:b/>
                <w:kern w:val="2"/>
                <w:sz w:val="23"/>
                <w:szCs w:val="23"/>
                <w:lang w:val="de-DE" w:eastAsia="ja-JP"/>
              </w:rPr>
              <w:t>Detlev Marpe, Thomas Wiegand</w:t>
            </w:r>
            <w:r w:rsidR="006B4362" w:rsidRPr="00921C69">
              <w:rPr>
                <w:b/>
                <w:kern w:val="2"/>
                <w:sz w:val="23"/>
                <w:szCs w:val="23"/>
                <w:lang w:val="de-DE" w:eastAsia="ja-JP"/>
              </w:rPr>
              <w:t xml:space="preserve"> </w:t>
            </w:r>
            <w:r w:rsidR="006F0E7F" w:rsidRPr="00921C69">
              <w:rPr>
                <w:b/>
                <w:kern w:val="2"/>
                <w:sz w:val="23"/>
                <w:szCs w:val="23"/>
                <w:lang w:val="de-DE" w:eastAsia="ja-JP"/>
              </w:rPr>
              <w:t>(Fraunhofer HHI)</w:t>
            </w:r>
            <w:bookmarkEnd w:id="0"/>
          </w:p>
        </w:tc>
        <w:tc>
          <w:tcPr>
            <w:tcW w:w="900" w:type="dxa"/>
          </w:tcPr>
          <w:p w14:paraId="320D77CD" w14:textId="77777777" w:rsidR="006F0E7F" w:rsidRPr="003B49B4" w:rsidRDefault="006F0E7F" w:rsidP="00160AD2">
            <w:pPr>
              <w:widowControl w:val="0"/>
              <w:tabs>
                <w:tab w:val="left" w:pos="1800"/>
                <w:tab w:val="right" w:pos="9360"/>
              </w:tabs>
              <w:spacing w:before="120"/>
              <w:jc w:val="left"/>
              <w:rPr>
                <w:rFonts w:eastAsia="SimSun"/>
                <w:kern w:val="2"/>
                <w:sz w:val="22"/>
                <w:szCs w:val="22"/>
                <w:lang w:eastAsia="zh-CN"/>
              </w:rPr>
            </w:pPr>
            <w:r w:rsidRPr="003B49B4">
              <w:rPr>
                <w:rFonts w:eastAsia="SimSun"/>
                <w:kern w:val="2"/>
                <w:sz w:val="22"/>
                <w:szCs w:val="22"/>
                <w:lang w:eastAsia="zh-CN"/>
              </w:rPr>
              <w:t>Email:</w:t>
            </w:r>
          </w:p>
        </w:tc>
        <w:tc>
          <w:tcPr>
            <w:tcW w:w="3069" w:type="dxa"/>
          </w:tcPr>
          <w:p w14:paraId="2E762DDD" w14:textId="279E7C81" w:rsidR="006F0E7F" w:rsidRPr="003B49B4" w:rsidRDefault="005543D7" w:rsidP="00921C69">
            <w:pPr>
              <w:spacing w:before="120"/>
              <w:jc w:val="left"/>
              <w:rPr>
                <w:rFonts w:eastAsia="SimSun"/>
                <w:kern w:val="2"/>
                <w:sz w:val="22"/>
                <w:szCs w:val="22"/>
                <w:lang w:eastAsia="zh-CN"/>
              </w:rPr>
            </w:pPr>
            <w:hyperlink r:id="rId8" w:history="1">
              <w:r w:rsidRPr="00321C24">
                <w:rPr>
                  <w:rStyle w:val="Hyperlink"/>
                  <w:kern w:val="2"/>
                </w:rPr>
                <w:t>tung.nguyen@hhi.fraunhofer.de</w:t>
              </w:r>
            </w:hyperlink>
          </w:p>
        </w:tc>
      </w:tr>
      <w:tr w:rsidR="006F0E7F" w:rsidRPr="003B49B4" w14:paraId="4C1630BF" w14:textId="77777777" w:rsidTr="00160AD2">
        <w:tc>
          <w:tcPr>
            <w:tcW w:w="1242" w:type="dxa"/>
          </w:tcPr>
          <w:p w14:paraId="1704F36D" w14:textId="77777777" w:rsidR="006F0E7F" w:rsidRPr="003B49B4" w:rsidRDefault="006F0E7F" w:rsidP="00160AD2">
            <w:pPr>
              <w:widowControl w:val="0"/>
              <w:tabs>
                <w:tab w:val="left" w:pos="1800"/>
                <w:tab w:val="right" w:pos="9360"/>
              </w:tabs>
              <w:spacing w:before="120"/>
              <w:rPr>
                <w:rFonts w:eastAsia="Arial Unicode MS"/>
                <w:kern w:val="2"/>
                <w:sz w:val="22"/>
                <w:szCs w:val="22"/>
                <w:lang w:eastAsia="zh-CN"/>
              </w:rPr>
            </w:pPr>
            <w:r w:rsidRPr="003B49B4">
              <w:rPr>
                <w:rFonts w:eastAsia="Arial Unicode MS"/>
                <w:kern w:val="2"/>
                <w:sz w:val="22"/>
                <w:szCs w:val="22"/>
                <w:lang w:eastAsia="zh-CN"/>
              </w:rPr>
              <w:t>Title:</w:t>
            </w:r>
          </w:p>
        </w:tc>
        <w:tc>
          <w:tcPr>
            <w:tcW w:w="8505" w:type="dxa"/>
            <w:gridSpan w:val="3"/>
            <w:tcMar>
              <w:right w:w="57" w:type="dxa"/>
            </w:tcMar>
          </w:tcPr>
          <w:p w14:paraId="33FB55C5" w14:textId="640BB636" w:rsidR="006F0E7F" w:rsidRPr="003B49B4" w:rsidRDefault="008A2C6E" w:rsidP="006A26CF">
            <w:pPr>
              <w:widowControl w:val="0"/>
              <w:tabs>
                <w:tab w:val="left" w:pos="1800"/>
                <w:tab w:val="right" w:pos="9360"/>
              </w:tabs>
              <w:spacing w:before="120"/>
              <w:rPr>
                <w:rFonts w:eastAsia="SimSun"/>
                <w:b/>
                <w:kern w:val="2"/>
                <w:sz w:val="22"/>
                <w:szCs w:val="22"/>
                <w:lang w:eastAsia="zh-CN"/>
              </w:rPr>
            </w:pPr>
            <w:r>
              <w:rPr>
                <w:b/>
                <w:kern w:val="2"/>
              </w:rPr>
              <w:t>Entropy coding modifications for</w:t>
            </w:r>
            <w:r w:rsidR="00921C69">
              <w:rPr>
                <w:b/>
                <w:kern w:val="2"/>
              </w:rPr>
              <w:t xml:space="preserve"> H.BWC</w:t>
            </w:r>
          </w:p>
        </w:tc>
      </w:tr>
      <w:tr w:rsidR="006F0E7F" w:rsidRPr="003B49B4" w14:paraId="79584340" w14:textId="77777777" w:rsidTr="00160AD2">
        <w:tc>
          <w:tcPr>
            <w:tcW w:w="1242" w:type="dxa"/>
          </w:tcPr>
          <w:p w14:paraId="0A58E27C" w14:textId="77777777" w:rsidR="006F0E7F" w:rsidRPr="003B49B4" w:rsidRDefault="006F0E7F" w:rsidP="00160AD2">
            <w:pPr>
              <w:widowControl w:val="0"/>
              <w:tabs>
                <w:tab w:val="left" w:pos="1800"/>
                <w:tab w:val="right" w:pos="9360"/>
              </w:tabs>
              <w:spacing w:before="120"/>
              <w:rPr>
                <w:rFonts w:eastAsia="Arial Unicode MS"/>
                <w:kern w:val="2"/>
                <w:sz w:val="22"/>
                <w:szCs w:val="22"/>
                <w:lang w:eastAsia="zh-CN"/>
              </w:rPr>
            </w:pPr>
            <w:r w:rsidRPr="003B49B4">
              <w:rPr>
                <w:rFonts w:eastAsia="Arial Unicode MS"/>
                <w:kern w:val="2"/>
                <w:sz w:val="22"/>
                <w:szCs w:val="22"/>
                <w:lang w:eastAsia="zh-CN"/>
              </w:rPr>
              <w:t>Purpose:</w:t>
            </w:r>
          </w:p>
        </w:tc>
        <w:tc>
          <w:tcPr>
            <w:tcW w:w="8505" w:type="dxa"/>
            <w:gridSpan w:val="3"/>
          </w:tcPr>
          <w:p w14:paraId="0EF57363" w14:textId="045DCFD4" w:rsidR="006F0E7F" w:rsidRPr="003B49B4" w:rsidRDefault="006B4362" w:rsidP="00160AD2">
            <w:pPr>
              <w:widowControl w:val="0"/>
              <w:tabs>
                <w:tab w:val="left" w:pos="1800"/>
                <w:tab w:val="right" w:pos="9360"/>
              </w:tabs>
              <w:spacing w:before="120"/>
              <w:rPr>
                <w:rFonts w:eastAsia="Arial Unicode MS"/>
                <w:kern w:val="2"/>
                <w:sz w:val="22"/>
                <w:szCs w:val="22"/>
                <w:lang w:eastAsia="zh-CN"/>
              </w:rPr>
            </w:pPr>
            <w:r w:rsidRPr="003B49B4">
              <w:rPr>
                <w:bCs/>
                <w:kern w:val="2"/>
              </w:rPr>
              <w:t>Proposal</w:t>
            </w:r>
          </w:p>
        </w:tc>
      </w:tr>
    </w:tbl>
    <w:p w14:paraId="01A53F35" w14:textId="4F64FC46" w:rsidR="00747E13" w:rsidRPr="003B49B4" w:rsidRDefault="00747E13" w:rsidP="00B90A7E">
      <w:pPr>
        <w:rPr>
          <w:rFonts w:eastAsia="Malgun Gothic"/>
          <w:kern w:val="2"/>
          <w:lang w:eastAsia="ko-KR"/>
        </w:rPr>
      </w:pPr>
    </w:p>
    <w:p w14:paraId="702EDC13" w14:textId="0E4B1926" w:rsidR="006B4362" w:rsidRPr="003B49B4" w:rsidRDefault="006B4362" w:rsidP="00925929">
      <w:pPr>
        <w:spacing w:after="120"/>
        <w:jc w:val="left"/>
        <w:rPr>
          <w:rFonts w:eastAsia="Malgun Gothic"/>
          <w:b/>
          <w:kern w:val="2"/>
          <w:sz w:val="32"/>
          <w:lang w:eastAsia="ko-KR"/>
        </w:rPr>
      </w:pPr>
      <w:r w:rsidRPr="003B49B4">
        <w:rPr>
          <w:rFonts w:eastAsia="Malgun Gothic"/>
          <w:b/>
          <w:kern w:val="2"/>
          <w:sz w:val="32"/>
          <w:lang w:eastAsia="ko-KR"/>
        </w:rPr>
        <w:t>Abstract</w:t>
      </w:r>
    </w:p>
    <w:p w14:paraId="13EE0D23" w14:textId="77777777" w:rsidR="00056213" w:rsidRPr="00056213" w:rsidRDefault="00056213" w:rsidP="00056213">
      <w:pPr>
        <w:spacing w:before="100" w:beforeAutospacing="1" w:after="100" w:afterAutospacing="1"/>
        <w:rPr>
          <w:rFonts w:eastAsia="Times New Roman"/>
        </w:rPr>
      </w:pPr>
      <w:r w:rsidRPr="00056213">
        <w:rPr>
          <w:rFonts w:eastAsia="Times New Roman"/>
        </w:rPr>
        <w:t>The current H.BWC development specifies two entropy coding methods: context-based adaptive binary arithmetic coding (CABAC) and adaptive variable-length coding (i.e., Huffman coding). Depending on the coding conditions—for example, whether prediction is applied to a given block—one of the two entropy coding methods is selected.</w:t>
      </w:r>
    </w:p>
    <w:p w14:paraId="2E7ABB27" w14:textId="77777777" w:rsidR="00056213" w:rsidRPr="00056213" w:rsidRDefault="00056213" w:rsidP="00056213">
      <w:pPr>
        <w:spacing w:before="100" w:beforeAutospacing="1" w:after="100" w:afterAutospacing="1"/>
        <w:jc w:val="left"/>
        <w:rPr>
          <w:rFonts w:eastAsia="Times New Roman"/>
        </w:rPr>
      </w:pPr>
      <w:r w:rsidRPr="00056213">
        <w:rPr>
          <w:rFonts w:eastAsia="Times New Roman"/>
        </w:rPr>
        <w:t>Each entropy coding path has been optimized for specific scenarios:</w:t>
      </w:r>
    </w:p>
    <w:p w14:paraId="356A8CED" w14:textId="160F8AD0" w:rsidR="00056213" w:rsidRPr="00056213" w:rsidRDefault="00056213" w:rsidP="00056213">
      <w:pPr>
        <w:numPr>
          <w:ilvl w:val="0"/>
          <w:numId w:val="44"/>
        </w:numPr>
        <w:spacing w:before="100" w:beforeAutospacing="1" w:after="100" w:afterAutospacing="1"/>
        <w:jc w:val="left"/>
        <w:rPr>
          <w:rFonts w:eastAsia="Times New Roman"/>
        </w:rPr>
      </w:pPr>
      <w:r w:rsidRPr="00056213">
        <w:rPr>
          <w:rFonts w:eastAsia="Times New Roman"/>
        </w:rPr>
        <w:t xml:space="preserve">The CABAC path </w:t>
      </w:r>
      <w:r w:rsidR="000C011D">
        <w:rPr>
          <w:rFonts w:eastAsia="Times New Roman"/>
        </w:rPr>
        <w:t>is</w:t>
      </w:r>
      <w:r w:rsidRPr="00056213">
        <w:rPr>
          <w:rFonts w:eastAsia="Times New Roman"/>
        </w:rPr>
        <w:t xml:space="preserve"> </w:t>
      </w:r>
      <w:r w:rsidR="005543D7">
        <w:rPr>
          <w:rFonts w:eastAsia="Times New Roman"/>
        </w:rPr>
        <w:t>mainly</w:t>
      </w:r>
      <w:r w:rsidRPr="00056213">
        <w:rPr>
          <w:rFonts w:eastAsia="Times New Roman"/>
        </w:rPr>
        <w:t xml:space="preserve"> optimized for blocks of quantization indices generated using prediction</w:t>
      </w:r>
      <w:r w:rsidR="005543D7">
        <w:rPr>
          <w:rFonts w:eastAsia="Times New Roman"/>
        </w:rPr>
        <w:t xml:space="preserve"> and was primarily designed for smaller block sizes</w:t>
      </w:r>
      <w:r w:rsidRPr="00056213">
        <w:rPr>
          <w:rFonts w:eastAsia="Times New Roman"/>
        </w:rPr>
        <w:t>.</w:t>
      </w:r>
    </w:p>
    <w:p w14:paraId="53AD3E0F" w14:textId="77777777" w:rsidR="00056213" w:rsidRPr="00056213" w:rsidRDefault="00056213" w:rsidP="00056213">
      <w:pPr>
        <w:numPr>
          <w:ilvl w:val="0"/>
          <w:numId w:val="44"/>
        </w:numPr>
        <w:spacing w:before="100" w:beforeAutospacing="1" w:after="100" w:afterAutospacing="1"/>
        <w:jc w:val="left"/>
        <w:rPr>
          <w:rFonts w:eastAsia="Times New Roman"/>
        </w:rPr>
      </w:pPr>
      <w:r w:rsidRPr="00056213">
        <w:rPr>
          <w:rFonts w:eastAsia="Times New Roman"/>
        </w:rPr>
        <w:t>The variable-length coding (VLC) path is mainly optimized for large block sizes without prediction.</w:t>
      </w:r>
    </w:p>
    <w:p w14:paraId="383296BF" w14:textId="74EE8DCF" w:rsidR="00056213" w:rsidRPr="00056213" w:rsidRDefault="00056213" w:rsidP="00056213">
      <w:pPr>
        <w:spacing w:before="100" w:beforeAutospacing="1" w:after="100" w:afterAutospacing="1"/>
        <w:rPr>
          <w:rFonts w:eastAsia="Times New Roman"/>
        </w:rPr>
      </w:pPr>
      <w:r w:rsidRPr="00056213">
        <w:rPr>
          <w:rFonts w:eastAsia="Times New Roman"/>
        </w:rPr>
        <w:t>This contribution proposes a modification to the CABAC path for coding quantization indices</w:t>
      </w:r>
      <w:r w:rsidR="003967E7">
        <w:rPr>
          <w:rFonts w:eastAsia="Times New Roman"/>
        </w:rPr>
        <w:t xml:space="preserve"> of transform coefficients obtained by applying the DCT-II approximation</w:t>
      </w:r>
      <w:r w:rsidR="00422962">
        <w:rPr>
          <w:rFonts w:eastAsia="Times New Roman"/>
        </w:rPr>
        <w:t xml:space="preserve">, </w:t>
      </w:r>
      <w:r w:rsidR="007A6D28">
        <w:t xml:space="preserve">referred to </w:t>
      </w:r>
      <w:r w:rsidR="007A6D28" w:rsidRPr="007A6D28">
        <w:t xml:space="preserve">as </w:t>
      </w:r>
      <w:r w:rsidR="007A6D28" w:rsidRPr="007A6D28">
        <w:rPr>
          <w:rStyle w:val="Emphasis"/>
          <w:i w:val="0"/>
          <w:iCs w:val="0"/>
        </w:rPr>
        <w:t>transform coefficient levels</w:t>
      </w:r>
      <w:r w:rsidR="007A6D28">
        <w:rPr>
          <w:rStyle w:val="Emphasis"/>
          <w:i w:val="0"/>
          <w:iCs w:val="0"/>
        </w:rPr>
        <w:t xml:space="preserve"> (short levels)</w:t>
      </w:r>
      <w:r w:rsidR="007A6D28">
        <w:t xml:space="preserve"> in the remainder of this document</w:t>
      </w:r>
      <w:r w:rsidRPr="00056213">
        <w:rPr>
          <w:rFonts w:eastAsia="Times New Roman"/>
        </w:rPr>
        <w:t>. The proposed changes result in improved compression efficiency under a broader range of coding conditions, as demonstrated by the presented experimental results.</w:t>
      </w:r>
    </w:p>
    <w:p w14:paraId="07CDFA4D" w14:textId="2F1B09B0" w:rsidR="00056213" w:rsidRPr="00056213" w:rsidRDefault="00056213" w:rsidP="00056213">
      <w:pPr>
        <w:spacing w:before="100" w:beforeAutospacing="1" w:after="100" w:afterAutospacing="1"/>
        <w:rPr>
          <w:rFonts w:eastAsia="Times New Roman"/>
        </w:rPr>
      </w:pPr>
      <w:r>
        <w:rPr>
          <w:rFonts w:eastAsia="Times New Roman"/>
        </w:rPr>
        <w:t>I</w:t>
      </w:r>
      <w:r w:rsidRPr="00056213">
        <w:rPr>
          <w:rFonts w:eastAsia="Times New Roman"/>
        </w:rPr>
        <w:t>t is</w:t>
      </w:r>
      <w:r>
        <w:rPr>
          <w:rFonts w:eastAsia="Times New Roman"/>
        </w:rPr>
        <w:t xml:space="preserve"> therefore</w:t>
      </w:r>
      <w:r w:rsidRPr="00056213">
        <w:rPr>
          <w:rFonts w:eastAsia="Times New Roman"/>
        </w:rPr>
        <w:t xml:space="preserve"> proposed to further investigate the suggested modifications </w:t>
      </w:r>
      <w:r w:rsidR="00E0201E">
        <w:rPr>
          <w:rFonts w:eastAsia="Times New Roman"/>
        </w:rPr>
        <w:t>in</w:t>
      </w:r>
      <w:r w:rsidRPr="00056213">
        <w:rPr>
          <w:rFonts w:eastAsia="Times New Roman"/>
        </w:rPr>
        <w:t xml:space="preserve"> a Core Experiment.</w:t>
      </w:r>
    </w:p>
    <w:p w14:paraId="3B7C1458" w14:textId="3BDCA83A" w:rsidR="005A3859" w:rsidRDefault="0010417A" w:rsidP="006B4362">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Pr>
          <w:rFonts w:eastAsia="Times New Roman"/>
          <w:b/>
          <w:bCs/>
          <w:kern w:val="2"/>
          <w:sz w:val="32"/>
          <w:szCs w:val="32"/>
        </w:rPr>
        <w:t xml:space="preserve">Review of the </w:t>
      </w:r>
      <w:r w:rsidR="00C83A99">
        <w:rPr>
          <w:rFonts w:eastAsia="Times New Roman"/>
          <w:b/>
          <w:bCs/>
          <w:kern w:val="2"/>
          <w:sz w:val="32"/>
          <w:szCs w:val="32"/>
        </w:rPr>
        <w:t xml:space="preserve">level </w:t>
      </w:r>
      <w:r>
        <w:rPr>
          <w:rFonts w:eastAsia="Times New Roman"/>
          <w:b/>
          <w:bCs/>
          <w:kern w:val="2"/>
          <w:sz w:val="32"/>
          <w:szCs w:val="32"/>
        </w:rPr>
        <w:t xml:space="preserve">coding </w:t>
      </w:r>
      <w:r w:rsidR="00C83A99">
        <w:rPr>
          <w:rFonts w:eastAsia="Times New Roman"/>
          <w:b/>
          <w:bCs/>
          <w:kern w:val="2"/>
          <w:sz w:val="32"/>
          <w:szCs w:val="32"/>
        </w:rPr>
        <w:t xml:space="preserve">with CABAC </w:t>
      </w:r>
      <w:r>
        <w:rPr>
          <w:rFonts w:eastAsia="Times New Roman"/>
          <w:b/>
          <w:bCs/>
          <w:kern w:val="2"/>
          <w:sz w:val="32"/>
          <w:szCs w:val="32"/>
        </w:rPr>
        <w:t>in H.BWC</w:t>
      </w:r>
    </w:p>
    <w:p w14:paraId="0696C390" w14:textId="47B052FB" w:rsidR="00C26B59" w:rsidRPr="00C26B59" w:rsidRDefault="00C26B59" w:rsidP="00C26B59">
      <w:pPr>
        <w:spacing w:before="100" w:beforeAutospacing="1" w:after="100" w:afterAutospacing="1"/>
        <w:rPr>
          <w:rFonts w:eastAsia="Times New Roman"/>
        </w:rPr>
      </w:pPr>
      <w:r w:rsidRPr="00C26B59">
        <w:rPr>
          <w:rFonts w:eastAsia="Times New Roman"/>
        </w:rPr>
        <w:t xml:space="preserve">The coding of a block </w:t>
      </w:r>
      <w:r w:rsidR="0010417A">
        <w:rPr>
          <w:rFonts w:eastAsia="Times New Roman"/>
        </w:rPr>
        <w:t>consisting of</w:t>
      </w:r>
      <w:r w:rsidRPr="00C26B59">
        <w:rPr>
          <w:rFonts w:eastAsia="Times New Roman"/>
        </w:rPr>
        <w:t xml:space="preserve"> </w:t>
      </w:r>
      <w:r w:rsidR="0090649E">
        <w:rPr>
          <w:rFonts w:eastAsia="Times New Roman"/>
        </w:rPr>
        <w:t>transform coefficient levels</w:t>
      </w:r>
      <w:r w:rsidRPr="00C26B59">
        <w:rPr>
          <w:rFonts w:eastAsia="Times New Roman"/>
        </w:rPr>
        <w:t xml:space="preserve"> using CABAC starts with signaling the last significant position when scanning the block forward, starting from the first element. A distinctive characteristic of this process is that if the last significant position is also the first position of the block, the significance flag—indicating whether the </w:t>
      </w:r>
      <w:r w:rsidR="002A5E9B">
        <w:rPr>
          <w:rFonts w:eastAsia="Times New Roman"/>
        </w:rPr>
        <w:t>transform coefficient level</w:t>
      </w:r>
      <w:r w:rsidRPr="00C26B59">
        <w:rPr>
          <w:rFonts w:eastAsia="Times New Roman"/>
        </w:rPr>
        <w:t xml:space="preserve"> is non-zero—is still coded. This allows for omitting a separate coded block flag.</w:t>
      </w:r>
    </w:p>
    <w:p w14:paraId="60D92C0D" w14:textId="252C86C2" w:rsidR="00C26B59" w:rsidRPr="00C26B59" w:rsidRDefault="00C26B59" w:rsidP="00C26B59">
      <w:pPr>
        <w:spacing w:before="100" w:beforeAutospacing="1" w:after="100" w:afterAutospacing="1"/>
        <w:rPr>
          <w:rFonts w:eastAsia="Times New Roman"/>
        </w:rPr>
      </w:pPr>
      <w:r w:rsidRPr="00C26B59">
        <w:rPr>
          <w:rFonts w:eastAsia="Times New Roman"/>
        </w:rPr>
        <w:t xml:space="preserve">After signaling the last significant position, the </w:t>
      </w:r>
      <w:r w:rsidR="002A5E9B">
        <w:rPr>
          <w:rFonts w:eastAsia="Times New Roman"/>
        </w:rPr>
        <w:t>levels</w:t>
      </w:r>
      <w:r w:rsidRPr="00C26B59">
        <w:rPr>
          <w:rFonts w:eastAsia="Times New Roman"/>
        </w:rPr>
        <w:t xml:space="preserve"> are </w:t>
      </w:r>
      <w:r w:rsidR="00C16475">
        <w:rPr>
          <w:rFonts w:eastAsia="Times New Roman"/>
        </w:rPr>
        <w:t>signaled</w:t>
      </w:r>
      <w:r w:rsidRPr="00C26B59">
        <w:rPr>
          <w:rFonts w:eastAsia="Times New Roman"/>
        </w:rPr>
        <w:t xml:space="preserve"> in reverse order, from the last significant position back to the first position in the block. For each absolute </w:t>
      </w:r>
      <w:r w:rsidR="00D03E39">
        <w:rPr>
          <w:rFonts w:eastAsia="Times New Roman"/>
        </w:rPr>
        <w:t>transform coefficient level</w:t>
      </w:r>
      <w:r w:rsidRPr="00C26B59">
        <w:rPr>
          <w:rFonts w:eastAsia="Times New Roman"/>
        </w:rPr>
        <w:t xml:space="preserve">, a binarization process is applied, decomposing the </w:t>
      </w:r>
      <w:r w:rsidR="00D03E39">
        <w:rPr>
          <w:rFonts w:eastAsia="Times New Roman"/>
        </w:rPr>
        <w:t>absolute level</w:t>
      </w:r>
      <w:r w:rsidRPr="00C26B59">
        <w:rPr>
          <w:rFonts w:eastAsia="Times New Roman"/>
        </w:rPr>
        <w:t xml:space="preserve"> into a sequence of binary values (bins), which can be uniquely mapped back to the original </w:t>
      </w:r>
      <w:r w:rsidR="00D03E39">
        <w:rPr>
          <w:rFonts w:eastAsia="Times New Roman"/>
        </w:rPr>
        <w:t>absolute level</w:t>
      </w:r>
      <w:r w:rsidRPr="00C26B59">
        <w:rPr>
          <w:rFonts w:eastAsia="Times New Roman"/>
        </w:rPr>
        <w:t>.</w:t>
      </w:r>
    </w:p>
    <w:p w14:paraId="067BC62B" w14:textId="78C0D6FF" w:rsidR="00C26B59" w:rsidRPr="00C26B59" w:rsidRDefault="00C26B59" w:rsidP="00C26B59">
      <w:pPr>
        <w:spacing w:before="100" w:beforeAutospacing="1" w:after="100" w:afterAutospacing="1"/>
        <w:rPr>
          <w:rFonts w:eastAsia="Times New Roman"/>
        </w:rPr>
      </w:pPr>
      <w:r w:rsidRPr="00C26B59">
        <w:rPr>
          <w:rFonts w:eastAsia="Times New Roman"/>
        </w:rPr>
        <w:lastRenderedPageBreak/>
        <w:t xml:space="preserve">Each bin coded in CABAC either employs an adaptive context model (regular coding mode) or none (bypass mode). Finally, if a </w:t>
      </w:r>
      <w:r w:rsidR="00F17DF0">
        <w:rPr>
          <w:rFonts w:eastAsia="Times New Roman"/>
        </w:rPr>
        <w:t>transform coefficient level</w:t>
      </w:r>
      <w:r w:rsidRPr="00C26B59">
        <w:rPr>
          <w:rFonts w:eastAsia="Times New Roman"/>
        </w:rPr>
        <w:t xml:space="preserve"> is non-zero, its sign is signaled in bypass mode.</w:t>
      </w:r>
    </w:p>
    <w:p w14:paraId="5FF2DD41" w14:textId="792BC5A4" w:rsidR="00747AFE" w:rsidRDefault="00F071D6" w:rsidP="00747AFE">
      <w:pPr>
        <w:pStyle w:val="Heading2"/>
      </w:pPr>
      <w:r>
        <w:t>Binarization</w:t>
      </w:r>
    </w:p>
    <w:p w14:paraId="0DE23310" w14:textId="06225436" w:rsidR="00747AFE" w:rsidRDefault="00E7058F" w:rsidP="00921C69">
      <w:pPr>
        <w:spacing w:after="120"/>
        <w:rPr>
          <w:kern w:val="2"/>
        </w:rPr>
      </w:pPr>
      <w:r>
        <w:t xml:space="preserve">The binarization of absolute </w:t>
      </w:r>
      <w:r w:rsidR="00BD13B3">
        <w:t>transform coefficient levels</w:t>
      </w:r>
      <w:r>
        <w:t xml:space="preserve"> consists of three stages. First, it is signaled whether the absolute </w:t>
      </w:r>
      <w:r w:rsidR="005505F4">
        <w:t>level</w:t>
      </w:r>
      <w:r>
        <w:t xml:space="preserve"> is greater than zero; this serves as the significance flag. If </w:t>
      </w:r>
      <w:r w:rsidR="00C1750D">
        <w:t>this is the case</w:t>
      </w:r>
      <w:r>
        <w:t xml:space="preserve">, additional flags indicate whether the </w:t>
      </w:r>
      <w:r w:rsidR="005505F4">
        <w:t>absolute level</w:t>
      </w:r>
      <w:r>
        <w:t xml:space="preserve"> is greater than one, greater than two, and so on, up to a predefined limit, which is set to 21 in the current H.BWC specification. This portion of the binarization is referred to as the truncated unary </w:t>
      </w:r>
      <w:r w:rsidR="005505B6">
        <w:t>code</w:t>
      </w:r>
      <w:r>
        <w:t xml:space="preserve">. If the absolute </w:t>
      </w:r>
      <w:r w:rsidR="005505F4">
        <w:t>level</w:t>
      </w:r>
      <w:r>
        <w:t xml:space="preserve"> exceeds </w:t>
      </w:r>
      <w:r w:rsidR="005505F4">
        <w:t>the</w:t>
      </w:r>
      <w:r>
        <w:t xml:space="preserve"> final threshold</w:t>
      </w:r>
      <w:r w:rsidR="005505F4">
        <w:t xml:space="preserve"> of the truncated unary code</w:t>
      </w:r>
      <w:r>
        <w:t xml:space="preserve">, the remaining value is coded using 0th-order Exponential-Golomb code. The sign is signaled separately at the end, provided the </w:t>
      </w:r>
      <w:r w:rsidR="005505F4">
        <w:t>transform coefficient level</w:t>
      </w:r>
      <w:r>
        <w:t xml:space="preserve"> is non-zero.</w:t>
      </w:r>
    </w:p>
    <w:p w14:paraId="19DF3748" w14:textId="7C35F401" w:rsidR="00FC1874" w:rsidRDefault="00100AD3" w:rsidP="00FC1874">
      <w:pPr>
        <w:pStyle w:val="Heading2"/>
      </w:pPr>
      <w:r>
        <w:t>Context Modelling</w:t>
      </w:r>
    </w:p>
    <w:p w14:paraId="58700444" w14:textId="77777777" w:rsidR="000665A9" w:rsidRPr="000665A9" w:rsidRDefault="000665A9" w:rsidP="000665A9">
      <w:pPr>
        <w:spacing w:before="100" w:beforeAutospacing="1" w:after="100" w:afterAutospacing="1"/>
        <w:rPr>
          <w:rFonts w:eastAsia="Times New Roman"/>
        </w:rPr>
      </w:pPr>
      <w:r w:rsidRPr="000665A9">
        <w:rPr>
          <w:rFonts w:eastAsia="Times New Roman"/>
        </w:rPr>
        <w:t>Context modelling refers to the process of choosing an appropriate context model for the current bin to be coded. In H.BWC, context modelling for transform coefficient levels has two fundamental aspects: the position-dependent context model offsets, which depend on the current position within the block, and the template-dependent context model offset, which evaluates the sum of the three preceding coded absolute transform coefficient levels relative to the current position within the current block.</w:t>
      </w:r>
    </w:p>
    <w:p w14:paraId="5C607BB2" w14:textId="77777777" w:rsidR="000665A9" w:rsidRPr="000665A9" w:rsidRDefault="000665A9" w:rsidP="000665A9">
      <w:pPr>
        <w:spacing w:before="100" w:beforeAutospacing="1" w:after="100" w:afterAutospacing="1"/>
        <w:rPr>
          <w:rFonts w:eastAsia="Times New Roman"/>
        </w:rPr>
      </w:pPr>
      <w:r w:rsidRPr="000665A9">
        <w:rPr>
          <w:rFonts w:eastAsia="Times New Roman"/>
        </w:rPr>
        <w:t>The position-dependent context model offsets use a fixed lookup table consisting of the values 0, 1, 2, 3, 7, 11, 15, and 23. This means that the DC position and the first three AC positions each use a separate set of context models, while positions 4–7, 8–11, 12–15, 16–23, and positions greater than 23 each use separate context model sets. In total, nine context model sets are possible. These position-dependent context model offsets are used for the context modelling of the significance flags and the bins belonging to the truncated unary code.</w:t>
      </w:r>
    </w:p>
    <w:p w14:paraId="7C763114" w14:textId="70B6F163" w:rsidR="000665A9" w:rsidRPr="000665A9" w:rsidRDefault="000665A9" w:rsidP="000665A9">
      <w:pPr>
        <w:spacing w:before="100" w:beforeAutospacing="1" w:after="100" w:afterAutospacing="1"/>
        <w:rPr>
          <w:rFonts w:eastAsia="Times New Roman"/>
        </w:rPr>
      </w:pPr>
      <w:r w:rsidRPr="000665A9">
        <w:rPr>
          <w:rFonts w:eastAsia="Times New Roman"/>
        </w:rPr>
        <w:t>For the significance flag, an inner context model offset is added to the position-dependent context model</w:t>
      </w:r>
      <w:r w:rsidR="00C36430">
        <w:rPr>
          <w:rFonts w:eastAsia="Times New Roman"/>
        </w:rPr>
        <w:t xml:space="preserve"> offset</w:t>
      </w:r>
      <w:r w:rsidRPr="000665A9">
        <w:rPr>
          <w:rFonts w:eastAsia="Times New Roman"/>
        </w:rPr>
        <w:t>. Since all context model sets are distinct, and the possible range for the inner offset is between 0 and 2, each context model set employed for coding the significance flags consists of three context models. The inner context modelling uses the template sum calculated as described above, clipped to a maximum value of two, resulting in three possible outcomes.</w:t>
      </w:r>
    </w:p>
    <w:p w14:paraId="5D45CF2A" w14:textId="77777777" w:rsidR="000665A9" w:rsidRPr="000665A9" w:rsidRDefault="000665A9" w:rsidP="000665A9">
      <w:pPr>
        <w:spacing w:before="100" w:beforeAutospacing="1" w:after="100" w:afterAutospacing="1"/>
        <w:rPr>
          <w:rFonts w:eastAsia="Times New Roman"/>
        </w:rPr>
      </w:pPr>
      <w:r w:rsidRPr="000665A9">
        <w:rPr>
          <w:rFonts w:eastAsia="Times New Roman"/>
        </w:rPr>
        <w:t>For the bins belonging to the truncated unary code, no inner context model offsets are employed, resulting in one context model per context model set.</w:t>
      </w:r>
    </w:p>
    <w:p w14:paraId="776A91CA" w14:textId="4FA569E5" w:rsidR="003E6540" w:rsidRDefault="003E6540" w:rsidP="003E6540">
      <w:pPr>
        <w:pStyle w:val="Heading2"/>
      </w:pPr>
      <w:r>
        <w:t>Modifications to Binarization and Context Modeling</w:t>
      </w:r>
    </w:p>
    <w:p w14:paraId="3E751CC7" w14:textId="15ACA82B" w:rsidR="00982565" w:rsidRDefault="00982565" w:rsidP="00982565">
      <w:pPr>
        <w:spacing w:before="100" w:beforeAutospacing="1" w:after="100" w:afterAutospacing="1"/>
        <w:rPr>
          <w:rFonts w:eastAsia="Times New Roman"/>
        </w:rPr>
      </w:pPr>
      <w:r w:rsidRPr="00982565">
        <w:rPr>
          <w:rFonts w:eastAsia="Times New Roman"/>
        </w:rPr>
        <w:t xml:space="preserve">This contribution </w:t>
      </w:r>
      <w:r w:rsidR="00851F46">
        <w:rPr>
          <w:rFonts w:eastAsia="Times New Roman"/>
        </w:rPr>
        <w:t>proposes</w:t>
      </w:r>
      <w:r w:rsidRPr="00982565">
        <w:rPr>
          <w:rFonts w:eastAsia="Times New Roman"/>
        </w:rPr>
        <w:t xml:space="preserve"> modifications to the coding of the last significant scanning position, the binarization, and the context modelling as follows.</w:t>
      </w:r>
    </w:p>
    <w:p w14:paraId="7C695E95" w14:textId="1AB57C78" w:rsidR="009B1276" w:rsidRDefault="009B1276" w:rsidP="00982565">
      <w:pPr>
        <w:spacing w:before="100" w:beforeAutospacing="1" w:after="100" w:afterAutospacing="1"/>
      </w:pPr>
      <w:r>
        <w:t xml:space="preserve">The last significant scanning position can be coded as in the current H.BWC specification, i.e., by signaling the absolute offset relative to the first position of the block, or as a difference relative to the last significant scanning position of the previously coded block within the same channel. Without modifying the existing context modelling for the last significant scanning position, coding the difference introduces the signaling of the sign in bypass coding mode. The decision to employ </w:t>
      </w:r>
      <w:r>
        <w:lastRenderedPageBreak/>
        <w:t>delta coding for the last significant position depends on the block size and the prediction mode used for the current block.</w:t>
      </w:r>
    </w:p>
    <w:p w14:paraId="07F60115" w14:textId="5CDE8BA6" w:rsidR="002073B3" w:rsidRDefault="002073B3" w:rsidP="00982565">
      <w:pPr>
        <w:spacing w:before="100" w:beforeAutospacing="1" w:after="100" w:afterAutospacing="1"/>
        <w:rPr>
          <w:rFonts w:eastAsia="Times New Roman"/>
        </w:rPr>
      </w:pPr>
      <w:r>
        <w:t>For the binarization, an adaptive approach is proposed on top of the binarization used in H.BWC. When the template sum exceeds a defined threshold, a parity flag is signaled after coding the significance flag. This parity flag uses a dedicated context model, and as a result, the magnitude to be signaled is halved. The remainder in this binarization path is coded in the same way as in the existing binarization, but the maximum threshold for the truncated unary code is doubled. Furthermore, different context models are used for this second binarization path.</w:t>
      </w:r>
    </w:p>
    <w:p w14:paraId="44827463" w14:textId="77777777" w:rsidR="00982565" w:rsidRPr="00982565" w:rsidRDefault="00982565" w:rsidP="00982565">
      <w:pPr>
        <w:spacing w:before="100" w:beforeAutospacing="1" w:after="100" w:afterAutospacing="1"/>
        <w:rPr>
          <w:rFonts w:eastAsia="Times New Roman"/>
        </w:rPr>
      </w:pPr>
      <w:r w:rsidRPr="00982565">
        <w:rPr>
          <w:rFonts w:eastAsia="Times New Roman"/>
        </w:rPr>
        <w:t>An additional modification concerns the derivation of the template-based context model offset. Instead of clipping the sum directly to two, one is added to the sum, and a right shift by one is then performed. The result of this operation is clipped to two, as before.</w:t>
      </w:r>
    </w:p>
    <w:p w14:paraId="7BC56AA0" w14:textId="1E2BE63C" w:rsidR="00844A9A" w:rsidRPr="00CD3D13" w:rsidRDefault="00982565" w:rsidP="007C10DB">
      <w:pPr>
        <w:spacing w:before="100" w:beforeAutospacing="1" w:after="100" w:afterAutospacing="1"/>
        <w:rPr>
          <w:rFonts w:eastAsia="Times New Roman"/>
        </w:rPr>
      </w:pPr>
      <w:r w:rsidRPr="00982565">
        <w:rPr>
          <w:rFonts w:eastAsia="Times New Roman"/>
        </w:rPr>
        <w:t xml:space="preserve">Finally, the position-dependent context model sets are adjusted depending on the current block size. Given </w:t>
      </w:r>
      <w:r w:rsidR="006C1ADF">
        <w:rPr>
          <w:rFonts w:eastAsia="Times New Roman"/>
        </w:rPr>
        <w:t xml:space="preserve">the </w:t>
      </w:r>
      <w:r w:rsidR="00D024B3">
        <w:rPr>
          <w:rFonts w:eastAsia="Times New Roman"/>
        </w:rPr>
        <w:t>nine</w:t>
      </w:r>
      <w:r w:rsidRPr="00982565">
        <w:rPr>
          <w:rFonts w:eastAsia="Times New Roman"/>
        </w:rPr>
        <w:t xml:space="preserve"> </w:t>
      </w:r>
      <w:r w:rsidR="00D024B3">
        <w:rPr>
          <w:rFonts w:eastAsia="Times New Roman"/>
        </w:rPr>
        <w:t>context model sets</w:t>
      </w:r>
      <w:r w:rsidRPr="00982565">
        <w:rPr>
          <w:rFonts w:eastAsia="Times New Roman"/>
        </w:rPr>
        <w:t xml:space="preserve">, all block sizes less than or equal to eight employ a dedicated context model set for each position. When the block size is greater than eight, quantization is applied to the last entries so that the total number of sets remains equal to </w:t>
      </w:r>
      <w:r w:rsidR="00F4043D">
        <w:rPr>
          <w:rFonts w:eastAsia="Times New Roman"/>
        </w:rPr>
        <w:t>nine</w:t>
      </w:r>
      <w:r w:rsidRPr="00982565">
        <w:rPr>
          <w:rFonts w:eastAsia="Times New Roman"/>
        </w:rPr>
        <w:t xml:space="preserve">. For example, the values for a </w:t>
      </w:r>
      <w:r w:rsidR="007C7B96">
        <w:rPr>
          <w:rFonts w:eastAsia="Times New Roman"/>
        </w:rPr>
        <w:t xml:space="preserve">block </w:t>
      </w:r>
      <w:r w:rsidR="00A66734">
        <w:rPr>
          <w:rFonts w:eastAsia="Times New Roman"/>
        </w:rPr>
        <w:t>size of</w:t>
      </w:r>
      <w:r w:rsidR="007C7B96">
        <w:rPr>
          <w:rFonts w:eastAsia="Times New Roman"/>
        </w:rPr>
        <w:t xml:space="preserve"> </w:t>
      </w:r>
      <w:r w:rsidRPr="00982565">
        <w:rPr>
          <w:rFonts w:eastAsia="Times New Roman"/>
        </w:rPr>
        <w:t>1024 are 4, 8, 16, 32, 64, 128, 256, 512</w:t>
      </w:r>
      <w:r w:rsidR="00A66734">
        <w:rPr>
          <w:rFonts w:eastAsia="Times New Roman"/>
        </w:rPr>
        <w:t>;</w:t>
      </w:r>
      <w:r w:rsidRPr="00982565">
        <w:rPr>
          <w:rFonts w:eastAsia="Times New Roman"/>
        </w:rPr>
        <w:t xml:space="preserve"> and for a </w:t>
      </w:r>
      <w:r w:rsidR="007C7B96">
        <w:rPr>
          <w:rFonts w:eastAsia="Times New Roman"/>
        </w:rPr>
        <w:t xml:space="preserve">block </w:t>
      </w:r>
      <w:r w:rsidR="00A66734">
        <w:rPr>
          <w:rFonts w:eastAsia="Times New Roman"/>
        </w:rPr>
        <w:t>size of</w:t>
      </w:r>
      <w:r w:rsidR="007C7B96">
        <w:rPr>
          <w:rFonts w:eastAsia="Times New Roman"/>
        </w:rPr>
        <w:t xml:space="preserve"> </w:t>
      </w:r>
      <w:r w:rsidRPr="00982565">
        <w:rPr>
          <w:rFonts w:eastAsia="Times New Roman"/>
        </w:rPr>
        <w:t>2048</w:t>
      </w:r>
      <w:r w:rsidR="007C7B96">
        <w:rPr>
          <w:rFonts w:eastAsia="Times New Roman"/>
        </w:rPr>
        <w:t xml:space="preserve"> </w:t>
      </w:r>
      <w:r w:rsidRPr="00982565">
        <w:rPr>
          <w:rFonts w:eastAsia="Times New Roman"/>
        </w:rPr>
        <w:t>are 8, 16, 32, 64, 128, 256, 512, 1024.</w:t>
      </w:r>
    </w:p>
    <w:p w14:paraId="0055A150" w14:textId="05628E1B" w:rsidR="0003100A" w:rsidRDefault="0003100A" w:rsidP="0003100A">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Pr>
          <w:rFonts w:eastAsia="Times New Roman"/>
          <w:b/>
          <w:bCs/>
          <w:kern w:val="2"/>
          <w:sz w:val="32"/>
          <w:szCs w:val="32"/>
        </w:rPr>
        <w:t>Experimental results</w:t>
      </w:r>
    </w:p>
    <w:p w14:paraId="5C424E74" w14:textId="306C2BB0" w:rsidR="00FC4F03" w:rsidRDefault="00FC4F03" w:rsidP="00860441">
      <w:pPr>
        <w:spacing w:after="120"/>
        <w:rPr>
          <w:b/>
          <w:kern w:val="2"/>
          <w:u w:val="single"/>
        </w:rPr>
      </w:pPr>
      <w:r>
        <w:t>The first set of experimental results is based on the CTC configuration, meaning that coding performance is evaluated relative to H.BWC version 1.0</w:t>
      </w:r>
      <w:r w:rsidR="00D26ED0">
        <w:t>, which serves as the anchor</w:t>
      </w:r>
      <w:r>
        <w:t xml:space="preserve">. The candidate for the BD-rate calculation is a modified </w:t>
      </w:r>
      <w:r w:rsidR="00D26ED0">
        <w:t xml:space="preserve">version of </w:t>
      </w:r>
      <w:r>
        <w:t>H.BWC 1.0 in which the proposed modification to the level coding is implemented.</w:t>
      </w:r>
    </w:p>
    <w:p w14:paraId="1391A585" w14:textId="1F3ECE21" w:rsidR="00322AEB" w:rsidRDefault="00322AEB" w:rsidP="00322AEB">
      <w:pPr>
        <w:spacing w:after="120"/>
        <w:rPr>
          <w:b/>
          <w:kern w:val="2"/>
        </w:rPr>
      </w:pPr>
      <w:r>
        <w:rPr>
          <w:b/>
          <w:kern w:val="2"/>
        </w:rPr>
        <w:t>ECG-data:</w:t>
      </w:r>
      <w:r>
        <w:rPr>
          <w:b/>
          <w:kern w:val="2"/>
        </w:rPr>
        <w:br/>
      </w:r>
      <w:r>
        <w:rPr>
          <w:kern w:val="2"/>
        </w:rPr>
        <w:t>Bit-Rate change:</w:t>
      </w:r>
      <w:r>
        <w:t xml:space="preserve"> </w:t>
      </w:r>
      <w:r>
        <w:noBreakHyphen/>
      </w:r>
      <w:r>
        <w:rPr>
          <w:kern w:val="2"/>
        </w:rPr>
        <w:t xml:space="preserve">0.31 %, Encoder-Runtime: 100.77 %, Decoder-Runtime: 100.64 %  </w:t>
      </w:r>
    </w:p>
    <w:p w14:paraId="5587A453" w14:textId="66A53394" w:rsidR="00322AEB" w:rsidRDefault="00322AEB" w:rsidP="00322AEB">
      <w:pPr>
        <w:spacing w:after="120"/>
        <w:jc w:val="left"/>
        <w:rPr>
          <w:kern w:val="2"/>
        </w:rPr>
      </w:pPr>
      <w:r>
        <w:rPr>
          <w:b/>
          <w:kern w:val="2"/>
        </w:rPr>
        <w:t>EEG-data (CHB-MIT):</w:t>
      </w:r>
      <w:r>
        <w:rPr>
          <w:b/>
          <w:kern w:val="2"/>
        </w:rPr>
        <w:br/>
      </w:r>
      <w:r>
        <w:rPr>
          <w:kern w:val="2"/>
        </w:rPr>
        <w:t xml:space="preserve">Bit-Rate change: </w:t>
      </w:r>
      <w:r>
        <w:rPr>
          <w:kern w:val="2"/>
        </w:rPr>
        <w:noBreakHyphen/>
      </w:r>
      <w:r w:rsidR="009E6E06">
        <w:rPr>
          <w:kern w:val="2"/>
        </w:rPr>
        <w:t>3</w:t>
      </w:r>
      <w:r>
        <w:rPr>
          <w:kern w:val="2"/>
        </w:rPr>
        <w:t>.</w:t>
      </w:r>
      <w:r w:rsidR="009E6E06">
        <w:rPr>
          <w:kern w:val="2"/>
        </w:rPr>
        <w:t>49</w:t>
      </w:r>
      <w:r>
        <w:rPr>
          <w:kern w:val="2"/>
        </w:rPr>
        <w:t xml:space="preserve"> %, Encoder-Runtime: 1</w:t>
      </w:r>
      <w:r w:rsidR="009E6E06">
        <w:rPr>
          <w:kern w:val="2"/>
        </w:rPr>
        <w:t>0</w:t>
      </w:r>
      <w:r>
        <w:rPr>
          <w:kern w:val="2"/>
        </w:rPr>
        <w:t>3.6</w:t>
      </w:r>
      <w:r w:rsidR="009E6E06">
        <w:rPr>
          <w:kern w:val="2"/>
        </w:rPr>
        <w:t>2</w:t>
      </w:r>
      <w:r>
        <w:rPr>
          <w:kern w:val="2"/>
        </w:rPr>
        <w:t xml:space="preserve"> %, Decoder-Runtime: 10</w:t>
      </w:r>
      <w:r w:rsidR="009E6E06">
        <w:rPr>
          <w:kern w:val="2"/>
        </w:rPr>
        <w:t>6</w:t>
      </w:r>
      <w:r>
        <w:rPr>
          <w:kern w:val="2"/>
        </w:rPr>
        <w:t>.</w:t>
      </w:r>
      <w:r w:rsidR="009E6E06">
        <w:rPr>
          <w:kern w:val="2"/>
        </w:rPr>
        <w:t>11</w:t>
      </w:r>
      <w:r>
        <w:rPr>
          <w:kern w:val="2"/>
        </w:rPr>
        <w:t xml:space="preserve"> %</w:t>
      </w:r>
    </w:p>
    <w:p w14:paraId="1C4D3DE4" w14:textId="3C260A47" w:rsidR="00014D91" w:rsidRPr="00BC1BDA" w:rsidRDefault="00322AEB" w:rsidP="00BC1BDA">
      <w:pPr>
        <w:spacing w:after="120"/>
        <w:jc w:val="left"/>
        <w:rPr>
          <w:b/>
          <w:kern w:val="2"/>
        </w:rPr>
      </w:pPr>
      <w:r>
        <w:rPr>
          <w:b/>
          <w:kern w:val="2"/>
        </w:rPr>
        <w:t>EMG-data:</w:t>
      </w:r>
      <w:r>
        <w:rPr>
          <w:b/>
          <w:kern w:val="2"/>
        </w:rPr>
        <w:br/>
      </w:r>
      <w:r>
        <w:rPr>
          <w:kern w:val="2"/>
        </w:rPr>
        <w:t xml:space="preserve">Bit-Rate change: </w:t>
      </w:r>
      <w:r w:rsidR="00BC1BDA">
        <w:rPr>
          <w:kern w:val="2"/>
        </w:rPr>
        <w:t>-1</w:t>
      </w:r>
      <w:r>
        <w:rPr>
          <w:kern w:val="2"/>
        </w:rPr>
        <w:t>.</w:t>
      </w:r>
      <w:r w:rsidR="006749C9">
        <w:rPr>
          <w:kern w:val="2"/>
        </w:rPr>
        <w:t>36</w:t>
      </w:r>
      <w:r>
        <w:rPr>
          <w:kern w:val="2"/>
        </w:rPr>
        <w:t xml:space="preserve"> %, Encoder-Runtime: 10</w:t>
      </w:r>
      <w:r w:rsidR="00BC1BDA">
        <w:rPr>
          <w:kern w:val="2"/>
        </w:rPr>
        <w:t>3</w:t>
      </w:r>
      <w:r>
        <w:rPr>
          <w:kern w:val="2"/>
        </w:rPr>
        <w:t>.</w:t>
      </w:r>
      <w:r w:rsidR="006749C9">
        <w:rPr>
          <w:kern w:val="2"/>
        </w:rPr>
        <w:t>54</w:t>
      </w:r>
      <w:r>
        <w:rPr>
          <w:kern w:val="2"/>
        </w:rPr>
        <w:t xml:space="preserve"> %, Decoder-Runtime: </w:t>
      </w:r>
      <w:r w:rsidR="00AF1970">
        <w:rPr>
          <w:kern w:val="2"/>
        </w:rPr>
        <w:t>10</w:t>
      </w:r>
      <w:r w:rsidR="006749C9">
        <w:rPr>
          <w:kern w:val="2"/>
        </w:rPr>
        <w:t>1</w:t>
      </w:r>
      <w:r>
        <w:rPr>
          <w:kern w:val="2"/>
        </w:rPr>
        <w:t>.</w:t>
      </w:r>
      <w:r w:rsidR="006749C9">
        <w:rPr>
          <w:kern w:val="2"/>
        </w:rPr>
        <w:t>19</w:t>
      </w:r>
      <w:r>
        <w:rPr>
          <w:kern w:val="2"/>
        </w:rPr>
        <w:t xml:space="preserve"> %</w:t>
      </w:r>
    </w:p>
    <w:p w14:paraId="39233B5D" w14:textId="3783412A" w:rsidR="00D26ED0" w:rsidRDefault="00D26ED0" w:rsidP="00E81A4C">
      <w:pPr>
        <w:spacing w:after="120"/>
        <w:rPr>
          <w:rFonts w:eastAsia="Times New Roman"/>
          <w:lang w:val="x-none"/>
        </w:rPr>
      </w:pPr>
      <w:r w:rsidRPr="00D26ED0">
        <w:rPr>
          <w:rFonts w:eastAsia="Times New Roman"/>
          <w:lang w:val="x-none"/>
        </w:rPr>
        <w:t xml:space="preserve">The presented experimental results show that the proposed modifications provide improved compression efficiency under the CTC configuration. Further experimental results demonstrating the performance of the proposed transform coefficient level coding in combination with LMS prediction </w:t>
      </w:r>
      <w:r w:rsidR="00E81A4C">
        <w:rPr>
          <w:rFonts w:eastAsia="Times New Roman"/>
          <w:lang w:val="x-none"/>
        </w:rPr>
        <w:t xml:space="preserve">and non-CTC configurations </w:t>
      </w:r>
      <w:r w:rsidR="003866D3">
        <w:rPr>
          <w:rFonts w:eastAsia="Times New Roman"/>
          <w:lang w:val="x-none"/>
        </w:rPr>
        <w:t>can be found in VCEC-BX14</w:t>
      </w:r>
      <w:r w:rsidRPr="00D26ED0">
        <w:rPr>
          <w:rFonts w:eastAsia="Times New Roman"/>
          <w:lang w:val="x-none"/>
        </w:rPr>
        <w:t>.</w:t>
      </w:r>
    </w:p>
    <w:p w14:paraId="5741CFF1" w14:textId="7A736CD6" w:rsidR="009C7D9F" w:rsidRPr="009C7D9F" w:rsidRDefault="009C7D9F" w:rsidP="00860441">
      <w:pPr>
        <w:spacing w:after="120"/>
        <w:jc w:val="left"/>
        <w:rPr>
          <w:rFonts w:eastAsia="Times New Roman"/>
          <w:b/>
          <w:bCs/>
          <w:kern w:val="2"/>
          <w:sz w:val="32"/>
          <w:szCs w:val="32"/>
        </w:rPr>
      </w:pPr>
      <w:r w:rsidRPr="009C7D9F">
        <w:rPr>
          <w:rFonts w:eastAsia="Times New Roman"/>
          <w:b/>
          <w:bCs/>
          <w:kern w:val="2"/>
          <w:sz w:val="32"/>
          <w:szCs w:val="32"/>
        </w:rPr>
        <w:t>References</w:t>
      </w:r>
    </w:p>
    <w:p w14:paraId="2832EE40" w14:textId="6A1516B4" w:rsidR="0096479A" w:rsidRDefault="009C7D9F" w:rsidP="009C7D9F">
      <w:pPr>
        <w:ind w:left="357" w:hanging="357"/>
        <w:rPr>
          <w:kern w:val="2"/>
          <w:lang w:eastAsia="x-none"/>
        </w:rPr>
      </w:pPr>
      <w:r>
        <w:rPr>
          <w:kern w:val="2"/>
          <w:lang w:eastAsia="x-none"/>
        </w:rPr>
        <w:t>[1]</w:t>
      </w:r>
      <w:r>
        <w:rPr>
          <w:kern w:val="2"/>
          <w:lang w:eastAsia="x-none"/>
        </w:rPr>
        <w:tab/>
      </w:r>
      <w:r w:rsidR="0096479A">
        <w:rPr>
          <w:kern w:val="2"/>
          <w:lang w:eastAsia="x-none"/>
        </w:rPr>
        <w:t>VCEG, “</w:t>
      </w:r>
      <w:r w:rsidR="0096479A" w:rsidRPr="0096479A">
        <w:rPr>
          <w:kern w:val="2"/>
          <w:lang w:eastAsia="x-none"/>
        </w:rPr>
        <w:t>Reference software for biomedical waveform data compressi</w:t>
      </w:r>
      <w:r w:rsidR="0096479A">
        <w:rPr>
          <w:kern w:val="2"/>
          <w:lang w:eastAsia="x-none"/>
        </w:rPr>
        <w:t>o</w:t>
      </w:r>
      <w:r w:rsidR="0096479A" w:rsidRPr="0096479A">
        <w:rPr>
          <w:kern w:val="2"/>
          <w:lang w:eastAsia="x-none"/>
        </w:rPr>
        <w:t>n</w:t>
      </w:r>
      <w:r w:rsidR="0096479A">
        <w:rPr>
          <w:kern w:val="2"/>
          <w:lang w:eastAsia="x-none"/>
        </w:rPr>
        <w:t xml:space="preserve">,” tag BWC-1.0. </w:t>
      </w:r>
      <w:r w:rsidR="0096479A" w:rsidRPr="009C7D9F">
        <w:rPr>
          <w:kern w:val="2"/>
          <w:position w:val="2"/>
          <w:sz w:val="18"/>
          <w:szCs w:val="18"/>
          <w:lang w:eastAsia="x-none"/>
        </w:rPr>
        <w:sym w:font="Webdings" w:char="F0FC"/>
      </w:r>
      <w:r w:rsidR="0096479A">
        <w:rPr>
          <w:kern w:val="2"/>
          <w:lang w:eastAsia="x-none"/>
        </w:rPr>
        <w:t xml:space="preserve">: </w:t>
      </w:r>
      <w:hyperlink r:id="rId9" w:history="1">
        <w:r w:rsidR="002C4C02" w:rsidRPr="005063E0">
          <w:rPr>
            <w:rStyle w:val="Hyperlink"/>
            <w:kern w:val="2"/>
            <w:lang w:eastAsia="x-none"/>
          </w:rPr>
          <w:t>https://vcgit.hhi.fraunhofer.de/vceg-sw/bwc/-/tags</w:t>
        </w:r>
      </w:hyperlink>
      <w:r w:rsidR="002C4C02">
        <w:rPr>
          <w:kern w:val="2"/>
          <w:lang w:eastAsia="x-none"/>
        </w:rPr>
        <w:t xml:space="preserve">, presets </w:t>
      </w:r>
      <w:r w:rsidR="002C4C02" w:rsidRPr="002C4C02">
        <w:rPr>
          <w:i/>
          <w:kern w:val="2"/>
          <w:lang w:eastAsia="x-none"/>
        </w:rPr>
        <w:t>combined...cfg</w:t>
      </w:r>
      <w:r w:rsidR="002C4C02">
        <w:rPr>
          <w:kern w:val="2"/>
          <w:lang w:eastAsia="x-none"/>
        </w:rPr>
        <w:t xml:space="preserve"> in directory</w:t>
      </w:r>
      <w:r w:rsidR="002C4C02" w:rsidRPr="002C4C02">
        <w:rPr>
          <w:kern w:val="2"/>
          <w:vertAlign w:val="superscript"/>
          <w:lang w:eastAsia="x-none"/>
        </w:rPr>
        <w:t xml:space="preserve"> </w:t>
      </w:r>
      <w:r w:rsidR="002C4C02" w:rsidRPr="002C4C02">
        <w:rPr>
          <w:i/>
          <w:kern w:val="2"/>
          <w:lang w:eastAsia="x-none"/>
        </w:rPr>
        <w:t>bwc/cfg</w:t>
      </w:r>
    </w:p>
    <w:p w14:paraId="7C8C5D38" w14:textId="68405CC6" w:rsidR="009C7D9F" w:rsidRDefault="0096479A" w:rsidP="009C7D9F">
      <w:pPr>
        <w:ind w:left="357" w:hanging="357"/>
        <w:rPr>
          <w:kern w:val="2"/>
          <w:lang w:eastAsia="x-none"/>
        </w:rPr>
      </w:pPr>
      <w:r>
        <w:rPr>
          <w:kern w:val="2"/>
          <w:lang w:eastAsia="x-none"/>
        </w:rPr>
        <w:t>[2]</w:t>
      </w:r>
      <w:r>
        <w:rPr>
          <w:kern w:val="2"/>
          <w:lang w:eastAsia="x-none"/>
        </w:rPr>
        <w:tab/>
      </w:r>
      <w:r w:rsidR="009C7D9F">
        <w:rPr>
          <w:kern w:val="2"/>
          <w:lang w:eastAsia="x-none"/>
        </w:rPr>
        <w:t xml:space="preserve">J. Pfaff, C. Fersch, and Rapporteur Q6/21, “Common test conditions and evaluation procedures for H.BWC technical experiments,” </w:t>
      </w:r>
      <w:r w:rsidR="009C7D9F" w:rsidRPr="009C7D9F">
        <w:rPr>
          <w:i/>
          <w:kern w:val="2"/>
          <w:lang w:eastAsia="x-none"/>
        </w:rPr>
        <w:t>ITU-T document SG21-TD68/WP3</w:t>
      </w:r>
      <w:r w:rsidR="009C7D9F">
        <w:rPr>
          <w:kern w:val="2"/>
          <w:lang w:eastAsia="x-none"/>
        </w:rPr>
        <w:t xml:space="preserve">, Geneva, Jan. 2025. </w:t>
      </w:r>
      <w:r w:rsidR="009C7D9F" w:rsidRPr="009C7D9F">
        <w:rPr>
          <w:kern w:val="2"/>
          <w:position w:val="2"/>
          <w:sz w:val="18"/>
          <w:szCs w:val="18"/>
          <w:lang w:eastAsia="x-none"/>
        </w:rPr>
        <w:sym w:font="Webdings" w:char="F0FC"/>
      </w:r>
      <w:r w:rsidR="009C7D9F">
        <w:rPr>
          <w:kern w:val="2"/>
          <w:lang w:eastAsia="x-none"/>
        </w:rPr>
        <w:t xml:space="preserve">: </w:t>
      </w:r>
      <w:hyperlink r:id="rId10" w:history="1">
        <w:r w:rsidR="009C7D9F" w:rsidRPr="009C7D9F">
          <w:rPr>
            <w:rStyle w:val="Hyperlink"/>
            <w:spacing w:val="-6"/>
            <w:kern w:val="2"/>
            <w:lang w:eastAsia="x-none"/>
          </w:rPr>
          <w:t>https://www.itu.int/wftp3/av-arch/video-site/2501_Gen/T25-SG21-TD-WP3-068-BWC-CTC.docx</w:t>
        </w:r>
      </w:hyperlink>
    </w:p>
    <w:p w14:paraId="30EF17AE" w14:textId="55EAF216" w:rsidR="00AC172D" w:rsidRPr="00AC172D" w:rsidRDefault="00AC172D" w:rsidP="00AC172D">
      <w:pPr>
        <w:keepNext/>
        <w:numPr>
          <w:ilvl w:val="0"/>
          <w:numId w:val="14"/>
        </w:numPr>
        <w:tabs>
          <w:tab w:val="left" w:pos="360"/>
          <w:tab w:val="left" w:pos="720"/>
          <w:tab w:val="left" w:pos="1080"/>
          <w:tab w:val="left" w:pos="1440"/>
        </w:tabs>
        <w:overflowPunct w:val="0"/>
        <w:autoSpaceDE w:val="0"/>
        <w:autoSpaceDN w:val="0"/>
        <w:adjustRightInd w:val="0"/>
        <w:spacing w:before="240" w:after="120"/>
        <w:ind w:left="357" w:hanging="357"/>
        <w:jc w:val="left"/>
        <w:textAlignment w:val="baseline"/>
        <w:outlineLvl w:val="0"/>
        <w:rPr>
          <w:rFonts w:eastAsia="Times New Roman"/>
          <w:b/>
          <w:bCs/>
          <w:kern w:val="2"/>
          <w:sz w:val="32"/>
          <w:szCs w:val="32"/>
        </w:rPr>
      </w:pPr>
      <w:r w:rsidRPr="00AC172D">
        <w:rPr>
          <w:rFonts w:eastAsia="Times New Roman"/>
          <w:b/>
          <w:bCs/>
          <w:kern w:val="2"/>
          <w:sz w:val="32"/>
          <w:szCs w:val="32"/>
        </w:rPr>
        <w:lastRenderedPageBreak/>
        <w:t>Patent Rights Declaration</w:t>
      </w:r>
    </w:p>
    <w:p w14:paraId="0AE43643" w14:textId="2BC490FB" w:rsidR="00AC172D" w:rsidRPr="00AC172D" w:rsidRDefault="00AC172D" w:rsidP="00375ADE">
      <w:pPr>
        <w:spacing w:after="40"/>
        <w:rPr>
          <w:b/>
          <w:kern w:val="2"/>
          <w:lang w:eastAsia="x-none"/>
        </w:rPr>
      </w:pPr>
      <w:r w:rsidRPr="00AC172D">
        <w:rPr>
          <w:b/>
          <w:kern w:val="2"/>
          <w:lang w:eastAsia="x-none"/>
        </w:rPr>
        <w:t xml:space="preserve">Fraunhofer may have current or pending patent rights relating to the technology described in this contribution </w:t>
      </w:r>
      <w:proofErr w:type="gramStart"/>
      <w:r w:rsidRPr="00AC172D">
        <w:rPr>
          <w:b/>
          <w:kern w:val="2"/>
          <w:lang w:eastAsia="x-none"/>
        </w:rPr>
        <w:t>and,</w:t>
      </w:r>
      <w:proofErr w:type="gramEnd"/>
      <w:r w:rsidRPr="00AC172D">
        <w:rPr>
          <w:b/>
          <w:kern w:val="2"/>
          <w:lang w:eastAsia="x-none"/>
        </w:rPr>
        <w:t xml:space="preserve"> conditioned on reciprocity, is prepared to grant licenses under rea</w:t>
      </w:r>
      <w:r>
        <w:rPr>
          <w:b/>
          <w:kern w:val="2"/>
          <w:lang w:eastAsia="x-none"/>
        </w:rPr>
        <w:softHyphen/>
      </w:r>
      <w:r w:rsidRPr="00AC172D">
        <w:rPr>
          <w:b/>
          <w:kern w:val="2"/>
          <w:lang w:eastAsia="x-none"/>
        </w:rPr>
        <w:t>sonable and non-discriminatory terms as necessary for implementation of the resulting ITU-T Recommendation (per box 2 of the ITU-T/ITU-R/ISO/IEC patent statement and licensing declaration form).</w:t>
      </w:r>
    </w:p>
    <w:p w14:paraId="446E0F43" w14:textId="50D2FE4C" w:rsidR="00375AAB" w:rsidRPr="003B49B4" w:rsidRDefault="00A01676" w:rsidP="006B4362">
      <w:pPr>
        <w:jc w:val="center"/>
        <w:rPr>
          <w:rFonts w:eastAsia="Times New Roman"/>
          <w:kern w:val="2"/>
        </w:rPr>
      </w:pPr>
      <w:r w:rsidRPr="003B49B4">
        <w:rPr>
          <w:kern w:val="2"/>
        </w:rPr>
        <w:t>________________________</w:t>
      </w:r>
    </w:p>
    <w:sectPr w:rsidR="00375AAB" w:rsidRPr="003B49B4"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60A0" w14:textId="77777777" w:rsidR="00DC764A" w:rsidRDefault="00DC764A" w:rsidP="00B20400">
      <w:r>
        <w:separator/>
      </w:r>
    </w:p>
  </w:endnote>
  <w:endnote w:type="continuationSeparator" w:id="0">
    <w:p w14:paraId="6F8D43F9" w14:textId="77777777" w:rsidR="00DC764A" w:rsidRDefault="00DC764A"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S Mincho"/>
    <w:panose1 w:val="020B0604020202020204"/>
    <w:charset w:val="00"/>
    <w:family w:val="auto"/>
    <w:pitch w:val="variable"/>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22AC" w14:textId="77777777" w:rsidR="00DC764A" w:rsidRDefault="00DC764A" w:rsidP="00B20400">
      <w:r>
        <w:separator/>
      </w:r>
    </w:p>
  </w:footnote>
  <w:footnote w:type="continuationSeparator" w:id="0">
    <w:p w14:paraId="3B10A502" w14:textId="77777777" w:rsidR="00DC764A" w:rsidRDefault="00DC764A"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81A881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en-U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4D47FA"/>
    <w:multiLevelType w:val="hybridMultilevel"/>
    <w:tmpl w:val="0F52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E4394"/>
    <w:multiLevelType w:val="hybridMultilevel"/>
    <w:tmpl w:val="FCB08F0C"/>
    <w:lvl w:ilvl="0" w:tplc="3A5434FE">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4F4080C"/>
    <w:multiLevelType w:val="multilevel"/>
    <w:tmpl w:val="EC96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96708">
    <w:abstractNumId w:val="32"/>
  </w:num>
  <w:num w:numId="2" w16cid:durableId="1020358089">
    <w:abstractNumId w:val="5"/>
  </w:num>
  <w:num w:numId="3" w16cid:durableId="876504640">
    <w:abstractNumId w:val="4"/>
  </w:num>
  <w:num w:numId="4" w16cid:durableId="111559475">
    <w:abstractNumId w:val="14"/>
  </w:num>
  <w:num w:numId="5" w16cid:durableId="2076539441">
    <w:abstractNumId w:val="10"/>
  </w:num>
  <w:num w:numId="6" w16cid:durableId="1842742286">
    <w:abstractNumId w:val="24"/>
  </w:num>
  <w:num w:numId="7" w16cid:durableId="1468280694">
    <w:abstractNumId w:val="28"/>
  </w:num>
  <w:num w:numId="8" w16cid:durableId="293294024">
    <w:abstractNumId w:val="1"/>
  </w:num>
  <w:num w:numId="9" w16cid:durableId="97453405">
    <w:abstractNumId w:val="23"/>
  </w:num>
  <w:num w:numId="10" w16cid:durableId="1402756930">
    <w:abstractNumId w:val="22"/>
  </w:num>
  <w:num w:numId="11" w16cid:durableId="1022902250">
    <w:abstractNumId w:val="3"/>
  </w:num>
  <w:num w:numId="12" w16cid:durableId="28459119">
    <w:abstractNumId w:val="27"/>
  </w:num>
  <w:num w:numId="13" w16cid:durableId="7686237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253902495">
    <w:abstractNumId w:val="9"/>
  </w:num>
  <w:num w:numId="15" w16cid:durableId="1738480529">
    <w:abstractNumId w:val="15"/>
  </w:num>
  <w:num w:numId="16" w16cid:durableId="612829495">
    <w:abstractNumId w:val="8"/>
  </w:num>
  <w:num w:numId="17" w16cid:durableId="1575629560">
    <w:abstractNumId w:val="32"/>
  </w:num>
  <w:num w:numId="18" w16cid:durableId="234515270">
    <w:abstractNumId w:val="32"/>
  </w:num>
  <w:num w:numId="19" w16cid:durableId="1469013080">
    <w:abstractNumId w:val="9"/>
  </w:num>
  <w:num w:numId="20" w16cid:durableId="1359352332">
    <w:abstractNumId w:val="9"/>
  </w:num>
  <w:num w:numId="21" w16cid:durableId="639309501">
    <w:abstractNumId w:val="9"/>
  </w:num>
  <w:num w:numId="22" w16cid:durableId="748581391">
    <w:abstractNumId w:val="9"/>
  </w:num>
  <w:num w:numId="23" w16cid:durableId="568659417">
    <w:abstractNumId w:val="9"/>
  </w:num>
  <w:num w:numId="24" w16cid:durableId="1278416349">
    <w:abstractNumId w:val="9"/>
  </w:num>
  <w:num w:numId="25" w16cid:durableId="1523470280">
    <w:abstractNumId w:val="9"/>
  </w:num>
  <w:num w:numId="26" w16cid:durableId="1576470757">
    <w:abstractNumId w:val="26"/>
  </w:num>
  <w:num w:numId="27" w16cid:durableId="1884322816">
    <w:abstractNumId w:val="2"/>
  </w:num>
  <w:num w:numId="28" w16cid:durableId="1983196772">
    <w:abstractNumId w:val="31"/>
  </w:num>
  <w:num w:numId="29" w16cid:durableId="890923878">
    <w:abstractNumId w:val="17"/>
  </w:num>
  <w:num w:numId="30" w16cid:durableId="895240872">
    <w:abstractNumId w:val="34"/>
  </w:num>
  <w:num w:numId="31" w16cid:durableId="987633666">
    <w:abstractNumId w:val="30"/>
  </w:num>
  <w:num w:numId="32" w16cid:durableId="707947073">
    <w:abstractNumId w:val="16"/>
  </w:num>
  <w:num w:numId="33" w16cid:durableId="1013611477">
    <w:abstractNumId w:val="11"/>
  </w:num>
  <w:num w:numId="34" w16cid:durableId="1372652923">
    <w:abstractNumId w:val="7"/>
  </w:num>
  <w:num w:numId="35" w16cid:durableId="124278116">
    <w:abstractNumId w:val="19"/>
  </w:num>
  <w:num w:numId="36" w16cid:durableId="1172405616">
    <w:abstractNumId w:val="18"/>
  </w:num>
  <w:num w:numId="37" w16cid:durableId="491288597">
    <w:abstractNumId w:val="6"/>
  </w:num>
  <w:num w:numId="38" w16cid:durableId="1803882011">
    <w:abstractNumId w:val="13"/>
  </w:num>
  <w:num w:numId="39" w16cid:durableId="1182204931">
    <w:abstractNumId w:val="21"/>
  </w:num>
  <w:num w:numId="40" w16cid:durableId="639382205">
    <w:abstractNumId w:val="29"/>
  </w:num>
  <w:num w:numId="41" w16cid:durableId="807280516">
    <w:abstractNumId w:val="12"/>
  </w:num>
  <w:num w:numId="42" w16cid:durableId="1050111507">
    <w:abstractNumId w:val="25"/>
  </w:num>
  <w:num w:numId="43" w16cid:durableId="305352982">
    <w:abstractNumId w:val="20"/>
  </w:num>
  <w:num w:numId="44" w16cid:durableId="12696585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14D91"/>
    <w:rsid w:val="00024083"/>
    <w:rsid w:val="000263EA"/>
    <w:rsid w:val="0003100A"/>
    <w:rsid w:val="0003329B"/>
    <w:rsid w:val="0003379E"/>
    <w:rsid w:val="000373CB"/>
    <w:rsid w:val="00043B49"/>
    <w:rsid w:val="00045BDA"/>
    <w:rsid w:val="00054742"/>
    <w:rsid w:val="00056213"/>
    <w:rsid w:val="00060DDC"/>
    <w:rsid w:val="000665A9"/>
    <w:rsid w:val="0007012E"/>
    <w:rsid w:val="000756E1"/>
    <w:rsid w:val="00096C59"/>
    <w:rsid w:val="000C011D"/>
    <w:rsid w:val="000C4CCA"/>
    <w:rsid w:val="000C5CFF"/>
    <w:rsid w:val="000D1805"/>
    <w:rsid w:val="000E364F"/>
    <w:rsid w:val="000E5C47"/>
    <w:rsid w:val="000E7013"/>
    <w:rsid w:val="000F4CD2"/>
    <w:rsid w:val="00100AD3"/>
    <w:rsid w:val="00101E2F"/>
    <w:rsid w:val="00102B45"/>
    <w:rsid w:val="0010417A"/>
    <w:rsid w:val="00105EB1"/>
    <w:rsid w:val="0011227F"/>
    <w:rsid w:val="00122430"/>
    <w:rsid w:val="00126C0D"/>
    <w:rsid w:val="00140CCF"/>
    <w:rsid w:val="0014304A"/>
    <w:rsid w:val="00156760"/>
    <w:rsid w:val="00160C41"/>
    <w:rsid w:val="00162520"/>
    <w:rsid w:val="0016750D"/>
    <w:rsid w:val="00175F89"/>
    <w:rsid w:val="001831D8"/>
    <w:rsid w:val="00192B40"/>
    <w:rsid w:val="001C0305"/>
    <w:rsid w:val="001C4C14"/>
    <w:rsid w:val="001E7775"/>
    <w:rsid w:val="001F16A0"/>
    <w:rsid w:val="001F5053"/>
    <w:rsid w:val="00206A3D"/>
    <w:rsid w:val="002073B3"/>
    <w:rsid w:val="002079A6"/>
    <w:rsid w:val="002205DC"/>
    <w:rsid w:val="0022764B"/>
    <w:rsid w:val="00227C93"/>
    <w:rsid w:val="0023055F"/>
    <w:rsid w:val="00240F68"/>
    <w:rsid w:val="002415FC"/>
    <w:rsid w:val="00243FC0"/>
    <w:rsid w:val="002703AF"/>
    <w:rsid w:val="00283242"/>
    <w:rsid w:val="00285A94"/>
    <w:rsid w:val="002917E9"/>
    <w:rsid w:val="00291AE3"/>
    <w:rsid w:val="002926B6"/>
    <w:rsid w:val="00296667"/>
    <w:rsid w:val="00296BE7"/>
    <w:rsid w:val="002A5E9B"/>
    <w:rsid w:val="002A7117"/>
    <w:rsid w:val="002C4C02"/>
    <w:rsid w:val="002D77CD"/>
    <w:rsid w:val="002F61FD"/>
    <w:rsid w:val="002F6615"/>
    <w:rsid w:val="00300AAC"/>
    <w:rsid w:val="00306D8E"/>
    <w:rsid w:val="00322AEB"/>
    <w:rsid w:val="00323DD7"/>
    <w:rsid w:val="00351259"/>
    <w:rsid w:val="00351F02"/>
    <w:rsid w:val="00360007"/>
    <w:rsid w:val="00363A05"/>
    <w:rsid w:val="00365B73"/>
    <w:rsid w:val="00375AAB"/>
    <w:rsid w:val="00375ADE"/>
    <w:rsid w:val="00383168"/>
    <w:rsid w:val="00384BC8"/>
    <w:rsid w:val="003866D3"/>
    <w:rsid w:val="00396568"/>
    <w:rsid w:val="003967E7"/>
    <w:rsid w:val="003B49B4"/>
    <w:rsid w:val="003E1B2E"/>
    <w:rsid w:val="003E2476"/>
    <w:rsid w:val="003E6540"/>
    <w:rsid w:val="003F282F"/>
    <w:rsid w:val="003F6E03"/>
    <w:rsid w:val="00401FFD"/>
    <w:rsid w:val="0040282B"/>
    <w:rsid w:val="004037B7"/>
    <w:rsid w:val="0041270F"/>
    <w:rsid w:val="004135F8"/>
    <w:rsid w:val="004176B7"/>
    <w:rsid w:val="00422962"/>
    <w:rsid w:val="0042394C"/>
    <w:rsid w:val="00436655"/>
    <w:rsid w:val="004503C9"/>
    <w:rsid w:val="00450603"/>
    <w:rsid w:val="004568DE"/>
    <w:rsid w:val="00466D68"/>
    <w:rsid w:val="00470E08"/>
    <w:rsid w:val="00473271"/>
    <w:rsid w:val="004903CC"/>
    <w:rsid w:val="00490C91"/>
    <w:rsid w:val="004B114F"/>
    <w:rsid w:val="004B11BF"/>
    <w:rsid w:val="004C0F9D"/>
    <w:rsid w:val="004D46A5"/>
    <w:rsid w:val="004F4F3A"/>
    <w:rsid w:val="00503620"/>
    <w:rsid w:val="00504A2A"/>
    <w:rsid w:val="00512270"/>
    <w:rsid w:val="005211E9"/>
    <w:rsid w:val="00526B49"/>
    <w:rsid w:val="005301E2"/>
    <w:rsid w:val="00533688"/>
    <w:rsid w:val="00541652"/>
    <w:rsid w:val="005505B6"/>
    <w:rsid w:val="005505F4"/>
    <w:rsid w:val="00552120"/>
    <w:rsid w:val="0055317A"/>
    <w:rsid w:val="005543D7"/>
    <w:rsid w:val="00555523"/>
    <w:rsid w:val="00562BE7"/>
    <w:rsid w:val="00574B1F"/>
    <w:rsid w:val="00593A5E"/>
    <w:rsid w:val="005A3859"/>
    <w:rsid w:val="005A5F50"/>
    <w:rsid w:val="005A6571"/>
    <w:rsid w:val="005A76C4"/>
    <w:rsid w:val="005B13F8"/>
    <w:rsid w:val="005C274A"/>
    <w:rsid w:val="005E2772"/>
    <w:rsid w:val="005E77E7"/>
    <w:rsid w:val="005F4C40"/>
    <w:rsid w:val="00606072"/>
    <w:rsid w:val="00606E3A"/>
    <w:rsid w:val="006527EA"/>
    <w:rsid w:val="006531B8"/>
    <w:rsid w:val="00655A2A"/>
    <w:rsid w:val="00666723"/>
    <w:rsid w:val="006747BB"/>
    <w:rsid w:val="006749C9"/>
    <w:rsid w:val="006842B5"/>
    <w:rsid w:val="00687138"/>
    <w:rsid w:val="00687EC1"/>
    <w:rsid w:val="006A162D"/>
    <w:rsid w:val="006A26CF"/>
    <w:rsid w:val="006A2DFE"/>
    <w:rsid w:val="006A6D3B"/>
    <w:rsid w:val="006B4362"/>
    <w:rsid w:val="006B4B6E"/>
    <w:rsid w:val="006C1ADF"/>
    <w:rsid w:val="006F0E7F"/>
    <w:rsid w:val="007074D2"/>
    <w:rsid w:val="0071078D"/>
    <w:rsid w:val="00710A37"/>
    <w:rsid w:val="00732179"/>
    <w:rsid w:val="007340AC"/>
    <w:rsid w:val="00742ECB"/>
    <w:rsid w:val="00747AFE"/>
    <w:rsid w:val="00747E13"/>
    <w:rsid w:val="00755EBF"/>
    <w:rsid w:val="00762D8F"/>
    <w:rsid w:val="00790218"/>
    <w:rsid w:val="00792321"/>
    <w:rsid w:val="007A15E7"/>
    <w:rsid w:val="007A581A"/>
    <w:rsid w:val="007A6D28"/>
    <w:rsid w:val="007B7B25"/>
    <w:rsid w:val="007C10DB"/>
    <w:rsid w:val="007C3BF8"/>
    <w:rsid w:val="007C53E9"/>
    <w:rsid w:val="007C7B96"/>
    <w:rsid w:val="007D640B"/>
    <w:rsid w:val="007D7FAF"/>
    <w:rsid w:val="007E3129"/>
    <w:rsid w:val="00803210"/>
    <w:rsid w:val="008335E8"/>
    <w:rsid w:val="00844A9A"/>
    <w:rsid w:val="00851F46"/>
    <w:rsid w:val="00860441"/>
    <w:rsid w:val="008756FD"/>
    <w:rsid w:val="008765C8"/>
    <w:rsid w:val="00881CEB"/>
    <w:rsid w:val="00886A14"/>
    <w:rsid w:val="00892E04"/>
    <w:rsid w:val="008A2C6E"/>
    <w:rsid w:val="008B3A11"/>
    <w:rsid w:val="008D2E0E"/>
    <w:rsid w:val="009056CD"/>
    <w:rsid w:val="0090649E"/>
    <w:rsid w:val="00907D11"/>
    <w:rsid w:val="00911846"/>
    <w:rsid w:val="009119AC"/>
    <w:rsid w:val="009176BE"/>
    <w:rsid w:val="00921C69"/>
    <w:rsid w:val="00923339"/>
    <w:rsid w:val="00925929"/>
    <w:rsid w:val="0092778D"/>
    <w:rsid w:val="009316BD"/>
    <w:rsid w:val="00934CEE"/>
    <w:rsid w:val="0095614F"/>
    <w:rsid w:val="0096479A"/>
    <w:rsid w:val="0096538F"/>
    <w:rsid w:val="009743F8"/>
    <w:rsid w:val="00974844"/>
    <w:rsid w:val="0098131A"/>
    <w:rsid w:val="00982565"/>
    <w:rsid w:val="0099162E"/>
    <w:rsid w:val="00993969"/>
    <w:rsid w:val="009A50B5"/>
    <w:rsid w:val="009B1276"/>
    <w:rsid w:val="009C0D51"/>
    <w:rsid w:val="009C7D9F"/>
    <w:rsid w:val="009E4365"/>
    <w:rsid w:val="009E6E06"/>
    <w:rsid w:val="00A01676"/>
    <w:rsid w:val="00A01E93"/>
    <w:rsid w:val="00A07FA8"/>
    <w:rsid w:val="00A1066D"/>
    <w:rsid w:val="00A16B64"/>
    <w:rsid w:val="00A214D7"/>
    <w:rsid w:val="00A23180"/>
    <w:rsid w:val="00A26A3D"/>
    <w:rsid w:val="00A411BA"/>
    <w:rsid w:val="00A52F7A"/>
    <w:rsid w:val="00A55A3C"/>
    <w:rsid w:val="00A66734"/>
    <w:rsid w:val="00A67254"/>
    <w:rsid w:val="00A90A9E"/>
    <w:rsid w:val="00AC172D"/>
    <w:rsid w:val="00AC1D13"/>
    <w:rsid w:val="00AC24D7"/>
    <w:rsid w:val="00AC3731"/>
    <w:rsid w:val="00AD4601"/>
    <w:rsid w:val="00AF1970"/>
    <w:rsid w:val="00AF5AEF"/>
    <w:rsid w:val="00B07CFF"/>
    <w:rsid w:val="00B11F2A"/>
    <w:rsid w:val="00B17993"/>
    <w:rsid w:val="00B20400"/>
    <w:rsid w:val="00B43B7F"/>
    <w:rsid w:val="00B51E33"/>
    <w:rsid w:val="00B70A57"/>
    <w:rsid w:val="00B80665"/>
    <w:rsid w:val="00B859B5"/>
    <w:rsid w:val="00B90A7E"/>
    <w:rsid w:val="00BA00BC"/>
    <w:rsid w:val="00BA1C91"/>
    <w:rsid w:val="00BB65EC"/>
    <w:rsid w:val="00BC1BDA"/>
    <w:rsid w:val="00BC282F"/>
    <w:rsid w:val="00BD13B3"/>
    <w:rsid w:val="00BE6DE7"/>
    <w:rsid w:val="00C06206"/>
    <w:rsid w:val="00C147AD"/>
    <w:rsid w:val="00C16475"/>
    <w:rsid w:val="00C1750D"/>
    <w:rsid w:val="00C17E73"/>
    <w:rsid w:val="00C26B59"/>
    <w:rsid w:val="00C36430"/>
    <w:rsid w:val="00C37AB7"/>
    <w:rsid w:val="00C42B3C"/>
    <w:rsid w:val="00C45AD2"/>
    <w:rsid w:val="00C468F0"/>
    <w:rsid w:val="00C5535D"/>
    <w:rsid w:val="00C55767"/>
    <w:rsid w:val="00C665B0"/>
    <w:rsid w:val="00C83A99"/>
    <w:rsid w:val="00CB2285"/>
    <w:rsid w:val="00CB4E6D"/>
    <w:rsid w:val="00CB77A0"/>
    <w:rsid w:val="00CC2C67"/>
    <w:rsid w:val="00CC3CE9"/>
    <w:rsid w:val="00CC5330"/>
    <w:rsid w:val="00CC5B8D"/>
    <w:rsid w:val="00CD3D13"/>
    <w:rsid w:val="00CD7711"/>
    <w:rsid w:val="00CE591F"/>
    <w:rsid w:val="00D024B3"/>
    <w:rsid w:val="00D03E39"/>
    <w:rsid w:val="00D05087"/>
    <w:rsid w:val="00D0541F"/>
    <w:rsid w:val="00D26ED0"/>
    <w:rsid w:val="00D36C11"/>
    <w:rsid w:val="00D371BF"/>
    <w:rsid w:val="00D435B8"/>
    <w:rsid w:val="00D57545"/>
    <w:rsid w:val="00D63737"/>
    <w:rsid w:val="00D920B4"/>
    <w:rsid w:val="00DC0AC9"/>
    <w:rsid w:val="00DC764A"/>
    <w:rsid w:val="00DD0A74"/>
    <w:rsid w:val="00DF0EF0"/>
    <w:rsid w:val="00DF2746"/>
    <w:rsid w:val="00DF54FB"/>
    <w:rsid w:val="00DF63DA"/>
    <w:rsid w:val="00E0201E"/>
    <w:rsid w:val="00E031B7"/>
    <w:rsid w:val="00E0782C"/>
    <w:rsid w:val="00E21CE6"/>
    <w:rsid w:val="00E33D33"/>
    <w:rsid w:val="00E44677"/>
    <w:rsid w:val="00E57BDF"/>
    <w:rsid w:val="00E60AF8"/>
    <w:rsid w:val="00E7058F"/>
    <w:rsid w:val="00E7547F"/>
    <w:rsid w:val="00E81109"/>
    <w:rsid w:val="00E81A4C"/>
    <w:rsid w:val="00E92EA1"/>
    <w:rsid w:val="00E93351"/>
    <w:rsid w:val="00EB60F2"/>
    <w:rsid w:val="00EC4230"/>
    <w:rsid w:val="00EE06F4"/>
    <w:rsid w:val="00EE6934"/>
    <w:rsid w:val="00EF7426"/>
    <w:rsid w:val="00F03221"/>
    <w:rsid w:val="00F056C0"/>
    <w:rsid w:val="00F071D6"/>
    <w:rsid w:val="00F161D3"/>
    <w:rsid w:val="00F17DF0"/>
    <w:rsid w:val="00F338E5"/>
    <w:rsid w:val="00F4043D"/>
    <w:rsid w:val="00F44CD3"/>
    <w:rsid w:val="00F45456"/>
    <w:rsid w:val="00F60A3C"/>
    <w:rsid w:val="00F643B9"/>
    <w:rsid w:val="00F8233C"/>
    <w:rsid w:val="00F82CF5"/>
    <w:rsid w:val="00F956BE"/>
    <w:rsid w:val="00FA2321"/>
    <w:rsid w:val="00FA6F10"/>
    <w:rsid w:val="00FA77D1"/>
    <w:rsid w:val="00FB65EE"/>
    <w:rsid w:val="00FC0122"/>
    <w:rsid w:val="00FC1874"/>
    <w:rsid w:val="00FC4F03"/>
    <w:rsid w:val="00FC53FA"/>
    <w:rsid w:val="00FD26CC"/>
    <w:rsid w:val="00FD46DA"/>
    <w:rsid w:val="00FD55C7"/>
    <w:rsid w:val="00FD7AC1"/>
    <w:rsid w:val="00FE22C3"/>
    <w:rsid w:val="00FF1AB7"/>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CBF06E"/>
  <w14:defaultImageDpi w14:val="33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character" w:customStyle="1" w:styleId="UnresolvedMention2">
    <w:name w:val="Unresolved Mention2"/>
    <w:basedOn w:val="DefaultParagraphFont"/>
    <w:uiPriority w:val="99"/>
    <w:semiHidden/>
    <w:unhideWhenUsed/>
    <w:rsid w:val="005543D7"/>
    <w:rPr>
      <w:color w:val="605E5C"/>
      <w:shd w:val="clear" w:color="auto" w:fill="E1DFDD"/>
    </w:rPr>
  </w:style>
  <w:style w:type="character" w:styleId="Emphasis">
    <w:name w:val="Emphasis"/>
    <w:basedOn w:val="DefaultParagraphFont"/>
    <w:uiPriority w:val="20"/>
    <w:qFormat/>
    <w:rsid w:val="007A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3581">
      <w:bodyDiv w:val="1"/>
      <w:marLeft w:val="0"/>
      <w:marRight w:val="0"/>
      <w:marTop w:val="0"/>
      <w:marBottom w:val="0"/>
      <w:divBdr>
        <w:top w:val="none" w:sz="0" w:space="0" w:color="auto"/>
        <w:left w:val="none" w:sz="0" w:space="0" w:color="auto"/>
        <w:bottom w:val="none" w:sz="0" w:space="0" w:color="auto"/>
        <w:right w:val="none" w:sz="0" w:space="0" w:color="auto"/>
      </w:divBdr>
    </w:div>
    <w:div w:id="92671412">
      <w:bodyDiv w:val="1"/>
      <w:marLeft w:val="0"/>
      <w:marRight w:val="0"/>
      <w:marTop w:val="0"/>
      <w:marBottom w:val="0"/>
      <w:divBdr>
        <w:top w:val="none" w:sz="0" w:space="0" w:color="auto"/>
        <w:left w:val="none" w:sz="0" w:space="0" w:color="auto"/>
        <w:bottom w:val="none" w:sz="0" w:space="0" w:color="auto"/>
        <w:right w:val="none" w:sz="0" w:space="0" w:color="auto"/>
      </w:divBdr>
    </w:div>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142237017">
      <w:bodyDiv w:val="1"/>
      <w:marLeft w:val="0"/>
      <w:marRight w:val="0"/>
      <w:marTop w:val="0"/>
      <w:marBottom w:val="0"/>
      <w:divBdr>
        <w:top w:val="none" w:sz="0" w:space="0" w:color="auto"/>
        <w:left w:val="none" w:sz="0" w:space="0" w:color="auto"/>
        <w:bottom w:val="none" w:sz="0" w:space="0" w:color="auto"/>
        <w:right w:val="none" w:sz="0" w:space="0" w:color="auto"/>
      </w:divBdr>
    </w:div>
    <w:div w:id="302546114">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476458559">
      <w:bodyDiv w:val="1"/>
      <w:marLeft w:val="0"/>
      <w:marRight w:val="0"/>
      <w:marTop w:val="0"/>
      <w:marBottom w:val="0"/>
      <w:divBdr>
        <w:top w:val="none" w:sz="0" w:space="0" w:color="auto"/>
        <w:left w:val="none" w:sz="0" w:space="0" w:color="auto"/>
        <w:bottom w:val="none" w:sz="0" w:space="0" w:color="auto"/>
        <w:right w:val="none" w:sz="0" w:space="0" w:color="auto"/>
      </w:divBdr>
      <w:divsChild>
        <w:div w:id="236398632">
          <w:marLeft w:val="0"/>
          <w:marRight w:val="0"/>
          <w:marTop w:val="0"/>
          <w:marBottom w:val="0"/>
          <w:divBdr>
            <w:top w:val="none" w:sz="0" w:space="0" w:color="auto"/>
            <w:left w:val="none" w:sz="0" w:space="0" w:color="auto"/>
            <w:bottom w:val="none" w:sz="0" w:space="0" w:color="auto"/>
            <w:right w:val="none" w:sz="0" w:space="0" w:color="auto"/>
          </w:divBdr>
          <w:divsChild>
            <w:div w:id="970743822">
              <w:marLeft w:val="0"/>
              <w:marRight w:val="0"/>
              <w:marTop w:val="0"/>
              <w:marBottom w:val="0"/>
              <w:divBdr>
                <w:top w:val="none" w:sz="0" w:space="0" w:color="auto"/>
                <w:left w:val="none" w:sz="0" w:space="0" w:color="auto"/>
                <w:bottom w:val="none" w:sz="0" w:space="0" w:color="auto"/>
                <w:right w:val="none" w:sz="0" w:space="0" w:color="auto"/>
              </w:divBdr>
              <w:divsChild>
                <w:div w:id="235172096">
                  <w:marLeft w:val="0"/>
                  <w:marRight w:val="0"/>
                  <w:marTop w:val="0"/>
                  <w:marBottom w:val="0"/>
                  <w:divBdr>
                    <w:top w:val="none" w:sz="0" w:space="0" w:color="auto"/>
                    <w:left w:val="none" w:sz="0" w:space="0" w:color="auto"/>
                    <w:bottom w:val="none" w:sz="0" w:space="0" w:color="auto"/>
                    <w:right w:val="none" w:sz="0" w:space="0" w:color="auto"/>
                  </w:divBdr>
                  <w:divsChild>
                    <w:div w:id="20600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90086">
      <w:bodyDiv w:val="1"/>
      <w:marLeft w:val="0"/>
      <w:marRight w:val="0"/>
      <w:marTop w:val="0"/>
      <w:marBottom w:val="0"/>
      <w:divBdr>
        <w:top w:val="none" w:sz="0" w:space="0" w:color="auto"/>
        <w:left w:val="none" w:sz="0" w:space="0" w:color="auto"/>
        <w:bottom w:val="none" w:sz="0" w:space="0" w:color="auto"/>
        <w:right w:val="none" w:sz="0" w:space="0" w:color="auto"/>
      </w:divBdr>
    </w:div>
    <w:div w:id="688607062">
      <w:bodyDiv w:val="1"/>
      <w:marLeft w:val="0"/>
      <w:marRight w:val="0"/>
      <w:marTop w:val="0"/>
      <w:marBottom w:val="0"/>
      <w:divBdr>
        <w:top w:val="none" w:sz="0" w:space="0" w:color="auto"/>
        <w:left w:val="none" w:sz="0" w:space="0" w:color="auto"/>
        <w:bottom w:val="none" w:sz="0" w:space="0" w:color="auto"/>
        <w:right w:val="none" w:sz="0" w:space="0" w:color="auto"/>
      </w:divBdr>
    </w:div>
    <w:div w:id="1383596807">
      <w:bodyDiv w:val="1"/>
      <w:marLeft w:val="0"/>
      <w:marRight w:val="0"/>
      <w:marTop w:val="0"/>
      <w:marBottom w:val="0"/>
      <w:divBdr>
        <w:top w:val="none" w:sz="0" w:space="0" w:color="auto"/>
        <w:left w:val="none" w:sz="0" w:space="0" w:color="auto"/>
        <w:bottom w:val="none" w:sz="0" w:space="0" w:color="auto"/>
        <w:right w:val="none" w:sz="0" w:space="0" w:color="auto"/>
      </w:divBdr>
    </w:div>
    <w:div w:id="1469006631">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g.nguyen@hhi.fraunhof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tu.int/wftp3/av-arch/video-site/2501_Gen/T25-SG21-TD-WP3-068-BWC-CTC.docx" TargetMode="External"/><Relationship Id="rId4" Type="http://schemas.openxmlformats.org/officeDocument/2006/relationships/settings" Target="settings.xml"/><Relationship Id="rId9" Type="http://schemas.openxmlformats.org/officeDocument/2006/relationships/hyperlink" Target="https://vcgit.hhi.fraunhofer.de/vceg-sw/bwc/-/t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0AD4-66FC-4231-8A08-F4ED52F9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1430</Words>
  <Characters>8155</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Proposal for replacement of DST-II by DST-IV in biomedical waveform coding</vt:lpstr>
      <vt:lpstr>Proposal for replacement of DST-II by DST-IV in biomedical waveform coding</vt:lpstr>
    </vt:vector>
  </TitlesOfParts>
  <Company>Audio Research Labs</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replacement of DST-II by DST-IV in biomedical waveform coding</dc:title>
  <dc:creator>Christian Helmrich</dc:creator>
  <cp:lastModifiedBy>-v2</cp:lastModifiedBy>
  <cp:revision>144</cp:revision>
  <cp:lastPrinted>2025-03-21T14:59:00Z</cp:lastPrinted>
  <dcterms:created xsi:type="dcterms:W3CDTF">2025-03-18T10:51:00Z</dcterms:created>
  <dcterms:modified xsi:type="dcterms:W3CDTF">2025-03-25T02:02:00Z</dcterms:modified>
</cp:coreProperties>
</file>