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08" w:type="dxa"/>
        <w:tblLook w:val="0000" w:firstRow="0" w:lastRow="0" w:firstColumn="0" w:lastColumn="0" w:noHBand="0" w:noVBand="0"/>
      </w:tblPr>
      <w:tblGrid>
        <w:gridCol w:w="6155"/>
        <w:gridCol w:w="3200"/>
      </w:tblGrid>
      <w:tr w:rsidR="001741F2" w:rsidRPr="00974844" w14:paraId="21E4B7B1" w14:textId="77777777" w:rsidTr="001741F2">
        <w:tc>
          <w:tcPr>
            <w:tcW w:w="6155" w:type="dxa"/>
          </w:tcPr>
          <w:p w14:paraId="5C17817B" w14:textId="77777777" w:rsidR="001741F2" w:rsidRPr="00974844" w:rsidRDefault="001741F2" w:rsidP="00BD1935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MACROBUTTON MTEditEquationSection2 </w:instrText>
            </w:r>
            <w:r w:rsidRPr="00974844">
              <w:rPr>
                <w:rFonts w:eastAsia="Arial Unicode MS"/>
                <w:b/>
                <w:vanish/>
                <w:color w:val="FF0000"/>
                <w:kern w:val="2"/>
                <w:lang w:val="en-CA" w:eastAsia="zh-CN"/>
              </w:rPr>
              <w:instrText>Equation Chapter 1 Section 1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MTEqn \r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MTSec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MTChap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t>ITU - Telecommunications Standardization Sector</w:t>
            </w:r>
          </w:p>
          <w:p w14:paraId="0CCF3BC8" w14:textId="77777777" w:rsidR="001741F2" w:rsidRPr="00974844" w:rsidRDefault="001741F2" w:rsidP="00BD1935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STUDY GROUP 16 Question 6</w:t>
            </w:r>
          </w:p>
          <w:p w14:paraId="053510F2" w14:textId="77777777" w:rsidR="001741F2" w:rsidRPr="00AE3A86" w:rsidRDefault="001741F2" w:rsidP="00BD1935">
            <w:pPr>
              <w:widowControl w:val="0"/>
              <w:pBdr>
                <w:bottom w:val="single" w:sz="6" w:space="1" w:color="auto"/>
              </w:pBdr>
              <w:tabs>
                <w:tab w:val="left" w:pos="7200"/>
              </w:tabs>
              <w:rPr>
                <w:rFonts w:eastAsia="Arial Unicode MS"/>
                <w:b/>
                <w:kern w:val="2"/>
                <w:sz w:val="22"/>
                <w:lang w:eastAsia="zh-CN"/>
              </w:rPr>
            </w:pPr>
            <w:r w:rsidRPr="00AE3A86">
              <w:rPr>
                <w:rFonts w:eastAsia="Arial Unicode MS"/>
                <w:b/>
                <w:kern w:val="2"/>
                <w:sz w:val="22"/>
                <w:lang w:eastAsia="zh-CN"/>
              </w:rPr>
              <w:t>Video Coding Experts Group (VCEG)</w:t>
            </w:r>
          </w:p>
          <w:p w14:paraId="5FD7CA9C" w14:textId="77777777" w:rsidR="001741F2" w:rsidRPr="00974844" w:rsidRDefault="001741F2" w:rsidP="00BD1935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5</w:t>
            </w:r>
            <w:r>
              <w:rPr>
                <w:rFonts w:eastAsia="Arial Unicode MS"/>
                <w:kern w:val="2"/>
                <w:lang w:val="en-CA" w:eastAsia="zh-CN"/>
              </w:rPr>
              <w:t>2</w:t>
            </w:r>
            <w:r>
              <w:rPr>
                <w:rFonts w:eastAsia="Arial Unicode MS"/>
                <w:kern w:val="2"/>
                <w:vertAlign w:val="superscript"/>
                <w:lang w:val="en-CA" w:eastAsia="ja-JP"/>
              </w:rPr>
              <w:t>nd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Meeting: 1</w:t>
            </w:r>
            <w:r>
              <w:rPr>
                <w:rFonts w:eastAsia="Arial Unicode MS"/>
                <w:kern w:val="2"/>
                <w:lang w:val="en-CA" w:eastAsia="zh-CN"/>
              </w:rPr>
              <w:t>9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>–2</w:t>
            </w:r>
            <w:r>
              <w:rPr>
                <w:rFonts w:eastAsia="Arial Unicode MS"/>
                <w:kern w:val="2"/>
                <w:lang w:val="en-CA" w:eastAsia="zh-CN"/>
              </w:rPr>
              <w:t>6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</w:t>
            </w:r>
            <w:r>
              <w:rPr>
                <w:rFonts w:eastAsia="Arial Unicode MS"/>
                <w:kern w:val="2"/>
                <w:lang w:val="en-CA" w:eastAsia="zh-CN"/>
              </w:rPr>
              <w:t>June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201</w:t>
            </w:r>
            <w:r>
              <w:rPr>
                <w:rFonts w:eastAsia="Arial Unicode MS"/>
                <w:kern w:val="2"/>
                <w:lang w:val="en-CA" w:eastAsia="zh-CN"/>
              </w:rPr>
              <w:t>5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>
              <w:rPr>
                <w:rFonts w:eastAsia="Arial Unicode MS"/>
                <w:kern w:val="2"/>
                <w:lang w:val="en-CA" w:eastAsia="zh-CN"/>
              </w:rPr>
              <w:t>Warsaw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>
              <w:rPr>
                <w:rFonts w:eastAsia="Arial Unicode MS"/>
                <w:kern w:val="2"/>
                <w:lang w:val="en-CA" w:eastAsia="zh-CN"/>
              </w:rPr>
              <w:t>Poland</w:t>
            </w:r>
          </w:p>
        </w:tc>
        <w:tc>
          <w:tcPr>
            <w:tcW w:w="3200" w:type="dxa"/>
          </w:tcPr>
          <w:p w14:paraId="7484B370" w14:textId="10CCF103" w:rsidR="001741F2" w:rsidRPr="00974844" w:rsidRDefault="001741F2" w:rsidP="00037F37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ja-JP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Document  VCEG-A</w:t>
            </w:r>
            <w:r>
              <w:rPr>
                <w:rFonts w:eastAsia="Arial Unicode MS"/>
                <w:kern w:val="2"/>
                <w:lang w:val="en-CA" w:eastAsia="zh-CN"/>
              </w:rPr>
              <w:t>Z0</w:t>
            </w:r>
            <w:r w:rsidR="00037F37">
              <w:rPr>
                <w:rFonts w:eastAsia="Arial Unicode MS"/>
                <w:kern w:val="2"/>
                <w:lang w:val="en-CA" w:eastAsia="zh-CN"/>
              </w:rPr>
              <w:t>6</w:t>
            </w:r>
          </w:p>
        </w:tc>
      </w:tr>
    </w:tbl>
    <w:p w14:paraId="5E67B945" w14:textId="77777777" w:rsidR="001741F2" w:rsidRPr="00974844" w:rsidRDefault="001741F2" w:rsidP="001741F2">
      <w:pPr>
        <w:jc w:val="center"/>
        <w:rPr>
          <w:b/>
          <w:sz w:val="28"/>
          <w:szCs w:val="28"/>
          <w:lang w:val="en-CA"/>
        </w:rPr>
      </w:pPr>
    </w:p>
    <w:p w14:paraId="4C3B8034" w14:textId="77777777" w:rsidR="001741F2" w:rsidRDefault="001741F2" w:rsidP="001741F2">
      <w:pPr>
        <w:spacing w:line="240" w:lineRule="exact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42"/>
        <w:gridCol w:w="3708"/>
        <w:gridCol w:w="900"/>
        <w:gridCol w:w="3897"/>
      </w:tblGrid>
      <w:tr w:rsidR="001741F2" w:rsidRPr="00974844" w14:paraId="1ECD704E" w14:textId="77777777" w:rsidTr="00BD1935">
        <w:tc>
          <w:tcPr>
            <w:tcW w:w="1242" w:type="dxa"/>
          </w:tcPr>
          <w:p w14:paraId="21B23990" w14:textId="77777777" w:rsidR="001741F2" w:rsidRPr="0097484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Question:</w:t>
            </w:r>
          </w:p>
        </w:tc>
        <w:tc>
          <w:tcPr>
            <w:tcW w:w="8505" w:type="dxa"/>
            <w:gridSpan w:val="3"/>
          </w:tcPr>
          <w:p w14:paraId="4D5707A7" w14:textId="77777777" w:rsidR="001741F2" w:rsidRPr="00F80A3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F80A3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Q.6/SG16 (VCEG)</w:t>
            </w:r>
          </w:p>
        </w:tc>
      </w:tr>
      <w:tr w:rsidR="001741F2" w:rsidRPr="00974844" w14:paraId="0A2BA1EA" w14:textId="77777777" w:rsidTr="00AA41EF">
        <w:tc>
          <w:tcPr>
            <w:tcW w:w="1242" w:type="dxa"/>
          </w:tcPr>
          <w:p w14:paraId="4A5A239F" w14:textId="77777777" w:rsidR="001741F2" w:rsidRPr="0097484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Source:</w:t>
            </w:r>
          </w:p>
        </w:tc>
        <w:tc>
          <w:tcPr>
            <w:tcW w:w="3708" w:type="dxa"/>
          </w:tcPr>
          <w:p w14:paraId="7F1568F1" w14:textId="77777777" w:rsidR="001741F2" w:rsidRPr="00AA41EF" w:rsidRDefault="001741F2" w:rsidP="00BD1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b/>
                <w:lang w:val="en-GB" w:eastAsia="ja-JP"/>
              </w:rPr>
            </w:pPr>
            <w:r w:rsidRPr="00AA41EF">
              <w:rPr>
                <w:b/>
                <w:lang w:val="en-GB" w:eastAsia="ja-JP"/>
              </w:rPr>
              <w:t>Qualcomm Incorporated</w:t>
            </w:r>
          </w:p>
        </w:tc>
        <w:tc>
          <w:tcPr>
            <w:tcW w:w="900" w:type="dxa"/>
          </w:tcPr>
          <w:p w14:paraId="7367F21D" w14:textId="77777777" w:rsidR="001741F2" w:rsidRPr="00F80A3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F80A34">
              <w:rPr>
                <w:rFonts w:eastAsia="SimSun"/>
                <w:kern w:val="2"/>
                <w:sz w:val="22"/>
                <w:szCs w:val="22"/>
                <w:lang w:eastAsia="zh-CN"/>
              </w:rPr>
              <w:t>Tel:</w:t>
            </w:r>
          </w:p>
          <w:p w14:paraId="75C03972" w14:textId="77777777" w:rsidR="001741F2" w:rsidRPr="00F80A3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F80A34">
              <w:rPr>
                <w:rFonts w:eastAsia="SimSun"/>
                <w:kern w:val="2"/>
                <w:sz w:val="22"/>
                <w:szCs w:val="22"/>
                <w:lang w:eastAsia="zh-CN"/>
              </w:rPr>
              <w:t>Email:</w:t>
            </w:r>
          </w:p>
        </w:tc>
        <w:tc>
          <w:tcPr>
            <w:tcW w:w="3897" w:type="dxa"/>
          </w:tcPr>
          <w:p w14:paraId="6CE62CA9" w14:textId="77777777" w:rsidR="004963BD" w:rsidRDefault="003928C1" w:rsidP="003928C1">
            <w:pPr>
              <w:spacing w:before="120"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1-858-6512680</w:t>
            </w:r>
          </w:p>
          <w:p w14:paraId="5A46BF8D" w14:textId="04BF156F" w:rsidR="0084435F" w:rsidRDefault="0084435F" w:rsidP="0084435F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hyperlink r:id="rId8" w:history="1">
              <w:r w:rsidRPr="00543067">
                <w:rPr>
                  <w:rStyle w:val="Hyperlink"/>
                  <w:rFonts w:eastAsia="SimSun"/>
                  <w:kern w:val="2"/>
                  <w:sz w:val="22"/>
                  <w:szCs w:val="22"/>
                  <w:lang w:eastAsia="zh-CN"/>
                </w:rPr>
                <w:t>hongbinl@qti.qualcomm.com</w:t>
              </w:r>
            </w:hyperlink>
          </w:p>
          <w:p w14:paraId="4CF911C5" w14:textId="195CF379" w:rsidR="0084435F" w:rsidRPr="00F80A34" w:rsidRDefault="0084435F" w:rsidP="0084435F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hyperlink r:id="rId9" w:history="1">
              <w:r w:rsidRPr="00543067">
                <w:rPr>
                  <w:rStyle w:val="Hyperlink"/>
                  <w:rFonts w:eastAsia="SimSun"/>
                  <w:kern w:val="2"/>
                  <w:sz w:val="22"/>
                  <w:szCs w:val="22"/>
                  <w:lang w:eastAsia="zh-CN"/>
                </w:rPr>
                <w:t>cjianle@qti.qualcomm.com</w:t>
              </w:r>
            </w:hyperlink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1741F2" w:rsidRPr="00974844" w14:paraId="5AFE23D3" w14:textId="77777777" w:rsidTr="00BD1935">
        <w:tc>
          <w:tcPr>
            <w:tcW w:w="1242" w:type="dxa"/>
          </w:tcPr>
          <w:p w14:paraId="46EF3E56" w14:textId="77777777" w:rsidR="001741F2" w:rsidRPr="0097484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Title:</w:t>
            </w:r>
          </w:p>
        </w:tc>
        <w:tc>
          <w:tcPr>
            <w:tcW w:w="8505" w:type="dxa"/>
            <w:gridSpan w:val="3"/>
          </w:tcPr>
          <w:p w14:paraId="63374926" w14:textId="7EC0532B" w:rsidR="001741F2" w:rsidRPr="00AA41EF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AA41EF">
              <w:rPr>
                <w:b/>
              </w:rPr>
              <w:t>Local Illumination Compensation</w:t>
            </w:r>
          </w:p>
        </w:tc>
      </w:tr>
      <w:tr w:rsidR="001741F2" w:rsidRPr="00974844" w14:paraId="2269A6DF" w14:textId="77777777" w:rsidTr="00BD1935">
        <w:tc>
          <w:tcPr>
            <w:tcW w:w="1242" w:type="dxa"/>
          </w:tcPr>
          <w:p w14:paraId="62B13A81" w14:textId="77777777" w:rsidR="001741F2" w:rsidRPr="0097484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kern w:val="2"/>
                <w:sz w:val="22"/>
                <w:szCs w:val="22"/>
                <w:lang w:eastAsia="zh-CN"/>
              </w:rPr>
              <w:t>Authors:</w:t>
            </w:r>
          </w:p>
        </w:tc>
        <w:tc>
          <w:tcPr>
            <w:tcW w:w="8505" w:type="dxa"/>
            <w:gridSpan w:val="3"/>
          </w:tcPr>
          <w:p w14:paraId="5A73AABB" w14:textId="3210D07B" w:rsidR="001741F2" w:rsidRPr="001741F2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bCs/>
                <w:lang w:val="en-CA"/>
              </w:rPr>
            </w:pPr>
            <w:r w:rsidRPr="00B771DF">
              <w:rPr>
                <w:bCs/>
                <w:lang w:val="en-CA"/>
              </w:rPr>
              <w:t xml:space="preserve">H. Liu, </w:t>
            </w:r>
            <w:r>
              <w:rPr>
                <w:bCs/>
                <w:lang w:val="en-CA"/>
              </w:rPr>
              <w:t xml:space="preserve">Y. Chen, J. Chen, </w:t>
            </w:r>
            <w:r w:rsidR="00585E7B">
              <w:rPr>
                <w:bCs/>
                <w:lang w:val="en-CA"/>
              </w:rPr>
              <w:t xml:space="preserve">L. Zhang, </w:t>
            </w:r>
            <w:r w:rsidRPr="00B771DF">
              <w:rPr>
                <w:bCs/>
                <w:lang w:val="en-CA"/>
              </w:rPr>
              <w:t>M. Karczewicz</w:t>
            </w:r>
          </w:p>
        </w:tc>
      </w:tr>
      <w:tr w:rsidR="001741F2" w:rsidRPr="00974844" w14:paraId="07176242" w14:textId="77777777" w:rsidTr="00BD1935">
        <w:tc>
          <w:tcPr>
            <w:tcW w:w="1242" w:type="dxa"/>
          </w:tcPr>
          <w:p w14:paraId="4A3371CF" w14:textId="77777777" w:rsidR="001741F2" w:rsidRPr="0097484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Purpose:</w:t>
            </w:r>
          </w:p>
        </w:tc>
        <w:tc>
          <w:tcPr>
            <w:tcW w:w="8505" w:type="dxa"/>
            <w:gridSpan w:val="3"/>
          </w:tcPr>
          <w:p w14:paraId="32A1DFE7" w14:textId="77777777" w:rsidR="001741F2" w:rsidRPr="00F80A34" w:rsidRDefault="001741F2" w:rsidP="00BD1935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F80A34">
              <w:rPr>
                <w:bCs/>
                <w:lang w:val="en-CA"/>
              </w:rPr>
              <w:t>Proposal</w:t>
            </w:r>
          </w:p>
        </w:tc>
      </w:tr>
    </w:tbl>
    <w:p w14:paraId="27214071" w14:textId="77777777" w:rsidR="001741F2" w:rsidRPr="00974844" w:rsidRDefault="001741F2" w:rsidP="001741F2">
      <w:pPr>
        <w:widowControl w:val="0"/>
        <w:tabs>
          <w:tab w:val="left" w:pos="1800"/>
          <w:tab w:val="right" w:pos="9360"/>
        </w:tabs>
        <w:spacing w:before="120" w:after="240"/>
        <w:jc w:val="center"/>
        <w:rPr>
          <w:rFonts w:eastAsia="Arial Unicode MS"/>
          <w:kern w:val="2"/>
          <w:sz w:val="21"/>
          <w:lang w:eastAsia="ja-JP"/>
        </w:rPr>
      </w:pPr>
      <w:r w:rsidRPr="00974844">
        <w:rPr>
          <w:rFonts w:eastAsia="Arial Unicode MS"/>
          <w:kern w:val="2"/>
          <w:sz w:val="21"/>
          <w:u w:val="single"/>
          <w:lang w:eastAsia="zh-CN"/>
        </w:rPr>
        <w:t>_____________________________</w:t>
      </w:r>
    </w:p>
    <w:p w14:paraId="30DD24B9" w14:textId="77777777" w:rsidR="00EA0D3C" w:rsidRPr="00815D2A" w:rsidRDefault="00EA0D3C" w:rsidP="00AA41EF">
      <w:pPr>
        <w:jc w:val="left"/>
        <w:rPr>
          <w:b/>
          <w:lang w:eastAsia="ja-JP"/>
        </w:rPr>
      </w:pPr>
    </w:p>
    <w:p w14:paraId="7A7778AD" w14:textId="77777777" w:rsidR="001E68A7" w:rsidRPr="001E68A7" w:rsidRDefault="001E68A7" w:rsidP="003279D8">
      <w:pPr>
        <w:spacing w:before="120" w:after="120"/>
        <w:rPr>
          <w:b/>
          <w:bCs/>
        </w:rPr>
      </w:pPr>
      <w:r w:rsidRPr="001E68A7">
        <w:rPr>
          <w:b/>
          <w:bCs/>
        </w:rPr>
        <w:t>Abstract</w:t>
      </w:r>
    </w:p>
    <w:p w14:paraId="22B1F64D" w14:textId="6E695EFF" w:rsidR="00357045" w:rsidRPr="003928C1" w:rsidRDefault="00357045" w:rsidP="00797A14">
      <w:pPr>
        <w:spacing w:before="120" w:after="120"/>
        <w:rPr>
          <w:sz w:val="22"/>
          <w:szCs w:val="22"/>
          <w:lang w:val="en-CA"/>
        </w:rPr>
      </w:pPr>
      <w:r w:rsidRPr="003928C1">
        <w:rPr>
          <w:sz w:val="22"/>
          <w:szCs w:val="22"/>
          <w:lang w:val="en-CA"/>
        </w:rPr>
        <w:t xml:space="preserve">In this contribution, Local Illumination Compensation (LIC) is studied on top of the </w:t>
      </w:r>
      <w:bookmarkStart w:id="0" w:name="OLE_LINK3"/>
      <w:bookmarkStart w:id="1" w:name="OLE_LINK4"/>
      <w:r w:rsidRPr="003928C1">
        <w:rPr>
          <w:sz w:val="22"/>
          <w:szCs w:val="22"/>
          <w:lang w:val="en-CA"/>
        </w:rPr>
        <w:t>VCEG HM KTA software</w:t>
      </w:r>
      <w:bookmarkEnd w:id="0"/>
      <w:bookmarkEnd w:id="1"/>
      <w:r w:rsidRPr="003928C1">
        <w:rPr>
          <w:sz w:val="22"/>
          <w:szCs w:val="22"/>
          <w:lang w:val="en-CA"/>
        </w:rPr>
        <w:t xml:space="preserve">. For each inter-mode coded </w:t>
      </w:r>
      <w:r w:rsidR="003552BC">
        <w:rPr>
          <w:sz w:val="22"/>
          <w:szCs w:val="22"/>
          <w:lang w:val="en-CA"/>
        </w:rPr>
        <w:t>coding unit</w:t>
      </w:r>
      <w:r w:rsidR="00C33222">
        <w:rPr>
          <w:sz w:val="22"/>
          <w:szCs w:val="22"/>
          <w:lang w:val="en-CA"/>
        </w:rPr>
        <w:t xml:space="preserve"> (CU)</w:t>
      </w:r>
      <w:r w:rsidRPr="003928C1">
        <w:rPr>
          <w:sz w:val="22"/>
          <w:szCs w:val="22"/>
          <w:lang w:val="en-CA"/>
        </w:rPr>
        <w:t xml:space="preserve">, </w:t>
      </w:r>
      <w:r w:rsidR="00AF2B28">
        <w:rPr>
          <w:sz w:val="22"/>
          <w:szCs w:val="22"/>
          <w:lang w:val="en-CA"/>
        </w:rPr>
        <w:t>one bit</w:t>
      </w:r>
      <w:r w:rsidRPr="003928C1">
        <w:rPr>
          <w:sz w:val="22"/>
          <w:szCs w:val="22"/>
          <w:lang w:val="en-CA"/>
        </w:rPr>
        <w:t xml:space="preserve"> flag is </w:t>
      </w:r>
      <w:r w:rsidR="005B67F4">
        <w:rPr>
          <w:sz w:val="22"/>
          <w:szCs w:val="22"/>
          <w:lang w:val="en-CA"/>
        </w:rPr>
        <w:t xml:space="preserve">explicitly </w:t>
      </w:r>
      <w:r w:rsidRPr="003928C1">
        <w:rPr>
          <w:sz w:val="22"/>
          <w:szCs w:val="22"/>
          <w:lang w:val="en-CA"/>
        </w:rPr>
        <w:t>signaled or</w:t>
      </w:r>
      <w:r w:rsidR="005B67F4">
        <w:rPr>
          <w:sz w:val="22"/>
          <w:szCs w:val="22"/>
          <w:lang w:val="en-CA"/>
        </w:rPr>
        <w:t xml:space="preserve"> </w:t>
      </w:r>
      <w:r w:rsidR="00B12D1B">
        <w:rPr>
          <w:sz w:val="22"/>
          <w:szCs w:val="22"/>
          <w:lang w:val="en-CA"/>
        </w:rPr>
        <w:t>implicitly</w:t>
      </w:r>
      <w:r w:rsidRPr="003928C1">
        <w:rPr>
          <w:sz w:val="22"/>
          <w:szCs w:val="22"/>
          <w:lang w:val="en-CA"/>
        </w:rPr>
        <w:t xml:space="preserve"> derived</w:t>
      </w:r>
      <w:r w:rsidR="00BC5A9C">
        <w:rPr>
          <w:sz w:val="22"/>
          <w:szCs w:val="22"/>
          <w:lang w:val="en-CA"/>
        </w:rPr>
        <w:t xml:space="preserve"> to indicate the usage of LIC</w:t>
      </w:r>
      <w:r w:rsidRPr="003928C1">
        <w:rPr>
          <w:sz w:val="22"/>
          <w:szCs w:val="22"/>
          <w:lang w:val="en-CA"/>
        </w:rPr>
        <w:t xml:space="preserve">. When </w:t>
      </w:r>
      <w:r w:rsidR="00AF2B28">
        <w:rPr>
          <w:sz w:val="22"/>
          <w:szCs w:val="22"/>
          <w:lang w:val="en-CA"/>
        </w:rPr>
        <w:t xml:space="preserve">the </w:t>
      </w:r>
      <w:r w:rsidRPr="003928C1">
        <w:rPr>
          <w:sz w:val="22"/>
          <w:szCs w:val="22"/>
          <w:lang w:val="en-CA"/>
        </w:rPr>
        <w:t xml:space="preserve">flag is true, </w:t>
      </w:r>
      <w:r w:rsidR="00AF2B28">
        <w:rPr>
          <w:sz w:val="22"/>
          <w:szCs w:val="22"/>
          <w:lang w:val="en-CA"/>
        </w:rPr>
        <w:t>L</w:t>
      </w:r>
      <w:r w:rsidRPr="003928C1">
        <w:rPr>
          <w:sz w:val="22"/>
          <w:szCs w:val="22"/>
          <w:lang w:val="en-CA"/>
        </w:rPr>
        <w:t xml:space="preserve">IC parameters are implicitly derived for each </w:t>
      </w:r>
      <w:r w:rsidR="003552BC">
        <w:rPr>
          <w:sz w:val="22"/>
          <w:szCs w:val="22"/>
          <w:lang w:val="en-CA"/>
        </w:rPr>
        <w:t>prediction unit (PU)</w:t>
      </w:r>
      <w:r w:rsidRPr="003928C1">
        <w:rPr>
          <w:sz w:val="22"/>
          <w:szCs w:val="22"/>
          <w:lang w:val="en-CA"/>
        </w:rPr>
        <w:t xml:space="preserve">/sub-PU belonging to the CU, by using neighboring samples of </w:t>
      </w:r>
      <w:r w:rsidR="009321A7" w:rsidRPr="003928C1">
        <w:rPr>
          <w:sz w:val="22"/>
          <w:szCs w:val="22"/>
          <w:lang w:val="en-CA"/>
        </w:rPr>
        <w:t xml:space="preserve">the </w:t>
      </w:r>
      <w:r w:rsidRPr="003928C1">
        <w:rPr>
          <w:sz w:val="22"/>
          <w:szCs w:val="22"/>
          <w:lang w:val="en-CA"/>
        </w:rPr>
        <w:t xml:space="preserve">current CU and the corresponding pixels in the reference picture. It is reported that </w:t>
      </w:r>
      <w:r w:rsidR="0093046E" w:rsidRPr="003928C1">
        <w:rPr>
          <w:sz w:val="22"/>
          <w:szCs w:val="22"/>
          <w:lang w:val="en-CA"/>
        </w:rPr>
        <w:t>noticeable</w:t>
      </w:r>
      <w:r w:rsidRPr="003928C1">
        <w:rPr>
          <w:sz w:val="22"/>
          <w:szCs w:val="22"/>
          <w:lang w:val="en-CA"/>
        </w:rPr>
        <w:t xml:space="preserve"> bitrate saving can be achieved on </w:t>
      </w:r>
      <w:r w:rsidR="0093046E" w:rsidRPr="003928C1">
        <w:rPr>
          <w:sz w:val="22"/>
          <w:szCs w:val="22"/>
          <w:lang w:val="en-CA"/>
        </w:rPr>
        <w:t>sequences with illumination variance</w:t>
      </w:r>
      <w:r w:rsidRPr="003928C1">
        <w:rPr>
          <w:sz w:val="22"/>
          <w:szCs w:val="22"/>
          <w:lang w:val="en-CA"/>
        </w:rPr>
        <w:t>.</w:t>
      </w:r>
      <w:r w:rsidR="0093046E" w:rsidRPr="003928C1">
        <w:rPr>
          <w:sz w:val="22"/>
          <w:szCs w:val="22"/>
          <w:lang w:val="en-CA"/>
        </w:rPr>
        <w:t xml:space="preserve"> Even for normal sequences </w:t>
      </w:r>
      <w:r w:rsidR="00152269" w:rsidRPr="003928C1">
        <w:rPr>
          <w:sz w:val="22"/>
          <w:szCs w:val="22"/>
          <w:lang w:val="en-CA"/>
        </w:rPr>
        <w:t>such</w:t>
      </w:r>
      <w:r w:rsidR="0093046E" w:rsidRPr="003928C1">
        <w:rPr>
          <w:sz w:val="22"/>
          <w:szCs w:val="22"/>
          <w:lang w:val="en-CA"/>
        </w:rPr>
        <w:t xml:space="preserve"> </w:t>
      </w:r>
      <w:r w:rsidR="005C572F">
        <w:rPr>
          <w:sz w:val="22"/>
          <w:szCs w:val="22"/>
          <w:lang w:val="en-CA"/>
        </w:rPr>
        <w:t xml:space="preserve">as </w:t>
      </w:r>
      <w:r w:rsidR="00152269" w:rsidRPr="003928C1">
        <w:rPr>
          <w:sz w:val="22"/>
          <w:szCs w:val="22"/>
          <w:lang w:val="en-CA"/>
        </w:rPr>
        <w:t>HEVC</w:t>
      </w:r>
      <w:r w:rsidR="0093046E" w:rsidRPr="003928C1">
        <w:rPr>
          <w:sz w:val="22"/>
          <w:szCs w:val="22"/>
          <w:lang w:val="en-CA"/>
        </w:rPr>
        <w:t xml:space="preserve"> CTC sequences, 0.36% and 0.33% bitrate saving can be achieved</w:t>
      </w:r>
      <w:r w:rsidR="00CA0E68" w:rsidRPr="003928C1">
        <w:rPr>
          <w:sz w:val="22"/>
          <w:szCs w:val="22"/>
          <w:lang w:val="en-CA"/>
        </w:rPr>
        <w:t xml:space="preserve"> for random access and low delay configuration</w:t>
      </w:r>
      <w:r w:rsidR="003F0CD6" w:rsidRPr="003928C1">
        <w:rPr>
          <w:sz w:val="22"/>
          <w:szCs w:val="22"/>
          <w:lang w:val="en-CA"/>
        </w:rPr>
        <w:t xml:space="preserve"> on average,</w:t>
      </w:r>
      <w:r w:rsidR="00CA0E68" w:rsidRPr="003928C1">
        <w:rPr>
          <w:sz w:val="22"/>
          <w:szCs w:val="22"/>
          <w:lang w:val="en-CA"/>
        </w:rPr>
        <w:t xml:space="preserve"> respectively</w:t>
      </w:r>
      <w:r w:rsidR="0093046E" w:rsidRPr="003928C1">
        <w:rPr>
          <w:sz w:val="22"/>
          <w:szCs w:val="22"/>
          <w:lang w:val="en-CA"/>
        </w:rPr>
        <w:t>.</w:t>
      </w:r>
      <w:bookmarkStart w:id="2" w:name="_GoBack"/>
      <w:bookmarkEnd w:id="2"/>
    </w:p>
    <w:p w14:paraId="2042B7D9" w14:textId="77777777" w:rsidR="001E68A7" w:rsidRPr="00937823" w:rsidRDefault="003F010B" w:rsidP="003279D8">
      <w:pPr>
        <w:pStyle w:val="Heading1"/>
        <w:numPr>
          <w:ilvl w:val="0"/>
          <w:numId w:val="3"/>
        </w:numPr>
        <w:spacing w:before="120" w:after="120"/>
        <w:rPr>
          <w:rFonts w:ascii="Times New Roman" w:hAnsi="Times New Roman"/>
        </w:rPr>
      </w:pPr>
      <w:bookmarkStart w:id="3" w:name="OLE_LINK19"/>
      <w:bookmarkStart w:id="4" w:name="OLE_LINK20"/>
      <w:r>
        <w:rPr>
          <w:rFonts w:ascii="Times New Roman" w:hAnsi="Times New Roman"/>
        </w:rPr>
        <w:t>Introduction</w:t>
      </w:r>
    </w:p>
    <w:p w14:paraId="3A93CB6F" w14:textId="5786732E" w:rsidR="00C26A48" w:rsidRPr="003928C1" w:rsidRDefault="00C26A48" w:rsidP="00797A14">
      <w:pPr>
        <w:spacing w:before="120" w:after="120"/>
        <w:rPr>
          <w:sz w:val="22"/>
        </w:rPr>
      </w:pPr>
      <w:bookmarkStart w:id="5" w:name="OLE_LINK34"/>
      <w:bookmarkStart w:id="6" w:name="OLE_LINK35"/>
      <w:bookmarkEnd w:id="3"/>
      <w:bookmarkEnd w:id="4"/>
      <w:r w:rsidRPr="003928C1">
        <w:rPr>
          <w:sz w:val="22"/>
        </w:rPr>
        <w:t xml:space="preserve">Weighted prediction aiming at global illumination compensation has been adopted into both H.264/AVC </w:t>
      </w:r>
      <w:r w:rsidRPr="003928C1">
        <w:rPr>
          <w:sz w:val="22"/>
        </w:rPr>
        <w:fldChar w:fldCharType="begin"/>
      </w:r>
      <w:r w:rsidRPr="003928C1">
        <w:rPr>
          <w:sz w:val="22"/>
        </w:rPr>
        <w:instrText xml:space="preserve"> REF _Ref421635353 \r \h </w:instrText>
      </w:r>
      <w:r w:rsidR="001741F2">
        <w:rPr>
          <w:sz w:val="22"/>
        </w:rPr>
        <w:instrText xml:space="preserve"> \* MERGEFORMAT </w:instrText>
      </w:r>
      <w:r w:rsidRPr="003928C1">
        <w:rPr>
          <w:sz w:val="22"/>
        </w:rPr>
      </w:r>
      <w:r w:rsidRPr="003928C1">
        <w:rPr>
          <w:sz w:val="22"/>
        </w:rPr>
        <w:fldChar w:fldCharType="separate"/>
      </w:r>
      <w:r w:rsidR="0042451E" w:rsidRPr="003928C1">
        <w:rPr>
          <w:sz w:val="22"/>
        </w:rPr>
        <w:t>[1]</w:t>
      </w:r>
      <w:r w:rsidRPr="003928C1">
        <w:rPr>
          <w:sz w:val="22"/>
        </w:rPr>
        <w:fldChar w:fldCharType="end"/>
      </w:r>
      <w:r w:rsidRPr="003928C1">
        <w:rPr>
          <w:sz w:val="22"/>
        </w:rPr>
        <w:t xml:space="preserve"> and HEVC </w:t>
      </w:r>
      <w:r w:rsidRPr="003928C1">
        <w:rPr>
          <w:sz w:val="22"/>
        </w:rPr>
        <w:fldChar w:fldCharType="begin"/>
      </w:r>
      <w:r w:rsidRPr="003928C1">
        <w:rPr>
          <w:sz w:val="22"/>
        </w:rPr>
        <w:instrText xml:space="preserve"> REF _Ref421635363 \r \h </w:instrText>
      </w:r>
      <w:r w:rsidR="001741F2">
        <w:rPr>
          <w:sz w:val="22"/>
        </w:rPr>
        <w:instrText xml:space="preserve"> \* MERGEFORMAT </w:instrText>
      </w:r>
      <w:r w:rsidRPr="003928C1">
        <w:rPr>
          <w:sz w:val="22"/>
        </w:rPr>
      </w:r>
      <w:r w:rsidRPr="003928C1">
        <w:rPr>
          <w:sz w:val="22"/>
        </w:rPr>
        <w:fldChar w:fldCharType="separate"/>
      </w:r>
      <w:r w:rsidR="0042451E" w:rsidRPr="003928C1">
        <w:rPr>
          <w:sz w:val="22"/>
        </w:rPr>
        <w:t>[2]</w:t>
      </w:r>
      <w:r w:rsidRPr="003928C1">
        <w:rPr>
          <w:sz w:val="22"/>
        </w:rPr>
        <w:fldChar w:fldCharType="end"/>
      </w:r>
      <w:r w:rsidRPr="003928C1">
        <w:rPr>
          <w:sz w:val="22"/>
        </w:rPr>
        <w:t xml:space="preserve">. On the other hand, </w:t>
      </w:r>
      <w:r w:rsidR="00BA15CE" w:rsidRPr="003928C1">
        <w:rPr>
          <w:sz w:val="22"/>
        </w:rPr>
        <w:t xml:space="preserve">to compensate local illumination </w:t>
      </w:r>
      <w:r w:rsidR="00797A14" w:rsidRPr="003928C1">
        <w:rPr>
          <w:sz w:val="22"/>
        </w:rPr>
        <w:t>variance</w:t>
      </w:r>
      <w:r w:rsidR="00BA15CE" w:rsidRPr="003928C1">
        <w:rPr>
          <w:sz w:val="22"/>
        </w:rPr>
        <w:t xml:space="preserve">, block based </w:t>
      </w:r>
      <w:r w:rsidRPr="003928C1">
        <w:rPr>
          <w:sz w:val="22"/>
        </w:rPr>
        <w:t xml:space="preserve">illumination compensation has been proposed in </w:t>
      </w:r>
      <w:r w:rsidRPr="003928C1">
        <w:rPr>
          <w:sz w:val="22"/>
        </w:rPr>
        <w:fldChar w:fldCharType="begin"/>
      </w:r>
      <w:r w:rsidRPr="003928C1">
        <w:rPr>
          <w:sz w:val="22"/>
        </w:rPr>
        <w:instrText xml:space="preserve"> REF _Ref421610642 \r \h </w:instrText>
      </w:r>
      <w:r w:rsidR="001741F2">
        <w:rPr>
          <w:sz w:val="22"/>
        </w:rPr>
        <w:instrText xml:space="preserve"> \* MERGEFORMAT </w:instrText>
      </w:r>
      <w:r w:rsidRPr="003928C1">
        <w:rPr>
          <w:sz w:val="22"/>
        </w:rPr>
      </w:r>
      <w:r w:rsidRPr="003928C1">
        <w:rPr>
          <w:sz w:val="22"/>
        </w:rPr>
        <w:fldChar w:fldCharType="separate"/>
      </w:r>
      <w:r w:rsidR="0042451E" w:rsidRPr="003928C1">
        <w:rPr>
          <w:sz w:val="22"/>
        </w:rPr>
        <w:t>[3]</w:t>
      </w:r>
      <w:r w:rsidRPr="003928C1">
        <w:rPr>
          <w:sz w:val="22"/>
        </w:rPr>
        <w:fldChar w:fldCharType="end"/>
      </w:r>
      <w:r w:rsidRPr="003928C1">
        <w:rPr>
          <w:sz w:val="22"/>
        </w:rPr>
        <w:t xml:space="preserve"> for HEVC</w:t>
      </w:r>
      <w:r w:rsidR="00BA15CE" w:rsidRPr="003928C1">
        <w:rPr>
          <w:sz w:val="22"/>
        </w:rPr>
        <w:t>,</w:t>
      </w:r>
      <w:r w:rsidRPr="003928C1">
        <w:rPr>
          <w:sz w:val="22"/>
        </w:rPr>
        <w:t xml:space="preserve"> </w:t>
      </w:r>
      <w:r w:rsidR="00BA15CE" w:rsidRPr="003928C1">
        <w:rPr>
          <w:sz w:val="22"/>
        </w:rPr>
        <w:t>where the illumination compensation parameters are explicitly signaled at each partition.</w:t>
      </w:r>
      <w:r w:rsidRPr="003928C1">
        <w:rPr>
          <w:sz w:val="22"/>
        </w:rPr>
        <w:t xml:space="preserve"> </w:t>
      </w:r>
      <w:r w:rsidR="00BA15CE" w:rsidRPr="003928C1">
        <w:rPr>
          <w:sz w:val="22"/>
        </w:rPr>
        <w:t xml:space="preserve">Meanwhile, a local illumination compensation with implicit parameter derivation </w:t>
      </w:r>
      <w:r w:rsidR="006E215B" w:rsidRPr="003928C1">
        <w:rPr>
          <w:sz w:val="22"/>
        </w:rPr>
        <w:fldChar w:fldCharType="begin"/>
      </w:r>
      <w:r w:rsidR="006E215B" w:rsidRPr="003928C1">
        <w:rPr>
          <w:sz w:val="22"/>
        </w:rPr>
        <w:instrText xml:space="preserve"> REF _Ref421610649 \r \h </w:instrText>
      </w:r>
      <w:r w:rsidR="001741F2">
        <w:rPr>
          <w:sz w:val="22"/>
        </w:rPr>
        <w:instrText xml:space="preserve"> \* MERGEFORMAT </w:instrText>
      </w:r>
      <w:r w:rsidR="006E215B" w:rsidRPr="003928C1">
        <w:rPr>
          <w:sz w:val="22"/>
        </w:rPr>
      </w:r>
      <w:r w:rsidR="006E215B" w:rsidRPr="003928C1">
        <w:rPr>
          <w:sz w:val="22"/>
        </w:rPr>
        <w:fldChar w:fldCharType="separate"/>
      </w:r>
      <w:r w:rsidR="0042451E" w:rsidRPr="003928C1">
        <w:rPr>
          <w:sz w:val="22"/>
        </w:rPr>
        <w:t>[4]</w:t>
      </w:r>
      <w:r w:rsidR="006E215B" w:rsidRPr="003928C1">
        <w:rPr>
          <w:sz w:val="22"/>
        </w:rPr>
        <w:fldChar w:fldCharType="end"/>
      </w:r>
      <w:r w:rsidR="006E215B" w:rsidRPr="003928C1">
        <w:rPr>
          <w:sz w:val="22"/>
        </w:rPr>
        <w:t xml:space="preserve"> </w:t>
      </w:r>
      <w:r w:rsidRPr="003928C1">
        <w:rPr>
          <w:sz w:val="22"/>
        </w:rPr>
        <w:t>has been adopted into 3D-HEVC for inter-view prediction.</w:t>
      </w:r>
      <w:r w:rsidR="00BA15CE" w:rsidRPr="003928C1">
        <w:rPr>
          <w:sz w:val="22"/>
        </w:rPr>
        <w:t xml:space="preserve"> In this contribution, the local illumination compensation with implicit parameter derivation is proposed.</w:t>
      </w:r>
    </w:p>
    <w:p w14:paraId="52F045BA" w14:textId="77777777" w:rsidR="001E68A7" w:rsidRPr="00937823" w:rsidRDefault="003F010B" w:rsidP="003928C1">
      <w:pPr>
        <w:pStyle w:val="Heading1"/>
        <w:numPr>
          <w:ilvl w:val="0"/>
          <w:numId w:val="3"/>
        </w:numPr>
        <w:spacing w:before="120" w:after="120"/>
        <w:rPr>
          <w:rFonts w:ascii="Times New Roman" w:hAnsi="Times New Roman"/>
        </w:rPr>
      </w:pPr>
      <w:r>
        <w:rPr>
          <w:rFonts w:ascii="Times New Roman" w:hAnsi="Times New Roman"/>
        </w:rPr>
        <w:t>Technical description</w:t>
      </w:r>
    </w:p>
    <w:bookmarkEnd w:id="5"/>
    <w:bookmarkEnd w:id="6"/>
    <w:p w14:paraId="66AFD9B1" w14:textId="0B9D871D" w:rsidR="00AC5FCC" w:rsidRPr="003928C1" w:rsidRDefault="00977A1B" w:rsidP="003928C1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In the proposed method, </w:t>
      </w:r>
      <w:r w:rsidR="002260B7" w:rsidRPr="003928C1">
        <w:rPr>
          <w:sz w:val="22"/>
          <w:szCs w:val="22"/>
        </w:rPr>
        <w:t>Local Illumination Compensation (LIC) is enabled</w:t>
      </w:r>
      <w:r w:rsidR="00DD4A16">
        <w:rPr>
          <w:sz w:val="22"/>
          <w:szCs w:val="22"/>
        </w:rPr>
        <w:t xml:space="preserve"> or </w:t>
      </w:r>
      <w:r w:rsidR="002260B7" w:rsidRPr="003928C1">
        <w:rPr>
          <w:sz w:val="22"/>
          <w:szCs w:val="22"/>
        </w:rPr>
        <w:t xml:space="preserve">disabled adaptively for each inter-mode coded </w:t>
      </w:r>
      <w:r w:rsidR="006C2F48">
        <w:rPr>
          <w:sz w:val="22"/>
          <w:szCs w:val="22"/>
        </w:rPr>
        <w:t>coding unit (</w:t>
      </w:r>
      <w:r w:rsidR="002260B7" w:rsidRPr="003928C1">
        <w:rPr>
          <w:sz w:val="22"/>
          <w:szCs w:val="22"/>
        </w:rPr>
        <w:t>CU</w:t>
      </w:r>
      <w:r w:rsidR="006C2F48">
        <w:rPr>
          <w:sz w:val="22"/>
          <w:szCs w:val="22"/>
        </w:rPr>
        <w:t>)</w:t>
      </w:r>
      <w:r w:rsidR="00DD4A16">
        <w:rPr>
          <w:sz w:val="22"/>
          <w:szCs w:val="22"/>
        </w:rPr>
        <w:t xml:space="preserve">, and it is based on a linear </w:t>
      </w:r>
      <w:r w:rsidR="00DD4A16" w:rsidRPr="00ED0912">
        <w:rPr>
          <w:sz w:val="22"/>
          <w:szCs w:val="22"/>
        </w:rPr>
        <w:t xml:space="preserve">model </w:t>
      </w:r>
      <w:r w:rsidR="00DD4A16">
        <w:rPr>
          <w:sz w:val="22"/>
          <w:szCs w:val="22"/>
        </w:rPr>
        <w:t>for illumination changes, using</w:t>
      </w:r>
      <w:r w:rsidR="002260B7" w:rsidRPr="003928C1">
        <w:rPr>
          <w:sz w:val="22"/>
          <w:szCs w:val="22"/>
        </w:rPr>
        <w:t xml:space="preserve"> a scaling factor </w:t>
      </w:r>
      <w:r w:rsidR="002260B7" w:rsidRPr="003928C1">
        <w:rPr>
          <w:i/>
          <w:sz w:val="22"/>
          <w:szCs w:val="22"/>
        </w:rPr>
        <w:t>a</w:t>
      </w:r>
      <w:r w:rsidR="002260B7" w:rsidRPr="003928C1">
        <w:rPr>
          <w:sz w:val="22"/>
          <w:szCs w:val="22"/>
        </w:rPr>
        <w:t xml:space="preserve"> and an offset </w:t>
      </w:r>
      <w:r w:rsidR="002260B7" w:rsidRPr="003928C1">
        <w:rPr>
          <w:i/>
          <w:sz w:val="22"/>
          <w:szCs w:val="22"/>
        </w:rPr>
        <w:t>b</w:t>
      </w:r>
      <w:r w:rsidR="002260B7" w:rsidRPr="003928C1">
        <w:rPr>
          <w:sz w:val="22"/>
          <w:szCs w:val="22"/>
        </w:rPr>
        <w:t>.</w:t>
      </w:r>
    </w:p>
    <w:p w14:paraId="033F5570" w14:textId="77777777" w:rsidR="008B68C1" w:rsidRPr="001741F2" w:rsidRDefault="008B68C1" w:rsidP="0084435F">
      <w:pPr>
        <w:keepNext/>
        <w:keepLines/>
        <w:spacing w:before="120" w:after="120"/>
        <w:jc w:val="center"/>
        <w:rPr>
          <w:sz w:val="22"/>
          <w:szCs w:val="22"/>
          <w:lang w:val="en-CA" w:eastAsia="ja-JP"/>
        </w:rPr>
      </w:pPr>
      <w:r w:rsidRPr="003928C1">
        <w:rPr>
          <w:noProof/>
          <w:sz w:val="22"/>
          <w:szCs w:val="22"/>
          <w:lang w:eastAsia="zh-CN"/>
        </w:rPr>
        <w:lastRenderedPageBreak/>
        <w:drawing>
          <wp:inline distT="0" distB="0" distL="0" distR="0" wp14:anchorId="1363A2C4" wp14:editId="7067F3B8">
            <wp:extent cx="2834640" cy="1536192"/>
            <wp:effectExtent l="0" t="0" r="381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536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D6003" w14:textId="77777777" w:rsidR="008B68C1" w:rsidRPr="001741F2" w:rsidRDefault="008B68C1" w:rsidP="0084435F">
      <w:pPr>
        <w:pStyle w:val="Caption"/>
        <w:keepNext/>
        <w:keepLines/>
        <w:overflowPunct/>
        <w:autoSpaceDE/>
        <w:autoSpaceDN/>
        <w:adjustRightInd/>
        <w:spacing w:before="120" w:after="120"/>
        <w:jc w:val="center"/>
        <w:textAlignment w:val="auto"/>
        <w:rPr>
          <w:rFonts w:eastAsia="SimSun"/>
          <w:b w:val="0"/>
          <w:bCs w:val="0"/>
          <w:i/>
          <w:iCs/>
          <w:sz w:val="22"/>
          <w:szCs w:val="22"/>
        </w:rPr>
      </w:pPr>
      <w:bookmarkStart w:id="7" w:name="_Ref376302977"/>
      <w:r w:rsidRPr="00037F37">
        <w:rPr>
          <w:rFonts w:eastAsia="SimSun"/>
          <w:sz w:val="22"/>
          <w:szCs w:val="22"/>
        </w:rPr>
        <w:t xml:space="preserve">Figure </w:t>
      </w:r>
      <w:r w:rsidRPr="003928C1">
        <w:rPr>
          <w:rFonts w:eastAsia="SimSun"/>
          <w:b w:val="0"/>
          <w:bCs w:val="0"/>
          <w:i/>
          <w:iCs/>
          <w:sz w:val="22"/>
          <w:szCs w:val="22"/>
        </w:rPr>
        <w:fldChar w:fldCharType="begin"/>
      </w:r>
      <w:r w:rsidRPr="001741F2">
        <w:rPr>
          <w:rFonts w:eastAsia="SimSun"/>
          <w:sz w:val="22"/>
          <w:szCs w:val="22"/>
        </w:rPr>
        <w:instrText xml:space="preserve"> SEQ Figure \* ARABIC </w:instrText>
      </w:r>
      <w:r w:rsidRPr="003928C1">
        <w:rPr>
          <w:rFonts w:eastAsia="SimSun"/>
          <w:b w:val="0"/>
          <w:bCs w:val="0"/>
          <w:i/>
          <w:iCs/>
          <w:sz w:val="22"/>
          <w:szCs w:val="22"/>
        </w:rPr>
        <w:fldChar w:fldCharType="separate"/>
      </w:r>
      <w:r w:rsidR="0042451E" w:rsidRPr="001741F2">
        <w:rPr>
          <w:rFonts w:eastAsia="SimSun"/>
          <w:noProof/>
          <w:sz w:val="22"/>
          <w:szCs w:val="22"/>
        </w:rPr>
        <w:t>1</w:t>
      </w:r>
      <w:r w:rsidRPr="003928C1">
        <w:rPr>
          <w:rFonts w:eastAsia="SimSun"/>
          <w:b w:val="0"/>
          <w:bCs w:val="0"/>
          <w:i/>
          <w:iCs/>
          <w:sz w:val="22"/>
          <w:szCs w:val="22"/>
        </w:rPr>
        <w:fldChar w:fldCharType="end"/>
      </w:r>
      <w:bookmarkEnd w:id="7"/>
      <w:r w:rsidRPr="001741F2">
        <w:rPr>
          <w:rFonts w:eastAsia="SimSun"/>
          <w:sz w:val="22"/>
          <w:szCs w:val="22"/>
        </w:rPr>
        <w:t>: Neighboring samples used for deriving IC parameters</w:t>
      </w:r>
    </w:p>
    <w:p w14:paraId="0F192105" w14:textId="36712318" w:rsidR="00AC5FCC" w:rsidRPr="003928C1" w:rsidRDefault="002260B7" w:rsidP="00C26966">
      <w:pPr>
        <w:spacing w:before="120" w:after="120"/>
        <w:rPr>
          <w:sz w:val="22"/>
          <w:szCs w:val="22"/>
        </w:rPr>
      </w:pPr>
      <w:r w:rsidRPr="003928C1">
        <w:rPr>
          <w:sz w:val="22"/>
          <w:szCs w:val="22"/>
        </w:rPr>
        <w:t xml:space="preserve">When a CU is coded with 2Nx2N merge mode, </w:t>
      </w:r>
      <w:r w:rsidR="00FE1BA1">
        <w:rPr>
          <w:sz w:val="22"/>
          <w:szCs w:val="22"/>
        </w:rPr>
        <w:t xml:space="preserve">the </w:t>
      </w:r>
      <w:r w:rsidR="00F7094D">
        <w:rPr>
          <w:sz w:val="22"/>
          <w:szCs w:val="22"/>
        </w:rPr>
        <w:t>L</w:t>
      </w:r>
      <w:r w:rsidRPr="003928C1">
        <w:rPr>
          <w:sz w:val="22"/>
          <w:szCs w:val="22"/>
        </w:rPr>
        <w:t>IC flag is copied from neighboring blocks</w:t>
      </w:r>
      <w:r w:rsidR="00FE1BA1">
        <w:rPr>
          <w:sz w:val="22"/>
          <w:szCs w:val="22"/>
        </w:rPr>
        <w:t xml:space="preserve">, in a way </w:t>
      </w:r>
      <w:r w:rsidRPr="003928C1">
        <w:rPr>
          <w:sz w:val="22"/>
          <w:szCs w:val="22"/>
        </w:rPr>
        <w:t xml:space="preserve"> similar </w:t>
      </w:r>
      <w:r w:rsidR="00FE1BA1">
        <w:rPr>
          <w:sz w:val="22"/>
          <w:szCs w:val="22"/>
        </w:rPr>
        <w:t xml:space="preserve">to </w:t>
      </w:r>
      <w:r w:rsidR="00FE1BA1" w:rsidRPr="003928C1">
        <w:rPr>
          <w:sz w:val="22"/>
          <w:szCs w:val="22"/>
        </w:rPr>
        <w:t xml:space="preserve"> </w:t>
      </w:r>
      <w:r w:rsidRPr="003928C1">
        <w:rPr>
          <w:sz w:val="22"/>
          <w:szCs w:val="22"/>
        </w:rPr>
        <w:t xml:space="preserve">motion information copy in merge mode; otherwise, an </w:t>
      </w:r>
      <w:r w:rsidR="00F7094D">
        <w:rPr>
          <w:sz w:val="22"/>
          <w:szCs w:val="22"/>
        </w:rPr>
        <w:t>L</w:t>
      </w:r>
      <w:r w:rsidRPr="003928C1">
        <w:rPr>
          <w:sz w:val="22"/>
          <w:szCs w:val="22"/>
        </w:rPr>
        <w:t xml:space="preserve">IC flag is signaled for the CU to indicate whether LIC applies or not. When LIC applies for a CU, for each PU/sub-PU belonging to the CU, </w:t>
      </w:r>
      <w:r w:rsidR="00F7094D">
        <w:rPr>
          <w:sz w:val="22"/>
          <w:szCs w:val="22"/>
        </w:rPr>
        <w:t>L</w:t>
      </w:r>
      <w:r w:rsidRPr="003928C1">
        <w:rPr>
          <w:sz w:val="22"/>
          <w:szCs w:val="22"/>
        </w:rPr>
        <w:t xml:space="preserve">IC parameters are derived in a way </w:t>
      </w:r>
      <w:r w:rsidR="00FE1BA1" w:rsidRPr="00BD1935">
        <w:rPr>
          <w:sz w:val="22"/>
          <w:szCs w:val="22"/>
        </w:rPr>
        <w:t xml:space="preserve">similar </w:t>
      </w:r>
      <w:r w:rsidR="00FE1BA1">
        <w:rPr>
          <w:sz w:val="22"/>
          <w:szCs w:val="22"/>
        </w:rPr>
        <w:t>to how it is</w:t>
      </w:r>
      <w:r w:rsidRPr="003928C1">
        <w:rPr>
          <w:sz w:val="22"/>
          <w:szCs w:val="22"/>
        </w:rPr>
        <w:t xml:space="preserve"> done in the inter-view illumination compensation in</w:t>
      </w:r>
      <w:r w:rsidR="00AC5FCC" w:rsidRPr="003928C1">
        <w:rPr>
          <w:sz w:val="22"/>
          <w:szCs w:val="22"/>
        </w:rPr>
        <w:t xml:space="preserve"> </w:t>
      </w:r>
      <w:r w:rsidR="00BE2EAD" w:rsidRPr="003928C1">
        <w:rPr>
          <w:sz w:val="22"/>
          <w:szCs w:val="22"/>
        </w:rPr>
        <w:fldChar w:fldCharType="begin"/>
      </w:r>
      <w:r w:rsidR="00BE2EAD" w:rsidRPr="003928C1">
        <w:rPr>
          <w:sz w:val="22"/>
          <w:szCs w:val="22"/>
        </w:rPr>
        <w:instrText xml:space="preserve"> REF _Ref421610649 \r \h </w:instrText>
      </w:r>
      <w:r w:rsidR="001741F2">
        <w:rPr>
          <w:sz w:val="22"/>
          <w:szCs w:val="22"/>
        </w:rPr>
        <w:instrText xml:space="preserve"> \* MERGEFORMAT </w:instrText>
      </w:r>
      <w:r w:rsidR="00BE2EAD" w:rsidRPr="003928C1">
        <w:rPr>
          <w:sz w:val="22"/>
          <w:szCs w:val="22"/>
        </w:rPr>
      </w:r>
      <w:r w:rsidR="00BE2EAD" w:rsidRPr="003928C1">
        <w:rPr>
          <w:sz w:val="22"/>
          <w:szCs w:val="22"/>
        </w:rPr>
        <w:fldChar w:fldCharType="separate"/>
      </w:r>
      <w:r w:rsidR="0042451E" w:rsidRPr="003928C1">
        <w:rPr>
          <w:sz w:val="22"/>
          <w:szCs w:val="22"/>
        </w:rPr>
        <w:t>[4]</w:t>
      </w:r>
      <w:r w:rsidR="00BE2EAD" w:rsidRPr="003928C1">
        <w:rPr>
          <w:sz w:val="22"/>
          <w:szCs w:val="22"/>
        </w:rPr>
        <w:fldChar w:fldCharType="end"/>
      </w:r>
      <w:r w:rsidR="00AC5FCC" w:rsidRPr="003928C1">
        <w:rPr>
          <w:sz w:val="22"/>
          <w:szCs w:val="22"/>
        </w:rPr>
        <w:t>, i.e., by using subsampled (2:1 subsampling) neighboring samples of the CU and the corresponding pixels (identified by motion information of the current PU/sub-PU) in the reference picture. An example is illustrated in</w:t>
      </w:r>
      <w:r w:rsidR="00851476" w:rsidRPr="003928C1">
        <w:rPr>
          <w:sz w:val="22"/>
          <w:szCs w:val="22"/>
        </w:rPr>
        <w:t xml:space="preserve"> </w:t>
      </w:r>
      <w:r w:rsidR="00851476" w:rsidRPr="003928C1">
        <w:rPr>
          <w:sz w:val="22"/>
          <w:szCs w:val="22"/>
        </w:rPr>
        <w:fldChar w:fldCharType="begin"/>
      </w:r>
      <w:r w:rsidR="00851476" w:rsidRPr="003928C1">
        <w:rPr>
          <w:sz w:val="22"/>
          <w:szCs w:val="22"/>
        </w:rPr>
        <w:instrText xml:space="preserve"> REF _Ref376302977 \h  \* MERGEFORMAT </w:instrText>
      </w:r>
      <w:r w:rsidR="00851476" w:rsidRPr="003928C1">
        <w:rPr>
          <w:sz w:val="22"/>
          <w:szCs w:val="22"/>
        </w:rPr>
      </w:r>
      <w:r w:rsidR="00851476" w:rsidRPr="003928C1">
        <w:rPr>
          <w:sz w:val="22"/>
          <w:szCs w:val="22"/>
        </w:rPr>
        <w:fldChar w:fldCharType="separate"/>
      </w:r>
      <w:r w:rsidR="0042451E" w:rsidRPr="003928C1">
        <w:rPr>
          <w:rFonts w:eastAsia="SimSun"/>
          <w:bCs/>
          <w:sz w:val="22"/>
          <w:szCs w:val="22"/>
        </w:rPr>
        <w:t xml:space="preserve">Figure </w:t>
      </w:r>
      <w:r w:rsidR="0042451E" w:rsidRPr="003928C1">
        <w:rPr>
          <w:rFonts w:eastAsia="SimSun"/>
          <w:bCs/>
          <w:noProof/>
          <w:sz w:val="22"/>
          <w:szCs w:val="22"/>
        </w:rPr>
        <w:t>1</w:t>
      </w:r>
      <w:r w:rsidR="00851476" w:rsidRPr="003928C1">
        <w:rPr>
          <w:sz w:val="22"/>
          <w:szCs w:val="22"/>
        </w:rPr>
        <w:fldChar w:fldCharType="end"/>
      </w:r>
      <w:r w:rsidR="00AC5FCC" w:rsidRPr="003928C1">
        <w:rPr>
          <w:sz w:val="22"/>
          <w:szCs w:val="22"/>
        </w:rPr>
        <w:t xml:space="preserve">. </w:t>
      </w:r>
      <w:r w:rsidR="00FE1BA1">
        <w:rPr>
          <w:sz w:val="22"/>
          <w:szCs w:val="22"/>
        </w:rPr>
        <w:t xml:space="preserve">The </w:t>
      </w:r>
      <w:r w:rsidR="00AC5FCC" w:rsidRPr="003928C1">
        <w:rPr>
          <w:sz w:val="22"/>
          <w:szCs w:val="22"/>
        </w:rPr>
        <w:t xml:space="preserve">IC parameters are derived and applied for each prediction direction separately. </w:t>
      </w:r>
      <w:r w:rsidR="00FE1BA1">
        <w:rPr>
          <w:sz w:val="22"/>
          <w:szCs w:val="22"/>
        </w:rPr>
        <w:t xml:space="preserve">A </w:t>
      </w:r>
      <w:r w:rsidR="003928C1">
        <w:rPr>
          <w:sz w:val="22"/>
          <w:szCs w:val="22"/>
        </w:rPr>
        <w:t>l</w:t>
      </w:r>
      <w:r w:rsidR="003928C1" w:rsidRPr="003928C1">
        <w:rPr>
          <w:sz w:val="22"/>
          <w:szCs w:val="22"/>
        </w:rPr>
        <w:t xml:space="preserve">east </w:t>
      </w:r>
      <w:r w:rsidR="00AC5FCC" w:rsidRPr="003928C1">
        <w:rPr>
          <w:sz w:val="22"/>
          <w:szCs w:val="22"/>
        </w:rPr>
        <w:t xml:space="preserve">square </w:t>
      </w:r>
      <w:r w:rsidR="003E02A7" w:rsidRPr="003928C1">
        <w:rPr>
          <w:sz w:val="22"/>
          <w:szCs w:val="22"/>
        </w:rPr>
        <w:t xml:space="preserve">error </w:t>
      </w:r>
      <w:r w:rsidR="00AC5FCC" w:rsidRPr="003928C1">
        <w:rPr>
          <w:sz w:val="22"/>
          <w:szCs w:val="22"/>
        </w:rPr>
        <w:t xml:space="preserve">method is employed to derive </w:t>
      </w:r>
      <w:r w:rsidRPr="003928C1">
        <w:rPr>
          <w:sz w:val="22"/>
          <w:szCs w:val="22"/>
        </w:rPr>
        <w:t xml:space="preserve">the parameters </w:t>
      </w:r>
      <w:r w:rsidR="00AC5FCC" w:rsidRPr="003928C1">
        <w:rPr>
          <w:i/>
          <w:sz w:val="22"/>
          <w:szCs w:val="22"/>
        </w:rPr>
        <w:t>a</w:t>
      </w:r>
      <w:r w:rsidR="00AC5FCC" w:rsidRPr="003928C1">
        <w:rPr>
          <w:sz w:val="22"/>
          <w:szCs w:val="22"/>
        </w:rPr>
        <w:t xml:space="preserve"> and </w:t>
      </w:r>
      <w:r w:rsidR="00AC5FCC" w:rsidRPr="003928C1">
        <w:rPr>
          <w:i/>
          <w:sz w:val="22"/>
          <w:szCs w:val="22"/>
        </w:rPr>
        <w:t>b</w:t>
      </w:r>
      <w:r w:rsidR="00AC5FCC" w:rsidRPr="003928C1">
        <w:rPr>
          <w:sz w:val="22"/>
          <w:szCs w:val="22"/>
        </w:rPr>
        <w:t xml:space="preserve"> based on the abovementioned neighboring samples.</w:t>
      </w:r>
    </w:p>
    <w:p w14:paraId="521483B3" w14:textId="710CC86A" w:rsidR="00F91E38" w:rsidRDefault="00966E0B" w:rsidP="00C26966">
      <w:pPr>
        <w:pStyle w:val="Heading2"/>
        <w:keepLines/>
        <w:numPr>
          <w:ilvl w:val="1"/>
          <w:numId w:val="3"/>
        </w:numPr>
        <w:tabs>
          <w:tab w:val="left" w:pos="794"/>
          <w:tab w:val="left" w:pos="1191"/>
          <w:tab w:val="left" w:pos="1588"/>
          <w:tab w:val="left" w:pos="1985"/>
          <w:tab w:val="num" w:pos="31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</w:pPr>
      <w:r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  <w:t>L</w:t>
      </w:r>
      <w:r w:rsidR="00F91E38" w:rsidRPr="00F352ED"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  <w:t>IC flag in 2Nx2N merge mode</w:t>
      </w:r>
    </w:p>
    <w:p w14:paraId="2EFA3872" w14:textId="3242E449" w:rsidR="00F91E38" w:rsidRPr="003928C1" w:rsidRDefault="00F91E38" w:rsidP="00C26966">
      <w:pPr>
        <w:spacing w:before="120" w:after="120"/>
        <w:rPr>
          <w:sz w:val="22"/>
        </w:rPr>
      </w:pPr>
      <w:r w:rsidRPr="003928C1">
        <w:rPr>
          <w:sz w:val="22"/>
        </w:rPr>
        <w:t xml:space="preserve">For each merge candidate, besides motion information (motion vector, prediction direction, reference index etc.), one </w:t>
      </w:r>
      <w:r w:rsidR="00241EC5">
        <w:rPr>
          <w:sz w:val="22"/>
        </w:rPr>
        <w:t>L</w:t>
      </w:r>
      <w:r w:rsidRPr="003928C1">
        <w:rPr>
          <w:sz w:val="22"/>
        </w:rPr>
        <w:t>IC flag is also generated</w:t>
      </w:r>
      <w:r w:rsidR="0053042D">
        <w:rPr>
          <w:sz w:val="22"/>
        </w:rPr>
        <w:t xml:space="preserve">, following the rules </w:t>
      </w:r>
      <w:r w:rsidR="00FA48EF">
        <w:rPr>
          <w:sz w:val="22"/>
        </w:rPr>
        <w:t xml:space="preserve">listed </w:t>
      </w:r>
      <w:r w:rsidR="0053042D">
        <w:rPr>
          <w:sz w:val="22"/>
        </w:rPr>
        <w:t>below</w:t>
      </w:r>
      <w:r w:rsidRPr="003928C1">
        <w:rPr>
          <w:sz w:val="22"/>
        </w:rPr>
        <w:t>.</w:t>
      </w:r>
    </w:p>
    <w:p w14:paraId="50542995" w14:textId="42446138" w:rsidR="00F91E38" w:rsidRPr="003928C1" w:rsidRDefault="00F91E38" w:rsidP="00C26966">
      <w:pPr>
        <w:pStyle w:val="ListParagraph"/>
        <w:numPr>
          <w:ilvl w:val="0"/>
          <w:numId w:val="15"/>
        </w:numPr>
        <w:spacing w:before="120" w:after="120"/>
        <w:rPr>
          <w:sz w:val="22"/>
        </w:rPr>
      </w:pPr>
      <w:r w:rsidRPr="003928C1">
        <w:rPr>
          <w:sz w:val="22"/>
        </w:rPr>
        <w:t xml:space="preserve">For a spatial merge candidate, its </w:t>
      </w:r>
      <w:r w:rsidR="00241EC5">
        <w:rPr>
          <w:sz w:val="22"/>
        </w:rPr>
        <w:t>L</w:t>
      </w:r>
      <w:r w:rsidRPr="003928C1">
        <w:rPr>
          <w:sz w:val="22"/>
        </w:rPr>
        <w:t>IC flag is set equal to that of the corresponding spatial neighboring block.</w:t>
      </w:r>
    </w:p>
    <w:p w14:paraId="47CC0D7F" w14:textId="545269E9" w:rsidR="00F91E38" w:rsidRPr="003928C1" w:rsidRDefault="00F91E38" w:rsidP="00C26966">
      <w:pPr>
        <w:pStyle w:val="ListParagraph"/>
        <w:numPr>
          <w:ilvl w:val="0"/>
          <w:numId w:val="15"/>
        </w:numPr>
        <w:spacing w:before="120" w:after="120"/>
        <w:rPr>
          <w:sz w:val="22"/>
        </w:rPr>
      </w:pPr>
      <w:r w:rsidRPr="003928C1">
        <w:rPr>
          <w:sz w:val="22"/>
        </w:rPr>
        <w:t xml:space="preserve">For temporal merge candidate, its </w:t>
      </w:r>
      <w:r w:rsidR="00241EC5">
        <w:rPr>
          <w:sz w:val="22"/>
        </w:rPr>
        <w:t>L</w:t>
      </w:r>
      <w:r w:rsidRPr="003928C1">
        <w:rPr>
          <w:sz w:val="22"/>
        </w:rPr>
        <w:t xml:space="preserve">IC flag is set equal to that of the corresponding temporal co-located block. For bi-prediction case, motion information may be derived from two different temporal co-located blocks. In this case, </w:t>
      </w:r>
      <w:r w:rsidR="00241EC5">
        <w:rPr>
          <w:sz w:val="22"/>
        </w:rPr>
        <w:t>L</w:t>
      </w:r>
      <w:r w:rsidRPr="003928C1">
        <w:rPr>
          <w:sz w:val="22"/>
        </w:rPr>
        <w:t>IC flag of temporal merge candidate is set to true if any of the two co-located blocks uses LIC and set to false otherwise.</w:t>
      </w:r>
    </w:p>
    <w:p w14:paraId="6C045792" w14:textId="236A6C95" w:rsidR="00F91E38" w:rsidRPr="003928C1" w:rsidRDefault="00F91E38" w:rsidP="00C26966">
      <w:pPr>
        <w:pStyle w:val="ListParagraph"/>
        <w:numPr>
          <w:ilvl w:val="0"/>
          <w:numId w:val="15"/>
        </w:numPr>
        <w:spacing w:before="120" w:after="120"/>
        <w:rPr>
          <w:sz w:val="22"/>
        </w:rPr>
      </w:pPr>
      <w:r w:rsidRPr="003928C1">
        <w:rPr>
          <w:sz w:val="22"/>
        </w:rPr>
        <w:t xml:space="preserve">For combined bi-predictive candidate, it is generated from two spatial/temporal merge candidates, and its </w:t>
      </w:r>
      <w:r w:rsidR="00331081">
        <w:rPr>
          <w:sz w:val="22"/>
        </w:rPr>
        <w:t>L</w:t>
      </w:r>
      <w:r w:rsidRPr="003928C1">
        <w:rPr>
          <w:sz w:val="22"/>
        </w:rPr>
        <w:t xml:space="preserve">IC flag is set to true if </w:t>
      </w:r>
      <w:r w:rsidR="00331081">
        <w:rPr>
          <w:sz w:val="22"/>
        </w:rPr>
        <w:t>L</w:t>
      </w:r>
      <w:r w:rsidRPr="003928C1">
        <w:rPr>
          <w:sz w:val="22"/>
        </w:rPr>
        <w:t>IC flag of any of the two source candidates is true and set to false otherwise.</w:t>
      </w:r>
    </w:p>
    <w:p w14:paraId="7DA07BA3" w14:textId="40D345BB" w:rsidR="00F91E38" w:rsidRPr="003928C1" w:rsidRDefault="00F91E38" w:rsidP="00C26966">
      <w:pPr>
        <w:pStyle w:val="ListParagraph"/>
        <w:numPr>
          <w:ilvl w:val="0"/>
          <w:numId w:val="15"/>
        </w:numPr>
        <w:spacing w:before="120" w:after="120"/>
        <w:rPr>
          <w:sz w:val="22"/>
        </w:rPr>
      </w:pPr>
      <w:r w:rsidRPr="003928C1">
        <w:rPr>
          <w:sz w:val="22"/>
        </w:rPr>
        <w:t xml:space="preserve">For </w:t>
      </w:r>
      <w:r w:rsidR="00AA41EF">
        <w:rPr>
          <w:sz w:val="22"/>
        </w:rPr>
        <w:t xml:space="preserve">the tailing </w:t>
      </w:r>
      <w:r w:rsidRPr="003928C1">
        <w:rPr>
          <w:sz w:val="22"/>
        </w:rPr>
        <w:t xml:space="preserve">zero </w:t>
      </w:r>
      <w:bookmarkStart w:id="8" w:name="OLE_LINK7"/>
      <w:bookmarkStart w:id="9" w:name="OLE_LINK12"/>
      <w:r w:rsidRPr="003928C1">
        <w:rPr>
          <w:sz w:val="22"/>
        </w:rPr>
        <w:t>merge candidate</w:t>
      </w:r>
      <w:bookmarkEnd w:id="8"/>
      <w:bookmarkEnd w:id="9"/>
      <w:r w:rsidRPr="003928C1">
        <w:rPr>
          <w:sz w:val="22"/>
        </w:rPr>
        <w:t xml:space="preserve">s, </w:t>
      </w:r>
      <w:r w:rsidR="00973A38">
        <w:rPr>
          <w:sz w:val="22"/>
        </w:rPr>
        <w:t>L</w:t>
      </w:r>
      <w:r w:rsidRPr="003928C1">
        <w:rPr>
          <w:sz w:val="22"/>
        </w:rPr>
        <w:t>IC flag is always set to false.</w:t>
      </w:r>
    </w:p>
    <w:p w14:paraId="10B4294F" w14:textId="67D57F7A" w:rsidR="00F91E38" w:rsidRPr="003928C1" w:rsidRDefault="00F91E38" w:rsidP="00C26966">
      <w:pPr>
        <w:spacing w:before="120" w:after="120"/>
        <w:rPr>
          <w:sz w:val="22"/>
        </w:rPr>
      </w:pPr>
      <w:r w:rsidRPr="003928C1">
        <w:rPr>
          <w:sz w:val="22"/>
        </w:rPr>
        <w:t xml:space="preserve">Meanwhile, </w:t>
      </w:r>
      <w:r w:rsidR="00973A38">
        <w:rPr>
          <w:sz w:val="22"/>
        </w:rPr>
        <w:t>L</w:t>
      </w:r>
      <w:r w:rsidRPr="003928C1">
        <w:rPr>
          <w:sz w:val="22"/>
        </w:rPr>
        <w:t xml:space="preserve">IC flag is considered in the pruning process, and two merge candidates are considered as different if they have different </w:t>
      </w:r>
      <w:r w:rsidR="00973A38">
        <w:rPr>
          <w:sz w:val="22"/>
        </w:rPr>
        <w:t>L</w:t>
      </w:r>
      <w:r w:rsidRPr="003928C1">
        <w:rPr>
          <w:sz w:val="22"/>
        </w:rPr>
        <w:t>IC flags.</w:t>
      </w:r>
    </w:p>
    <w:p w14:paraId="4E60E0F3" w14:textId="77777777" w:rsidR="00804B15" w:rsidRDefault="009020C3" w:rsidP="00C26966">
      <w:pPr>
        <w:pStyle w:val="Heading2"/>
        <w:keepLines/>
        <w:numPr>
          <w:ilvl w:val="1"/>
          <w:numId w:val="3"/>
        </w:numPr>
        <w:tabs>
          <w:tab w:val="left" w:pos="794"/>
          <w:tab w:val="left" w:pos="1191"/>
          <w:tab w:val="left" w:pos="1588"/>
          <w:tab w:val="left" w:pos="1985"/>
          <w:tab w:val="num" w:pos="31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</w:pPr>
      <w:r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  <w:t>Interaction with other tools</w:t>
      </w:r>
    </w:p>
    <w:p w14:paraId="7D0B92B8" w14:textId="12716EFD" w:rsidR="00804B15" w:rsidRPr="00FE1BA1" w:rsidRDefault="00804B15" w:rsidP="00C26966">
      <w:pPr>
        <w:spacing w:before="120" w:after="120"/>
        <w:rPr>
          <w:sz w:val="22"/>
        </w:rPr>
      </w:pPr>
      <w:r w:rsidRPr="00FE1BA1">
        <w:rPr>
          <w:sz w:val="22"/>
        </w:rPr>
        <w:t xml:space="preserve">Interaction of LIC with Overlapped Block Motion Compensation (OBMC): in OBMC, when performing motion compensation using a neighboring motion information, </w:t>
      </w:r>
      <w:r w:rsidR="00966E0B">
        <w:rPr>
          <w:sz w:val="22"/>
        </w:rPr>
        <w:t>L</w:t>
      </w:r>
      <w:r w:rsidRPr="00FE1BA1">
        <w:rPr>
          <w:sz w:val="22"/>
        </w:rPr>
        <w:t xml:space="preserve">IC flag of the current CU (instead of the neighboring block) applies. When </w:t>
      </w:r>
      <w:r w:rsidR="00973A38">
        <w:rPr>
          <w:sz w:val="22"/>
        </w:rPr>
        <w:t>L</w:t>
      </w:r>
      <w:r w:rsidRPr="00FE1BA1">
        <w:rPr>
          <w:sz w:val="22"/>
        </w:rPr>
        <w:t xml:space="preserve">IC flag of the current CU is true, in </w:t>
      </w:r>
      <w:r w:rsidR="003E02A7" w:rsidRPr="00FE1BA1">
        <w:rPr>
          <w:sz w:val="22"/>
        </w:rPr>
        <w:t xml:space="preserve">the </w:t>
      </w:r>
      <w:r w:rsidRPr="00FE1BA1">
        <w:rPr>
          <w:sz w:val="22"/>
        </w:rPr>
        <w:t>motion compensation process</w:t>
      </w:r>
      <w:r w:rsidR="003E02A7" w:rsidRPr="00FE1BA1">
        <w:rPr>
          <w:sz w:val="22"/>
        </w:rPr>
        <w:t xml:space="preserve"> for a neighboring motion information</w:t>
      </w:r>
      <w:r w:rsidRPr="00FE1BA1">
        <w:rPr>
          <w:sz w:val="22"/>
        </w:rPr>
        <w:t xml:space="preserve">, </w:t>
      </w:r>
      <w:r w:rsidR="00973A38">
        <w:rPr>
          <w:sz w:val="22"/>
        </w:rPr>
        <w:t>L</w:t>
      </w:r>
      <w:r w:rsidRPr="00FE1BA1">
        <w:rPr>
          <w:sz w:val="22"/>
        </w:rPr>
        <w:t>IC parameters are derived by using neighboring samples of current CU and its corresponding pixels identified by the neighboring motion information.</w:t>
      </w:r>
    </w:p>
    <w:p w14:paraId="0F9B55FC" w14:textId="77777777" w:rsidR="00804B15" w:rsidRDefault="00804B15" w:rsidP="00C26966">
      <w:pPr>
        <w:pStyle w:val="Heading2"/>
        <w:keepLines/>
        <w:numPr>
          <w:ilvl w:val="1"/>
          <w:numId w:val="3"/>
        </w:numPr>
        <w:tabs>
          <w:tab w:val="left" w:pos="794"/>
          <w:tab w:val="left" w:pos="1191"/>
          <w:tab w:val="left" w:pos="1588"/>
          <w:tab w:val="left" w:pos="1985"/>
          <w:tab w:val="num" w:pos="315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</w:pPr>
      <w:r w:rsidRPr="00804B15">
        <w:rPr>
          <w:rFonts w:ascii="Times New Roman" w:hAnsi="Times New Roman"/>
          <w:bCs w:val="0"/>
          <w:i w:val="0"/>
          <w:iCs w:val="0"/>
          <w:sz w:val="24"/>
          <w:szCs w:val="24"/>
          <w:lang w:val="en-CA"/>
        </w:rPr>
        <w:t>Encoder complexity reduction</w:t>
      </w:r>
    </w:p>
    <w:p w14:paraId="561F54B1" w14:textId="20CB6C5E" w:rsidR="00804B15" w:rsidRPr="003928C1" w:rsidRDefault="00804B15" w:rsidP="00C26966">
      <w:pPr>
        <w:spacing w:before="120" w:after="120"/>
        <w:rPr>
          <w:sz w:val="22"/>
        </w:rPr>
      </w:pPr>
      <w:r w:rsidRPr="003928C1">
        <w:rPr>
          <w:sz w:val="22"/>
        </w:rPr>
        <w:t>To reduce the encoder complexity</w:t>
      </w:r>
      <w:r w:rsidR="003928C1">
        <w:rPr>
          <w:sz w:val="22"/>
        </w:rPr>
        <w:t xml:space="preserve">, </w:t>
      </w:r>
      <w:r w:rsidRPr="003928C1">
        <w:rPr>
          <w:sz w:val="22"/>
        </w:rPr>
        <w:t xml:space="preserve">LIC can be disabled for the entire </w:t>
      </w:r>
      <w:bookmarkStart w:id="10" w:name="OLE_LINK10"/>
      <w:bookmarkStart w:id="11" w:name="OLE_LINK11"/>
      <w:r w:rsidR="002260B7" w:rsidRPr="003928C1">
        <w:rPr>
          <w:sz w:val="22"/>
        </w:rPr>
        <w:t>picture</w:t>
      </w:r>
      <w:r w:rsidRPr="003928C1">
        <w:rPr>
          <w:sz w:val="22"/>
        </w:rPr>
        <w:t xml:space="preserve"> </w:t>
      </w:r>
      <w:bookmarkEnd w:id="10"/>
      <w:bookmarkEnd w:id="11"/>
      <w:r w:rsidRPr="003928C1">
        <w:rPr>
          <w:sz w:val="22"/>
        </w:rPr>
        <w:t xml:space="preserve">when there is no </w:t>
      </w:r>
      <w:r w:rsidR="00FE1BA1">
        <w:rPr>
          <w:sz w:val="22"/>
        </w:rPr>
        <w:t>significant</w:t>
      </w:r>
      <w:r w:rsidR="00FE1BA1" w:rsidRPr="00ED0912">
        <w:rPr>
          <w:sz w:val="22"/>
        </w:rPr>
        <w:t xml:space="preserve"> </w:t>
      </w:r>
      <w:r w:rsidRPr="003928C1">
        <w:rPr>
          <w:sz w:val="22"/>
        </w:rPr>
        <w:t xml:space="preserve">illumination change between </w:t>
      </w:r>
      <w:r w:rsidR="00481FAB">
        <w:rPr>
          <w:sz w:val="22"/>
        </w:rPr>
        <w:t xml:space="preserve">a </w:t>
      </w:r>
      <w:r w:rsidRPr="003928C1">
        <w:rPr>
          <w:sz w:val="22"/>
        </w:rPr>
        <w:t xml:space="preserve">current picture and its reference pictures. </w:t>
      </w:r>
      <w:r w:rsidR="00481FAB">
        <w:rPr>
          <w:sz w:val="22"/>
        </w:rPr>
        <w:t>To identify this situation, h</w:t>
      </w:r>
      <w:r w:rsidRPr="003928C1">
        <w:rPr>
          <w:sz w:val="22"/>
        </w:rPr>
        <w:t>istogram</w:t>
      </w:r>
      <w:r w:rsidR="00481FAB">
        <w:rPr>
          <w:sz w:val="22"/>
        </w:rPr>
        <w:t>s</w:t>
      </w:r>
      <w:r w:rsidRPr="003928C1">
        <w:rPr>
          <w:sz w:val="22"/>
        </w:rPr>
        <w:t xml:space="preserve"> of current picture and every reference picture </w:t>
      </w:r>
      <w:r w:rsidR="00481FAB">
        <w:rPr>
          <w:sz w:val="22"/>
        </w:rPr>
        <w:t>are</w:t>
      </w:r>
      <w:r w:rsidR="00481FAB" w:rsidRPr="003928C1">
        <w:rPr>
          <w:sz w:val="22"/>
        </w:rPr>
        <w:t xml:space="preserve"> </w:t>
      </w:r>
      <w:r w:rsidRPr="003928C1">
        <w:rPr>
          <w:sz w:val="22"/>
        </w:rPr>
        <w:t>calculated</w:t>
      </w:r>
      <w:r w:rsidR="00481FAB">
        <w:rPr>
          <w:sz w:val="22"/>
        </w:rPr>
        <w:t xml:space="preserve"> at the encoder</w:t>
      </w:r>
      <w:r w:rsidRPr="003928C1">
        <w:rPr>
          <w:sz w:val="22"/>
        </w:rPr>
        <w:t xml:space="preserve">. If the histogram difference between current picture and every reference picture is smaller than a given threshold, LIC is disabled for the current </w:t>
      </w:r>
      <w:r w:rsidR="002260B7" w:rsidRPr="003928C1">
        <w:rPr>
          <w:sz w:val="22"/>
        </w:rPr>
        <w:t>picture</w:t>
      </w:r>
      <w:r w:rsidRPr="003928C1">
        <w:rPr>
          <w:sz w:val="22"/>
        </w:rPr>
        <w:t xml:space="preserve">; otherwise, LIC is enabled. </w:t>
      </w:r>
      <w:r w:rsidR="00481FAB">
        <w:rPr>
          <w:sz w:val="22"/>
        </w:rPr>
        <w:t>Furthermore</w:t>
      </w:r>
      <w:r w:rsidRPr="003928C1">
        <w:rPr>
          <w:sz w:val="22"/>
        </w:rPr>
        <w:t>, LIC is disabled for CU coded with non-2Nx2N partition modes.</w:t>
      </w:r>
    </w:p>
    <w:p w14:paraId="0B00F4A1" w14:textId="77777777" w:rsidR="003F010B" w:rsidRPr="00937823" w:rsidRDefault="0045191E" w:rsidP="00C26966">
      <w:pPr>
        <w:pStyle w:val="Heading1"/>
        <w:numPr>
          <w:ilvl w:val="0"/>
          <w:numId w:val="3"/>
        </w:numPr>
        <w:spacing w:before="120" w:after="1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Simulation results</w:t>
      </w:r>
    </w:p>
    <w:p w14:paraId="3EB56E4C" w14:textId="7E266CBD" w:rsidR="0045191E" w:rsidRPr="003928C1" w:rsidRDefault="0045191E" w:rsidP="00C26966">
      <w:pPr>
        <w:spacing w:before="120" w:after="120"/>
        <w:rPr>
          <w:sz w:val="22"/>
          <w:szCs w:val="22"/>
        </w:rPr>
      </w:pPr>
      <w:r w:rsidRPr="003928C1">
        <w:rPr>
          <w:sz w:val="22"/>
          <w:szCs w:val="22"/>
        </w:rPr>
        <w:t xml:space="preserve">LIC was implemented on top of VCEG HM KTA-1.0 </w:t>
      </w:r>
      <w:r w:rsidR="006E215B" w:rsidRPr="003928C1">
        <w:rPr>
          <w:sz w:val="22"/>
          <w:szCs w:val="22"/>
        </w:rPr>
        <w:fldChar w:fldCharType="begin"/>
      </w:r>
      <w:r w:rsidR="006E215B" w:rsidRPr="003928C1">
        <w:rPr>
          <w:sz w:val="22"/>
          <w:szCs w:val="22"/>
        </w:rPr>
        <w:instrText xml:space="preserve"> REF _Ref422150031 \r \h </w:instrText>
      </w:r>
      <w:r w:rsidR="00353B8E">
        <w:rPr>
          <w:sz w:val="22"/>
          <w:szCs w:val="22"/>
        </w:rPr>
        <w:instrText xml:space="preserve"> \* MERGEFORMAT </w:instrText>
      </w:r>
      <w:r w:rsidR="006E215B" w:rsidRPr="003928C1">
        <w:rPr>
          <w:sz w:val="22"/>
          <w:szCs w:val="22"/>
        </w:rPr>
      </w:r>
      <w:r w:rsidR="006E215B" w:rsidRPr="003928C1">
        <w:rPr>
          <w:sz w:val="22"/>
          <w:szCs w:val="22"/>
        </w:rPr>
        <w:fldChar w:fldCharType="separate"/>
      </w:r>
      <w:r w:rsidR="0042451E" w:rsidRPr="003928C1">
        <w:rPr>
          <w:sz w:val="22"/>
          <w:szCs w:val="22"/>
        </w:rPr>
        <w:t>[5]</w:t>
      </w:r>
      <w:r w:rsidR="006E215B" w:rsidRPr="003928C1">
        <w:rPr>
          <w:sz w:val="22"/>
          <w:szCs w:val="22"/>
        </w:rPr>
        <w:fldChar w:fldCharType="end"/>
      </w:r>
      <w:r w:rsidR="006E215B" w:rsidRPr="003928C1">
        <w:rPr>
          <w:sz w:val="22"/>
          <w:szCs w:val="22"/>
        </w:rPr>
        <w:t xml:space="preserve"> </w:t>
      </w:r>
      <w:r w:rsidRPr="003928C1">
        <w:rPr>
          <w:sz w:val="22"/>
          <w:szCs w:val="22"/>
        </w:rPr>
        <w:t xml:space="preserve">and simulations were conducted following the JCT-VC </w:t>
      </w:r>
      <w:r w:rsidR="00D06415" w:rsidRPr="003928C1">
        <w:rPr>
          <w:sz w:val="22"/>
          <w:szCs w:val="22"/>
        </w:rPr>
        <w:t>C</w:t>
      </w:r>
      <w:r w:rsidRPr="003928C1">
        <w:rPr>
          <w:sz w:val="22"/>
          <w:szCs w:val="22"/>
        </w:rPr>
        <w:t xml:space="preserve">ommon </w:t>
      </w:r>
      <w:r w:rsidR="00D06415" w:rsidRPr="003928C1">
        <w:rPr>
          <w:sz w:val="22"/>
          <w:szCs w:val="22"/>
        </w:rPr>
        <w:t>T</w:t>
      </w:r>
      <w:r w:rsidRPr="003928C1">
        <w:rPr>
          <w:sz w:val="22"/>
          <w:szCs w:val="22"/>
        </w:rPr>
        <w:t xml:space="preserve">est </w:t>
      </w:r>
      <w:r w:rsidR="00D06415" w:rsidRPr="003928C1">
        <w:rPr>
          <w:sz w:val="22"/>
          <w:szCs w:val="22"/>
        </w:rPr>
        <w:t>C</w:t>
      </w:r>
      <w:r w:rsidRPr="003928C1">
        <w:rPr>
          <w:sz w:val="22"/>
          <w:szCs w:val="22"/>
        </w:rPr>
        <w:t>ondition</w:t>
      </w:r>
      <w:r w:rsidR="00D06415" w:rsidRPr="003928C1">
        <w:rPr>
          <w:sz w:val="22"/>
          <w:szCs w:val="22"/>
        </w:rPr>
        <w:t xml:space="preserve"> (CTC)</w:t>
      </w:r>
      <w:r w:rsidRPr="003928C1">
        <w:rPr>
          <w:sz w:val="22"/>
          <w:szCs w:val="22"/>
        </w:rPr>
        <w:t xml:space="preserve"> used during HEVC development</w:t>
      </w:r>
      <w:r w:rsidR="00225E56" w:rsidRPr="003928C1">
        <w:rPr>
          <w:sz w:val="22"/>
          <w:szCs w:val="22"/>
        </w:rPr>
        <w:t xml:space="preserve"> </w:t>
      </w:r>
      <w:r w:rsidR="00225E56" w:rsidRPr="003928C1">
        <w:rPr>
          <w:sz w:val="22"/>
          <w:szCs w:val="22"/>
        </w:rPr>
        <w:fldChar w:fldCharType="begin"/>
      </w:r>
      <w:r w:rsidR="00225E56" w:rsidRPr="003928C1">
        <w:rPr>
          <w:sz w:val="22"/>
          <w:szCs w:val="22"/>
        </w:rPr>
        <w:instrText xml:space="preserve"> REF _Ref421776584 \r \h </w:instrText>
      </w:r>
      <w:r w:rsidR="00353B8E">
        <w:rPr>
          <w:sz w:val="22"/>
          <w:szCs w:val="22"/>
        </w:rPr>
        <w:instrText xml:space="preserve"> \* MERGEFORMAT </w:instrText>
      </w:r>
      <w:r w:rsidR="00225E56" w:rsidRPr="003928C1">
        <w:rPr>
          <w:sz w:val="22"/>
          <w:szCs w:val="22"/>
        </w:rPr>
      </w:r>
      <w:r w:rsidR="00225E56" w:rsidRPr="003928C1">
        <w:rPr>
          <w:sz w:val="22"/>
          <w:szCs w:val="22"/>
        </w:rPr>
        <w:fldChar w:fldCharType="separate"/>
      </w:r>
      <w:r w:rsidR="0042451E" w:rsidRPr="003928C1">
        <w:rPr>
          <w:sz w:val="22"/>
          <w:szCs w:val="22"/>
        </w:rPr>
        <w:t>[6]</w:t>
      </w:r>
      <w:r w:rsidR="00225E56" w:rsidRPr="003928C1">
        <w:rPr>
          <w:sz w:val="22"/>
          <w:szCs w:val="22"/>
        </w:rPr>
        <w:fldChar w:fldCharType="end"/>
      </w:r>
      <w:r w:rsidRPr="003928C1">
        <w:rPr>
          <w:sz w:val="22"/>
          <w:szCs w:val="22"/>
        </w:rPr>
        <w:t>.</w:t>
      </w:r>
      <w:r w:rsidR="001B403C" w:rsidRPr="003928C1">
        <w:rPr>
          <w:sz w:val="22"/>
          <w:szCs w:val="22"/>
        </w:rPr>
        <w:t xml:space="preserve"> Besides </w:t>
      </w:r>
      <w:r w:rsidR="00E641D6">
        <w:rPr>
          <w:sz w:val="22"/>
          <w:szCs w:val="22"/>
        </w:rPr>
        <w:t xml:space="preserve">the </w:t>
      </w:r>
      <w:r w:rsidR="001B403C" w:rsidRPr="003928C1">
        <w:rPr>
          <w:sz w:val="22"/>
          <w:szCs w:val="22"/>
        </w:rPr>
        <w:t xml:space="preserve">test sequences used in </w:t>
      </w:r>
      <w:r w:rsidR="00D06415" w:rsidRPr="003928C1">
        <w:rPr>
          <w:sz w:val="22"/>
          <w:szCs w:val="22"/>
        </w:rPr>
        <w:t>HEVC CTC</w:t>
      </w:r>
      <w:r w:rsidR="001B403C" w:rsidRPr="003928C1">
        <w:rPr>
          <w:sz w:val="22"/>
          <w:szCs w:val="22"/>
        </w:rPr>
        <w:t xml:space="preserve">, </w:t>
      </w:r>
      <w:r w:rsidR="00EF2211" w:rsidRPr="003928C1">
        <w:rPr>
          <w:sz w:val="22"/>
          <w:szCs w:val="22"/>
        </w:rPr>
        <w:t xml:space="preserve">new sequences including </w:t>
      </w:r>
      <w:r w:rsidR="00512CCB" w:rsidRPr="003928C1">
        <w:rPr>
          <w:sz w:val="22"/>
          <w:szCs w:val="22"/>
        </w:rPr>
        <w:t xml:space="preserve">five </w:t>
      </w:r>
      <w:r w:rsidR="001B403C" w:rsidRPr="003928C1">
        <w:rPr>
          <w:sz w:val="22"/>
          <w:szCs w:val="22"/>
        </w:rPr>
        <w:t>High Dynamic Range (HDR) sequences</w:t>
      </w:r>
      <w:r w:rsidR="00667B11" w:rsidRPr="003928C1">
        <w:rPr>
          <w:sz w:val="22"/>
          <w:szCs w:val="22"/>
        </w:rPr>
        <w:t xml:space="preserve"> </w:t>
      </w:r>
      <w:r w:rsidR="00667B11" w:rsidRPr="003928C1">
        <w:rPr>
          <w:sz w:val="22"/>
          <w:szCs w:val="22"/>
        </w:rPr>
        <w:fldChar w:fldCharType="begin"/>
      </w:r>
      <w:r w:rsidR="00667B11" w:rsidRPr="003928C1">
        <w:rPr>
          <w:sz w:val="22"/>
          <w:szCs w:val="22"/>
        </w:rPr>
        <w:instrText xml:space="preserve"> REF _Ref422137558 \r \h </w:instrText>
      </w:r>
      <w:r w:rsidR="00353B8E">
        <w:rPr>
          <w:sz w:val="22"/>
          <w:szCs w:val="22"/>
        </w:rPr>
        <w:instrText xml:space="preserve"> \* MERGEFORMAT </w:instrText>
      </w:r>
      <w:r w:rsidR="00667B11" w:rsidRPr="003928C1">
        <w:rPr>
          <w:sz w:val="22"/>
          <w:szCs w:val="22"/>
        </w:rPr>
      </w:r>
      <w:r w:rsidR="00667B11" w:rsidRPr="003928C1">
        <w:rPr>
          <w:sz w:val="22"/>
          <w:szCs w:val="22"/>
        </w:rPr>
        <w:fldChar w:fldCharType="separate"/>
      </w:r>
      <w:r w:rsidR="0042451E" w:rsidRPr="003928C1">
        <w:rPr>
          <w:sz w:val="22"/>
          <w:szCs w:val="22"/>
        </w:rPr>
        <w:t>[7]</w:t>
      </w:r>
      <w:r w:rsidR="00667B11" w:rsidRPr="003928C1">
        <w:rPr>
          <w:sz w:val="22"/>
          <w:szCs w:val="22"/>
        </w:rPr>
        <w:fldChar w:fldCharType="end"/>
      </w:r>
      <w:r w:rsidR="001B403C" w:rsidRPr="003928C1">
        <w:rPr>
          <w:sz w:val="22"/>
          <w:szCs w:val="22"/>
        </w:rPr>
        <w:t xml:space="preserve"> and </w:t>
      </w:r>
      <w:r w:rsidR="00512CCB" w:rsidRPr="003928C1">
        <w:rPr>
          <w:sz w:val="22"/>
          <w:szCs w:val="22"/>
        </w:rPr>
        <w:t xml:space="preserve">five </w:t>
      </w:r>
      <w:r w:rsidR="001B403C" w:rsidRPr="003928C1">
        <w:rPr>
          <w:sz w:val="22"/>
          <w:szCs w:val="22"/>
        </w:rPr>
        <w:t>Wide Color Gamut (WCG) sequences</w:t>
      </w:r>
      <w:r w:rsidR="00A3164A" w:rsidRPr="003928C1">
        <w:rPr>
          <w:sz w:val="22"/>
          <w:szCs w:val="22"/>
        </w:rPr>
        <w:t xml:space="preserve"> </w:t>
      </w:r>
      <w:r w:rsidR="00A3164A" w:rsidRPr="003928C1">
        <w:rPr>
          <w:sz w:val="22"/>
          <w:szCs w:val="22"/>
        </w:rPr>
        <w:fldChar w:fldCharType="begin"/>
      </w:r>
      <w:r w:rsidR="00A3164A" w:rsidRPr="003928C1">
        <w:rPr>
          <w:sz w:val="22"/>
          <w:szCs w:val="22"/>
        </w:rPr>
        <w:instrText xml:space="preserve"> REF _Ref422071380 \r \h </w:instrText>
      </w:r>
      <w:r w:rsidR="00353B8E">
        <w:rPr>
          <w:sz w:val="22"/>
          <w:szCs w:val="22"/>
        </w:rPr>
        <w:instrText xml:space="preserve"> \* MERGEFORMAT </w:instrText>
      </w:r>
      <w:r w:rsidR="00A3164A" w:rsidRPr="003928C1">
        <w:rPr>
          <w:sz w:val="22"/>
          <w:szCs w:val="22"/>
        </w:rPr>
      </w:r>
      <w:r w:rsidR="00A3164A" w:rsidRPr="003928C1">
        <w:rPr>
          <w:sz w:val="22"/>
          <w:szCs w:val="22"/>
        </w:rPr>
        <w:fldChar w:fldCharType="separate"/>
      </w:r>
      <w:r w:rsidR="0042451E" w:rsidRPr="003928C1">
        <w:rPr>
          <w:sz w:val="22"/>
          <w:szCs w:val="22"/>
        </w:rPr>
        <w:t>[8]</w:t>
      </w:r>
      <w:r w:rsidR="00A3164A" w:rsidRPr="003928C1">
        <w:rPr>
          <w:sz w:val="22"/>
          <w:szCs w:val="22"/>
        </w:rPr>
        <w:fldChar w:fldCharType="end"/>
      </w:r>
      <w:r w:rsidR="001B403C" w:rsidRPr="003928C1">
        <w:rPr>
          <w:sz w:val="22"/>
          <w:szCs w:val="22"/>
        </w:rPr>
        <w:t xml:space="preserve"> are also used in our test.</w:t>
      </w:r>
      <w:r w:rsidR="00512CCB" w:rsidRPr="003928C1">
        <w:rPr>
          <w:sz w:val="22"/>
          <w:szCs w:val="22"/>
        </w:rPr>
        <w:t xml:space="preserve"> </w:t>
      </w:r>
    </w:p>
    <w:p w14:paraId="4EAEBCE9" w14:textId="17094DF4" w:rsidR="00177FB7" w:rsidRPr="003928C1" w:rsidRDefault="0045191E" w:rsidP="00AA41EF">
      <w:pPr>
        <w:spacing w:before="120" w:after="120"/>
        <w:rPr>
          <w:sz w:val="22"/>
          <w:szCs w:val="22"/>
        </w:rPr>
      </w:pPr>
      <w:r w:rsidRPr="003928C1">
        <w:rPr>
          <w:sz w:val="22"/>
          <w:szCs w:val="22"/>
        </w:rPr>
        <w:t>As shown in Table 1</w:t>
      </w:r>
      <w:r w:rsidR="00DA4E02" w:rsidRPr="003928C1">
        <w:rPr>
          <w:sz w:val="22"/>
          <w:szCs w:val="22"/>
        </w:rPr>
        <w:t>, LIC provides 0</w:t>
      </w:r>
      <w:r w:rsidRPr="003928C1">
        <w:rPr>
          <w:sz w:val="22"/>
          <w:szCs w:val="22"/>
        </w:rPr>
        <w:t>.</w:t>
      </w:r>
      <w:r w:rsidR="00DA4E02" w:rsidRPr="003928C1">
        <w:rPr>
          <w:sz w:val="22"/>
          <w:szCs w:val="22"/>
        </w:rPr>
        <w:t>36</w:t>
      </w:r>
      <w:r w:rsidR="00B57B51" w:rsidRPr="003928C1">
        <w:rPr>
          <w:sz w:val="22"/>
          <w:szCs w:val="22"/>
        </w:rPr>
        <w:t>%</w:t>
      </w:r>
      <w:r w:rsidR="00DA4E02" w:rsidRPr="003928C1">
        <w:rPr>
          <w:sz w:val="22"/>
          <w:szCs w:val="22"/>
        </w:rPr>
        <w:t xml:space="preserve"> and 0.33 </w:t>
      </w:r>
      <w:r w:rsidR="00B57B51" w:rsidRPr="003928C1">
        <w:rPr>
          <w:sz w:val="22"/>
          <w:szCs w:val="22"/>
        </w:rPr>
        <w:t>% luma BD rate reduction, for Random A</w:t>
      </w:r>
      <w:r w:rsidRPr="003928C1">
        <w:rPr>
          <w:sz w:val="22"/>
          <w:szCs w:val="22"/>
        </w:rPr>
        <w:t>ccess</w:t>
      </w:r>
      <w:r w:rsidR="00B57B51" w:rsidRPr="003928C1">
        <w:rPr>
          <w:sz w:val="22"/>
          <w:szCs w:val="22"/>
        </w:rPr>
        <w:t xml:space="preserve"> (RA) and L</w:t>
      </w:r>
      <w:r w:rsidRPr="003928C1">
        <w:rPr>
          <w:sz w:val="22"/>
          <w:szCs w:val="22"/>
        </w:rPr>
        <w:t xml:space="preserve">ow </w:t>
      </w:r>
      <w:r w:rsidR="00B57B51" w:rsidRPr="003928C1">
        <w:rPr>
          <w:sz w:val="22"/>
          <w:szCs w:val="22"/>
        </w:rPr>
        <w:t>D</w:t>
      </w:r>
      <w:r w:rsidRPr="003928C1">
        <w:rPr>
          <w:sz w:val="22"/>
          <w:szCs w:val="22"/>
        </w:rPr>
        <w:t>elay</w:t>
      </w:r>
      <w:r w:rsidR="00B57B51" w:rsidRPr="003928C1">
        <w:rPr>
          <w:sz w:val="22"/>
          <w:szCs w:val="22"/>
        </w:rPr>
        <w:t xml:space="preserve"> (LD)</w:t>
      </w:r>
      <w:r w:rsidRPr="003928C1">
        <w:rPr>
          <w:sz w:val="22"/>
          <w:szCs w:val="22"/>
        </w:rPr>
        <w:t xml:space="preserve"> configurations</w:t>
      </w:r>
      <w:r w:rsidR="00000B87" w:rsidRPr="003928C1">
        <w:rPr>
          <w:sz w:val="22"/>
          <w:szCs w:val="22"/>
        </w:rPr>
        <w:t xml:space="preserve"> for </w:t>
      </w:r>
      <w:r w:rsidR="00DA4E02" w:rsidRPr="003928C1">
        <w:rPr>
          <w:sz w:val="22"/>
          <w:szCs w:val="22"/>
        </w:rPr>
        <w:t>HEVC CTC</w:t>
      </w:r>
      <w:r w:rsidR="00000B87" w:rsidRPr="003928C1">
        <w:rPr>
          <w:sz w:val="22"/>
          <w:szCs w:val="22"/>
        </w:rPr>
        <w:t xml:space="preserve"> sequences</w:t>
      </w:r>
      <w:r w:rsidRPr="003928C1">
        <w:rPr>
          <w:sz w:val="22"/>
          <w:szCs w:val="22"/>
        </w:rPr>
        <w:t>.</w:t>
      </w:r>
      <w:r w:rsidR="00681BDB" w:rsidRPr="003928C1">
        <w:rPr>
          <w:sz w:val="22"/>
          <w:szCs w:val="22"/>
        </w:rPr>
        <w:t xml:space="preserve"> </w:t>
      </w:r>
      <w:r w:rsidR="00EF2211" w:rsidRPr="003928C1">
        <w:rPr>
          <w:sz w:val="22"/>
          <w:szCs w:val="22"/>
        </w:rPr>
        <w:t xml:space="preserve">Meanwhile, it provides </w:t>
      </w:r>
      <w:r w:rsidR="003279D8" w:rsidRPr="003928C1">
        <w:rPr>
          <w:sz w:val="22"/>
          <w:szCs w:val="22"/>
        </w:rPr>
        <w:t>3</w:t>
      </w:r>
      <w:r w:rsidR="00EF2211" w:rsidRPr="003928C1">
        <w:rPr>
          <w:sz w:val="22"/>
          <w:szCs w:val="22"/>
        </w:rPr>
        <w:t>.</w:t>
      </w:r>
      <w:r w:rsidR="003279D8" w:rsidRPr="003928C1">
        <w:rPr>
          <w:sz w:val="22"/>
          <w:szCs w:val="22"/>
        </w:rPr>
        <w:t>58</w:t>
      </w:r>
      <w:r w:rsidR="00EF2211" w:rsidRPr="003928C1">
        <w:rPr>
          <w:sz w:val="22"/>
          <w:szCs w:val="22"/>
        </w:rPr>
        <w:t xml:space="preserve">% and </w:t>
      </w:r>
      <w:r w:rsidR="003279D8" w:rsidRPr="003928C1">
        <w:rPr>
          <w:sz w:val="22"/>
          <w:szCs w:val="22"/>
        </w:rPr>
        <w:t>3</w:t>
      </w:r>
      <w:r w:rsidR="00EF2211" w:rsidRPr="003928C1">
        <w:rPr>
          <w:sz w:val="22"/>
          <w:szCs w:val="22"/>
        </w:rPr>
        <w:t>.</w:t>
      </w:r>
      <w:r w:rsidR="003279D8" w:rsidRPr="003928C1">
        <w:rPr>
          <w:sz w:val="22"/>
          <w:szCs w:val="22"/>
        </w:rPr>
        <w:t>5</w:t>
      </w:r>
      <w:r w:rsidR="00EF2211" w:rsidRPr="003928C1">
        <w:rPr>
          <w:sz w:val="22"/>
          <w:szCs w:val="22"/>
        </w:rPr>
        <w:t>4%</w:t>
      </w:r>
      <w:r w:rsidR="00B57B51" w:rsidRPr="003928C1">
        <w:rPr>
          <w:sz w:val="22"/>
          <w:szCs w:val="22"/>
        </w:rPr>
        <w:t xml:space="preserve"> luma BD</w:t>
      </w:r>
      <w:r w:rsidR="00EF2211" w:rsidRPr="003928C1">
        <w:rPr>
          <w:sz w:val="22"/>
          <w:szCs w:val="22"/>
        </w:rPr>
        <w:t xml:space="preserve"> bit rate reduction, for </w:t>
      </w:r>
      <w:r w:rsidR="00B20F08" w:rsidRPr="003928C1">
        <w:rPr>
          <w:sz w:val="22"/>
          <w:szCs w:val="22"/>
        </w:rPr>
        <w:t>RA</w:t>
      </w:r>
      <w:r w:rsidR="00EF2211" w:rsidRPr="003928C1">
        <w:rPr>
          <w:sz w:val="22"/>
          <w:szCs w:val="22"/>
        </w:rPr>
        <w:t xml:space="preserve"> and </w:t>
      </w:r>
      <w:r w:rsidR="00B20F08" w:rsidRPr="003928C1">
        <w:rPr>
          <w:sz w:val="22"/>
          <w:szCs w:val="22"/>
        </w:rPr>
        <w:t>LD</w:t>
      </w:r>
      <w:r w:rsidR="00EF2211" w:rsidRPr="003928C1">
        <w:rPr>
          <w:sz w:val="22"/>
          <w:szCs w:val="22"/>
        </w:rPr>
        <w:t xml:space="preserve"> configurations for new sequences, as shown in Table 2. </w:t>
      </w:r>
    </w:p>
    <w:p w14:paraId="20922145" w14:textId="77777777" w:rsidR="00125486" w:rsidRDefault="00125486" w:rsidP="00125486">
      <w:pPr>
        <w:pStyle w:val="Caption"/>
        <w:keepNext/>
        <w:keepLines/>
        <w:overflowPunct/>
        <w:autoSpaceDE/>
        <w:autoSpaceDN/>
        <w:adjustRightInd/>
        <w:spacing w:before="200" w:after="120"/>
        <w:jc w:val="center"/>
        <w:textAlignment w:val="auto"/>
        <w:rPr>
          <w:rFonts w:eastAsia="SimSun"/>
          <w:b w:val="0"/>
          <w:bCs w:val="0"/>
          <w:i/>
          <w:iCs/>
        </w:rPr>
      </w:pPr>
      <w:r w:rsidRPr="00BA7087">
        <w:rPr>
          <w:rFonts w:eastAsia="SimSun"/>
        </w:rPr>
        <w:t xml:space="preserve">Table </w:t>
      </w:r>
      <w:r w:rsidRPr="00BA7087">
        <w:rPr>
          <w:rFonts w:eastAsia="SimSun"/>
          <w:b w:val="0"/>
          <w:bCs w:val="0"/>
          <w:i/>
          <w:iCs/>
        </w:rPr>
        <w:fldChar w:fldCharType="begin"/>
      </w:r>
      <w:r w:rsidRPr="00BA7087">
        <w:rPr>
          <w:rFonts w:eastAsia="SimSun"/>
        </w:rPr>
        <w:instrText xml:space="preserve"> SEQ Table \* ARABIC </w:instrText>
      </w:r>
      <w:r w:rsidRPr="00BA7087">
        <w:rPr>
          <w:rFonts w:eastAsia="SimSun"/>
          <w:b w:val="0"/>
          <w:bCs w:val="0"/>
          <w:i/>
          <w:iCs/>
        </w:rPr>
        <w:fldChar w:fldCharType="separate"/>
      </w:r>
      <w:r w:rsidR="0042451E">
        <w:rPr>
          <w:rFonts w:eastAsia="SimSun"/>
          <w:noProof/>
        </w:rPr>
        <w:t>1</w:t>
      </w:r>
      <w:r w:rsidRPr="00BA7087">
        <w:rPr>
          <w:rFonts w:eastAsia="SimSun"/>
          <w:b w:val="0"/>
          <w:bCs w:val="0"/>
          <w:i/>
          <w:iCs/>
        </w:rPr>
        <w:fldChar w:fldCharType="end"/>
      </w:r>
      <w:r w:rsidRPr="00BA7087">
        <w:rPr>
          <w:rFonts w:eastAsia="SimSun"/>
        </w:rPr>
        <w:t xml:space="preserve">: Coding </w:t>
      </w:r>
      <w:r>
        <w:rPr>
          <w:rFonts w:eastAsia="SimSun"/>
        </w:rPr>
        <w:t xml:space="preserve">performance improvement </w:t>
      </w:r>
      <w:r w:rsidR="00EF2211">
        <w:rPr>
          <w:rFonts w:eastAsia="SimSun"/>
        </w:rPr>
        <w:t xml:space="preserve">of LIC </w:t>
      </w:r>
      <w:r>
        <w:rPr>
          <w:rFonts w:eastAsia="SimSun"/>
        </w:rPr>
        <w:t xml:space="preserve">over </w:t>
      </w:r>
      <w:r w:rsidRPr="003E6262">
        <w:rPr>
          <w:rFonts w:eastAsia="SimSun"/>
        </w:rPr>
        <w:t>HM KTA-1.0</w:t>
      </w:r>
      <w:r>
        <w:rPr>
          <w:rFonts w:eastAsia="SimSun"/>
        </w:rPr>
        <w:t xml:space="preserve"> (</w:t>
      </w:r>
      <w:r w:rsidR="001B403C">
        <w:rPr>
          <w:rFonts w:eastAsia="SimSun"/>
        </w:rPr>
        <w:t>HM CTC sequences</w:t>
      </w:r>
      <w:r>
        <w:rPr>
          <w:rFonts w:eastAsia="SimSun"/>
        </w:rPr>
        <w:t>)</w:t>
      </w:r>
    </w:p>
    <w:p w14:paraId="211319C0" w14:textId="77777777" w:rsidR="00125486" w:rsidRPr="009E5B8E" w:rsidRDefault="00D90168" w:rsidP="00D90168">
      <w:pPr>
        <w:jc w:val="center"/>
        <w:rPr>
          <w:rFonts w:eastAsia="SimSun"/>
        </w:rPr>
      </w:pPr>
      <w:r w:rsidRPr="00D90168">
        <w:rPr>
          <w:noProof/>
          <w:lang w:eastAsia="zh-CN"/>
        </w:rPr>
        <w:drawing>
          <wp:inline distT="0" distB="0" distL="0" distR="0" wp14:anchorId="4026A8A1" wp14:editId="261FF3F1">
            <wp:extent cx="2871216" cy="1883664"/>
            <wp:effectExtent l="0" t="0" r="571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16" cy="188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168">
        <w:rPr>
          <w:noProof/>
          <w:lang w:eastAsia="zh-CN"/>
        </w:rPr>
        <w:drawing>
          <wp:inline distT="0" distB="0" distL="0" distR="0" wp14:anchorId="32DE3B05" wp14:editId="128AF9D3">
            <wp:extent cx="2867660" cy="188722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71D74" w14:textId="6E73CCF6" w:rsidR="00631E2B" w:rsidRDefault="00125486" w:rsidP="00EF2211">
      <w:pPr>
        <w:pStyle w:val="Caption"/>
        <w:keepNext/>
        <w:keepLines/>
        <w:overflowPunct/>
        <w:autoSpaceDE/>
        <w:autoSpaceDN/>
        <w:adjustRightInd/>
        <w:spacing w:before="200" w:after="120"/>
        <w:jc w:val="center"/>
        <w:textAlignment w:val="auto"/>
        <w:rPr>
          <w:rFonts w:eastAsia="SimSun"/>
        </w:rPr>
      </w:pPr>
      <w:bookmarkStart w:id="12" w:name="OLE_LINK8"/>
      <w:bookmarkStart w:id="13" w:name="OLE_LINK9"/>
      <w:r w:rsidRPr="00BA7087">
        <w:rPr>
          <w:rFonts w:eastAsia="SimSun"/>
        </w:rPr>
        <w:t xml:space="preserve">Table </w:t>
      </w:r>
      <w:r w:rsidRPr="00BA7087">
        <w:rPr>
          <w:rFonts w:eastAsia="SimSun"/>
          <w:i/>
          <w:iCs/>
        </w:rPr>
        <w:fldChar w:fldCharType="begin"/>
      </w:r>
      <w:r w:rsidRPr="00BA7087">
        <w:rPr>
          <w:rFonts w:eastAsia="SimSun"/>
        </w:rPr>
        <w:instrText xml:space="preserve"> SEQ Table \* ARABIC </w:instrText>
      </w:r>
      <w:r w:rsidRPr="00BA7087">
        <w:rPr>
          <w:rFonts w:eastAsia="SimSun"/>
          <w:i/>
          <w:iCs/>
        </w:rPr>
        <w:fldChar w:fldCharType="separate"/>
      </w:r>
      <w:r w:rsidR="0042451E">
        <w:rPr>
          <w:rFonts w:eastAsia="SimSun"/>
          <w:noProof/>
        </w:rPr>
        <w:t>2</w:t>
      </w:r>
      <w:r w:rsidRPr="00BA7087">
        <w:rPr>
          <w:rFonts w:eastAsia="SimSun"/>
          <w:i/>
          <w:iCs/>
        </w:rPr>
        <w:fldChar w:fldCharType="end"/>
      </w:r>
      <w:r w:rsidRPr="00BA7087">
        <w:rPr>
          <w:rFonts w:eastAsia="SimSun"/>
        </w:rPr>
        <w:t xml:space="preserve">: Coding </w:t>
      </w:r>
      <w:r>
        <w:rPr>
          <w:rFonts w:eastAsia="SimSun"/>
        </w:rPr>
        <w:t>performance improvement</w:t>
      </w:r>
      <w:r w:rsidR="00EF2211">
        <w:rPr>
          <w:rFonts w:eastAsia="SimSun"/>
        </w:rPr>
        <w:t xml:space="preserve"> of LIC</w:t>
      </w:r>
      <w:r>
        <w:rPr>
          <w:rFonts w:eastAsia="SimSun"/>
        </w:rPr>
        <w:t xml:space="preserve"> over </w:t>
      </w:r>
      <w:bookmarkStart w:id="14" w:name="OLE_LINK21"/>
      <w:bookmarkStart w:id="15" w:name="OLE_LINK22"/>
      <w:r w:rsidRPr="003E6262">
        <w:rPr>
          <w:rFonts w:eastAsia="SimSun"/>
        </w:rPr>
        <w:t>HM KTA-1.0</w:t>
      </w:r>
      <w:bookmarkEnd w:id="14"/>
      <w:bookmarkEnd w:id="15"/>
      <w:r>
        <w:rPr>
          <w:rFonts w:eastAsia="SimSun"/>
        </w:rPr>
        <w:t xml:space="preserve"> (</w:t>
      </w:r>
      <w:r w:rsidR="00000B87">
        <w:rPr>
          <w:rFonts w:eastAsia="SimSun"/>
        </w:rPr>
        <w:t>HDR and WCG sequences</w:t>
      </w:r>
      <w:r>
        <w:rPr>
          <w:rFonts w:eastAsia="SimSun"/>
        </w:rPr>
        <w:t>)</w:t>
      </w:r>
      <w:bookmarkEnd w:id="12"/>
      <w:bookmarkEnd w:id="13"/>
    </w:p>
    <w:p w14:paraId="0E41C3C9" w14:textId="350040DA" w:rsidR="00631E2B" w:rsidRDefault="00512CCB" w:rsidP="00EF2211">
      <w:pPr>
        <w:pStyle w:val="Caption"/>
        <w:keepNext/>
        <w:keepLines/>
        <w:overflowPunct/>
        <w:autoSpaceDE/>
        <w:autoSpaceDN/>
        <w:adjustRightInd/>
        <w:spacing w:before="200" w:after="120"/>
        <w:jc w:val="center"/>
        <w:textAlignment w:val="auto"/>
        <w:rPr>
          <w:rFonts w:eastAsia="SimSun"/>
        </w:rPr>
      </w:pPr>
      <w:r w:rsidRPr="00512CCB">
        <w:rPr>
          <w:noProof/>
          <w:lang w:eastAsia="zh-CN"/>
        </w:rPr>
        <w:drawing>
          <wp:inline distT="0" distB="0" distL="0" distR="0" wp14:anchorId="2AAD906B" wp14:editId="65C4C7A8">
            <wp:extent cx="2898648" cy="1271016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127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CCB">
        <w:rPr>
          <w:noProof/>
          <w:lang w:eastAsia="zh-CN"/>
        </w:rPr>
        <w:drawing>
          <wp:inline distT="0" distB="0" distL="0" distR="0" wp14:anchorId="441084F5" wp14:editId="492C576A">
            <wp:extent cx="2898648" cy="1271016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127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5627D" w14:textId="77777777" w:rsidR="006E54F8" w:rsidRDefault="006E54F8" w:rsidP="0045191E"/>
    <w:p w14:paraId="4BB01B05" w14:textId="77777777" w:rsidR="0045191E" w:rsidRPr="00937823" w:rsidRDefault="0045191E" w:rsidP="0045191E">
      <w:pPr>
        <w:pStyle w:val="Heading1"/>
        <w:numPr>
          <w:ilvl w:val="0"/>
          <w:numId w:val="3"/>
        </w:numPr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3E095ED7" w14:textId="7AC7A5A4" w:rsidR="0045191E" w:rsidRPr="003928C1" w:rsidRDefault="0045191E" w:rsidP="0045191E">
      <w:pPr>
        <w:rPr>
          <w:sz w:val="22"/>
          <w:szCs w:val="22"/>
          <w:lang w:val="en-CA" w:eastAsia="ko-KR"/>
        </w:rPr>
      </w:pPr>
      <w:r w:rsidRPr="003928C1">
        <w:rPr>
          <w:sz w:val="22"/>
          <w:szCs w:val="22"/>
          <w:lang w:val="en-CA" w:eastAsia="ko-KR"/>
        </w:rPr>
        <w:t>This contribution investigated the coding performance of local illumination compensation based on VCEG HM KTA-1.0 software. The results show that noticeable performance improvement can be achieved.</w:t>
      </w:r>
    </w:p>
    <w:p w14:paraId="088837A6" w14:textId="77777777" w:rsidR="00F624AC" w:rsidRPr="00F624AC" w:rsidRDefault="00F624AC" w:rsidP="00F624AC">
      <w:pPr>
        <w:pStyle w:val="Heading1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jc w:val="left"/>
        <w:textAlignment w:val="baseline"/>
        <w:rPr>
          <w:lang w:val="en-CA"/>
        </w:rPr>
      </w:pPr>
      <w:r w:rsidRPr="00F624AC">
        <w:rPr>
          <w:lang w:val="en-CA"/>
        </w:rPr>
        <w:t>References</w:t>
      </w:r>
    </w:p>
    <w:p w14:paraId="53D02297" w14:textId="77777777" w:rsidR="00357045" w:rsidRPr="003928C1" w:rsidRDefault="00357045" w:rsidP="00357045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16" w:name="_Ref421635353"/>
      <w:bookmarkStart w:id="17" w:name="OLE_LINK31"/>
      <w:bookmarkStart w:id="18" w:name="OLE_LINK32"/>
      <w:bookmarkStart w:id="19" w:name="OLE_LINK5"/>
      <w:bookmarkStart w:id="20" w:name="OLE_LINK6"/>
      <w:r w:rsidRPr="003928C1">
        <w:rPr>
          <w:sz w:val="22"/>
        </w:rPr>
        <w:t>Advanced video coding for generic audiovisual services, Rec. ITU-T H.264 and ISO/IEC 14496-10 (MPEG-4 Part 10), May, 2003.</w:t>
      </w:r>
      <w:bookmarkEnd w:id="16"/>
    </w:p>
    <w:p w14:paraId="72CBDBA9" w14:textId="77777777" w:rsidR="00357045" w:rsidRPr="003928C1" w:rsidRDefault="00357045" w:rsidP="00357045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21" w:name="_Ref421635363"/>
      <w:bookmarkEnd w:id="17"/>
      <w:bookmarkEnd w:id="18"/>
      <w:r w:rsidRPr="003928C1">
        <w:rPr>
          <w:sz w:val="22"/>
        </w:rPr>
        <w:t>High Efficiency Video Coding, Rec. ITU-T H.265 and ISO/IEC 23008-2, Jan. 2013.</w:t>
      </w:r>
      <w:bookmarkEnd w:id="21"/>
    </w:p>
    <w:p w14:paraId="11B6D650" w14:textId="77777777" w:rsidR="00357045" w:rsidRPr="003928C1" w:rsidRDefault="00357045" w:rsidP="00357045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22" w:name="_Ref421610087"/>
      <w:bookmarkStart w:id="23" w:name="_Ref421610642"/>
      <w:bookmarkEnd w:id="19"/>
      <w:bookmarkEnd w:id="20"/>
      <w:r w:rsidRPr="003928C1">
        <w:rPr>
          <w:sz w:val="22"/>
        </w:rPr>
        <w:t>A. Fujibayashi, S. Kanumuri, F. Bossen and TK. Tan “TE12: Performance of Partition Based Illumination Compensation (PBIC),”</w:t>
      </w:r>
      <w:bookmarkEnd w:id="22"/>
      <w:r w:rsidRPr="003928C1">
        <w:rPr>
          <w:sz w:val="22"/>
        </w:rPr>
        <w:t xml:space="preserve"> Joint Collaborative Team on Video Coding (JCT-VC) of ITU-T SG16 WP3 and ISO/IEC JTC1/SC29/WG11, JCTVC-C041, 3rd Meeting: Guangzhou, CN. 07-15 Oct., 2010.</w:t>
      </w:r>
      <w:bookmarkEnd w:id="23"/>
    </w:p>
    <w:p w14:paraId="2E486E8A" w14:textId="77777777" w:rsidR="00357045" w:rsidRPr="003928C1" w:rsidRDefault="00357045" w:rsidP="00357045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24" w:name="_Ref421610649"/>
      <w:bookmarkStart w:id="25" w:name="OLE_LINK1"/>
      <w:bookmarkStart w:id="26" w:name="OLE_LINK2"/>
      <w:r w:rsidRPr="003928C1">
        <w:rPr>
          <w:sz w:val="22"/>
        </w:rPr>
        <w:t>H. Liu, J. Jung, J. Sung, J. Jia and S. Yea, “3D-CE2.h: Results of Illumination Compensation for Inter-View Prediction,” Joint Collaborative Team on Video Coding (JCT-VC) of ITU-T SG16 WP3 and ISO/IEC JTC1/SC29/WG11, JCT3V-B0045, 2nd Meeting: Shanghai, CN. 13-19 Oct., 2012.</w:t>
      </w:r>
      <w:bookmarkEnd w:id="24"/>
    </w:p>
    <w:p w14:paraId="76C629AC" w14:textId="77777777" w:rsidR="00797A14" w:rsidRPr="003928C1" w:rsidRDefault="00797A14" w:rsidP="00797A14">
      <w:pPr>
        <w:pStyle w:val="ListParagraph"/>
        <w:numPr>
          <w:ilvl w:val="0"/>
          <w:numId w:val="9"/>
        </w:numPr>
        <w:rPr>
          <w:sz w:val="22"/>
        </w:rPr>
      </w:pPr>
      <w:bookmarkStart w:id="27" w:name="_Ref422150031"/>
      <w:r w:rsidRPr="003928C1">
        <w:rPr>
          <w:sz w:val="22"/>
        </w:rPr>
        <w:lastRenderedPageBreak/>
        <w:t xml:space="preserve">VCEG HM KTA-1.0, </w:t>
      </w:r>
      <w:hyperlink r:id="rId15" w:history="1">
        <w:r w:rsidRPr="003928C1">
          <w:rPr>
            <w:rStyle w:val="Hyperlink"/>
            <w:sz w:val="22"/>
          </w:rPr>
          <w:t>https://vceg.hhi.fraunhofer.de/svn/svn_HMKTASoftware/tags/HM-14.0-KTA-1.0</w:t>
        </w:r>
      </w:hyperlink>
      <w:r w:rsidRPr="003928C1">
        <w:rPr>
          <w:sz w:val="22"/>
        </w:rPr>
        <w:t>.</w:t>
      </w:r>
      <w:bookmarkEnd w:id="27"/>
      <w:r w:rsidRPr="003928C1">
        <w:rPr>
          <w:sz w:val="22"/>
        </w:rPr>
        <w:t xml:space="preserve"> </w:t>
      </w:r>
    </w:p>
    <w:p w14:paraId="2BC575CE" w14:textId="77777777" w:rsidR="00357045" w:rsidRPr="003928C1" w:rsidRDefault="00357045" w:rsidP="00357045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28" w:name="_Ref409799649"/>
      <w:bookmarkStart w:id="29" w:name="_Ref421776584"/>
      <w:bookmarkEnd w:id="25"/>
      <w:bookmarkEnd w:id="26"/>
      <w:r w:rsidRPr="003928C1">
        <w:rPr>
          <w:sz w:val="22"/>
        </w:rPr>
        <w:t>F. Bossen, “Common HM test conditions and software reference configurations,” Joint Collaborative Team on Video Coding (JCT-VC) of ITU-T SG16 WP3 and ISO/IEC JTC1/SC29/WG11, JCTVC-L1100, 12th Meeting</w:t>
      </w:r>
      <w:bookmarkEnd w:id="28"/>
      <w:r w:rsidRPr="003928C1">
        <w:rPr>
          <w:sz w:val="22"/>
        </w:rPr>
        <w:t>: Geneva, CH. 14–23 Jan. 2013.</w:t>
      </w:r>
      <w:bookmarkEnd w:id="29"/>
    </w:p>
    <w:p w14:paraId="5145393A" w14:textId="497DE966" w:rsidR="001B403C" w:rsidRPr="003928C1" w:rsidRDefault="00BF05C3" w:rsidP="00BF05C3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30" w:name="_Ref422137558"/>
      <w:r w:rsidRPr="003928C1">
        <w:rPr>
          <w:sz w:val="22"/>
        </w:rPr>
        <w:t>Ajay Luthra, Edouard François, Walt Husak, “Call for Evidence (CfE) for HDR and WCG Video Coding”, ISO/IEC JTC 1/SC 29/WG 11 (MPEG) Doc. N15083</w:t>
      </w:r>
      <w:r w:rsidR="001B403C" w:rsidRPr="003928C1">
        <w:rPr>
          <w:sz w:val="22"/>
        </w:rPr>
        <w:t>.</w:t>
      </w:r>
      <w:bookmarkEnd w:id="30"/>
    </w:p>
    <w:p w14:paraId="67B1344B" w14:textId="77777777" w:rsidR="001B403C" w:rsidRPr="003928C1" w:rsidRDefault="001B403C" w:rsidP="001B403C">
      <w:pPr>
        <w:pStyle w:val="ListParagraph"/>
        <w:numPr>
          <w:ilvl w:val="0"/>
          <w:numId w:val="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</w:rPr>
      </w:pPr>
      <w:bookmarkStart w:id="31" w:name="_Ref422071380"/>
      <w:r w:rsidRPr="003928C1">
        <w:rPr>
          <w:sz w:val="22"/>
        </w:rPr>
        <w:t xml:space="preserve">P. </w:t>
      </w:r>
      <w:r w:rsidRPr="003928C1">
        <w:rPr>
          <w:sz w:val="22"/>
          <w:szCs w:val="22"/>
          <w:lang w:val="fr-FR"/>
        </w:rPr>
        <w:t xml:space="preserve">Andrivon, P. Bordes, </w:t>
      </w:r>
      <w:r w:rsidRPr="003928C1">
        <w:rPr>
          <w:sz w:val="22"/>
          <w:szCs w:val="22"/>
        </w:rPr>
        <w:t>“AHG14: Wide Color Gamut Test Material Creation,”</w:t>
      </w:r>
      <w:r w:rsidRPr="003928C1">
        <w:rPr>
          <w:sz w:val="22"/>
        </w:rPr>
        <w:t xml:space="preserve"> Joint Collaborative Team on Video Coding (JCT-VC) of ITU-T SG16 WP3 and ISO/IEC JTC1/SC29/WG11, JCTVC-N0163, 14th Meeting: Vienna, AT. 25 July–02 Aug. 2013.</w:t>
      </w:r>
      <w:bookmarkEnd w:id="31"/>
    </w:p>
    <w:p w14:paraId="1430135D" w14:textId="77777777" w:rsidR="00386990" w:rsidRPr="00357045" w:rsidRDefault="00386990" w:rsidP="00FC0DE3">
      <w:pPr>
        <w:tabs>
          <w:tab w:val="left" w:pos="567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567"/>
        <w:jc w:val="left"/>
        <w:textAlignment w:val="baseline"/>
      </w:pPr>
    </w:p>
    <w:sectPr w:rsidR="00386990" w:rsidRPr="00357045" w:rsidSect="00EA0D3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ECA44" w14:textId="77777777" w:rsidR="005949B5" w:rsidRDefault="005949B5" w:rsidP="00493EE1">
      <w:r>
        <w:separator/>
      </w:r>
    </w:p>
  </w:endnote>
  <w:endnote w:type="continuationSeparator" w:id="0">
    <w:p w14:paraId="1814F1E8" w14:textId="77777777" w:rsidR="005949B5" w:rsidRDefault="005949B5" w:rsidP="0049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81F2F" w14:textId="77777777" w:rsidR="005949B5" w:rsidRDefault="005949B5" w:rsidP="00493EE1">
      <w:r>
        <w:separator/>
      </w:r>
    </w:p>
  </w:footnote>
  <w:footnote w:type="continuationSeparator" w:id="0">
    <w:p w14:paraId="6619A927" w14:textId="77777777" w:rsidR="005949B5" w:rsidRDefault="005949B5" w:rsidP="00493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B302668"/>
    <w:multiLevelType w:val="hybridMultilevel"/>
    <w:tmpl w:val="23BE7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41955"/>
    <w:multiLevelType w:val="hybridMultilevel"/>
    <w:tmpl w:val="900A3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307BC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16019"/>
    <w:multiLevelType w:val="hybridMultilevel"/>
    <w:tmpl w:val="E616617A"/>
    <w:lvl w:ilvl="0" w:tplc="0409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7" w15:restartNumberingAfterBreak="0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FC15E6A"/>
    <w:multiLevelType w:val="hybridMultilevel"/>
    <w:tmpl w:val="900A3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7"/>
  </w:num>
  <w:num w:numId="7">
    <w:abstractNumId w:val="7"/>
  </w:num>
  <w:num w:numId="8">
    <w:abstractNumId w:val="8"/>
  </w:num>
  <w:num w:numId="9">
    <w:abstractNumId w:val="3"/>
  </w:num>
  <w:num w:numId="10">
    <w:abstractNumId w:val="7"/>
  </w:num>
  <w:num w:numId="11">
    <w:abstractNumId w:val="7"/>
  </w:num>
  <w:num w:numId="12">
    <w:abstractNumId w:val="7"/>
  </w:num>
  <w:num w:numId="13">
    <w:abstractNumId w:val="4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990"/>
    <w:rsid w:val="00000B87"/>
    <w:rsid w:val="00004A41"/>
    <w:rsid w:val="00023005"/>
    <w:rsid w:val="00037F37"/>
    <w:rsid w:val="00070ED8"/>
    <w:rsid w:val="000757BA"/>
    <w:rsid w:val="00076E79"/>
    <w:rsid w:val="000869FF"/>
    <w:rsid w:val="000D0C16"/>
    <w:rsid w:val="000D7106"/>
    <w:rsid w:val="000E4A0E"/>
    <w:rsid w:val="000E78F5"/>
    <w:rsid w:val="00105006"/>
    <w:rsid w:val="001154D0"/>
    <w:rsid w:val="00125486"/>
    <w:rsid w:val="00152269"/>
    <w:rsid w:val="00170A02"/>
    <w:rsid w:val="001741F2"/>
    <w:rsid w:val="00177FB7"/>
    <w:rsid w:val="00180F3E"/>
    <w:rsid w:val="0018134D"/>
    <w:rsid w:val="001938E5"/>
    <w:rsid w:val="001B403C"/>
    <w:rsid w:val="001D190F"/>
    <w:rsid w:val="001D609E"/>
    <w:rsid w:val="001D782C"/>
    <w:rsid w:val="001E68A7"/>
    <w:rsid w:val="001E7C99"/>
    <w:rsid w:val="001E7CC0"/>
    <w:rsid w:val="001F2D28"/>
    <w:rsid w:val="002011E2"/>
    <w:rsid w:val="0021095A"/>
    <w:rsid w:val="00217165"/>
    <w:rsid w:val="002247F6"/>
    <w:rsid w:val="00224D13"/>
    <w:rsid w:val="00225E56"/>
    <w:rsid w:val="002260B7"/>
    <w:rsid w:val="00241EC5"/>
    <w:rsid w:val="00295594"/>
    <w:rsid w:val="002A048A"/>
    <w:rsid w:val="002A26FD"/>
    <w:rsid w:val="002B09F7"/>
    <w:rsid w:val="002B2221"/>
    <w:rsid w:val="002D592B"/>
    <w:rsid w:val="002D6AED"/>
    <w:rsid w:val="002E1094"/>
    <w:rsid w:val="002E2496"/>
    <w:rsid w:val="002E2CB2"/>
    <w:rsid w:val="002F4216"/>
    <w:rsid w:val="002F424F"/>
    <w:rsid w:val="003004C2"/>
    <w:rsid w:val="003105DA"/>
    <w:rsid w:val="003279D8"/>
    <w:rsid w:val="00331081"/>
    <w:rsid w:val="003367A7"/>
    <w:rsid w:val="0034354B"/>
    <w:rsid w:val="00351B35"/>
    <w:rsid w:val="00353B8E"/>
    <w:rsid w:val="003552BC"/>
    <w:rsid w:val="00357045"/>
    <w:rsid w:val="00373588"/>
    <w:rsid w:val="00386319"/>
    <w:rsid w:val="00386990"/>
    <w:rsid w:val="003928C1"/>
    <w:rsid w:val="003A10FF"/>
    <w:rsid w:val="003D07F5"/>
    <w:rsid w:val="003E02A7"/>
    <w:rsid w:val="003F010B"/>
    <w:rsid w:val="003F0CD6"/>
    <w:rsid w:val="003F7A02"/>
    <w:rsid w:val="00411A2B"/>
    <w:rsid w:val="0042451E"/>
    <w:rsid w:val="00427CAC"/>
    <w:rsid w:val="0045191E"/>
    <w:rsid w:val="004722BC"/>
    <w:rsid w:val="00481FAB"/>
    <w:rsid w:val="004827D5"/>
    <w:rsid w:val="00493EE1"/>
    <w:rsid w:val="00495FEE"/>
    <w:rsid w:val="004963BD"/>
    <w:rsid w:val="004A2631"/>
    <w:rsid w:val="004B4D7D"/>
    <w:rsid w:val="004C5AFE"/>
    <w:rsid w:val="00512CCB"/>
    <w:rsid w:val="00516F99"/>
    <w:rsid w:val="0053042D"/>
    <w:rsid w:val="00584175"/>
    <w:rsid w:val="00585E7B"/>
    <w:rsid w:val="005949B5"/>
    <w:rsid w:val="005B5033"/>
    <w:rsid w:val="005B5F13"/>
    <w:rsid w:val="005B67F4"/>
    <w:rsid w:val="005C4C2D"/>
    <w:rsid w:val="005C572F"/>
    <w:rsid w:val="005D6ED5"/>
    <w:rsid w:val="006016AC"/>
    <w:rsid w:val="00605193"/>
    <w:rsid w:val="00616141"/>
    <w:rsid w:val="00631E2B"/>
    <w:rsid w:val="00667B11"/>
    <w:rsid w:val="00681BDB"/>
    <w:rsid w:val="00693651"/>
    <w:rsid w:val="00695010"/>
    <w:rsid w:val="006B5C0C"/>
    <w:rsid w:val="006C2F48"/>
    <w:rsid w:val="006D0A4C"/>
    <w:rsid w:val="006E215B"/>
    <w:rsid w:val="006E2C88"/>
    <w:rsid w:val="006E54F8"/>
    <w:rsid w:val="006E5B4D"/>
    <w:rsid w:val="0071193F"/>
    <w:rsid w:val="007224B9"/>
    <w:rsid w:val="00797A14"/>
    <w:rsid w:val="007A6014"/>
    <w:rsid w:val="007C19A4"/>
    <w:rsid w:val="007D0808"/>
    <w:rsid w:val="007D42B6"/>
    <w:rsid w:val="00804B15"/>
    <w:rsid w:val="00812B3E"/>
    <w:rsid w:val="0082206B"/>
    <w:rsid w:val="008304D9"/>
    <w:rsid w:val="0084435F"/>
    <w:rsid w:val="00851476"/>
    <w:rsid w:val="00855553"/>
    <w:rsid w:val="008812FF"/>
    <w:rsid w:val="008866B8"/>
    <w:rsid w:val="008A2C74"/>
    <w:rsid w:val="008B68C1"/>
    <w:rsid w:val="008F37F4"/>
    <w:rsid w:val="009020C3"/>
    <w:rsid w:val="0093045A"/>
    <w:rsid w:val="0093046E"/>
    <w:rsid w:val="00931F49"/>
    <w:rsid w:val="009321A7"/>
    <w:rsid w:val="00936BAB"/>
    <w:rsid w:val="00945822"/>
    <w:rsid w:val="00956CA5"/>
    <w:rsid w:val="00966E0B"/>
    <w:rsid w:val="00973A38"/>
    <w:rsid w:val="00977A1B"/>
    <w:rsid w:val="009822C0"/>
    <w:rsid w:val="009D3F5A"/>
    <w:rsid w:val="009E61AD"/>
    <w:rsid w:val="009F50A4"/>
    <w:rsid w:val="00A04BDB"/>
    <w:rsid w:val="00A3164A"/>
    <w:rsid w:val="00A622F8"/>
    <w:rsid w:val="00A90314"/>
    <w:rsid w:val="00AA41EF"/>
    <w:rsid w:val="00AC13FE"/>
    <w:rsid w:val="00AC5FCC"/>
    <w:rsid w:val="00AD6529"/>
    <w:rsid w:val="00AF2B28"/>
    <w:rsid w:val="00B12D1B"/>
    <w:rsid w:val="00B13414"/>
    <w:rsid w:val="00B13524"/>
    <w:rsid w:val="00B20F08"/>
    <w:rsid w:val="00B41C2B"/>
    <w:rsid w:val="00B55F50"/>
    <w:rsid w:val="00B5616F"/>
    <w:rsid w:val="00B56C97"/>
    <w:rsid w:val="00B57B51"/>
    <w:rsid w:val="00B66EFE"/>
    <w:rsid w:val="00B81988"/>
    <w:rsid w:val="00BA15CE"/>
    <w:rsid w:val="00BB4ADD"/>
    <w:rsid w:val="00BC4BEF"/>
    <w:rsid w:val="00BC5A9C"/>
    <w:rsid w:val="00BC7917"/>
    <w:rsid w:val="00BE2EAD"/>
    <w:rsid w:val="00BE3D33"/>
    <w:rsid w:val="00BF05C3"/>
    <w:rsid w:val="00BF19AD"/>
    <w:rsid w:val="00C26966"/>
    <w:rsid w:val="00C26A48"/>
    <w:rsid w:val="00C33222"/>
    <w:rsid w:val="00C4667F"/>
    <w:rsid w:val="00C63780"/>
    <w:rsid w:val="00C72E3F"/>
    <w:rsid w:val="00CA0E68"/>
    <w:rsid w:val="00CB4D2E"/>
    <w:rsid w:val="00CF0A1B"/>
    <w:rsid w:val="00CF7483"/>
    <w:rsid w:val="00D06415"/>
    <w:rsid w:val="00D30F9F"/>
    <w:rsid w:val="00D623B2"/>
    <w:rsid w:val="00D70A17"/>
    <w:rsid w:val="00D73CCD"/>
    <w:rsid w:val="00D843E0"/>
    <w:rsid w:val="00D90168"/>
    <w:rsid w:val="00DA4E02"/>
    <w:rsid w:val="00DC1905"/>
    <w:rsid w:val="00DD4A16"/>
    <w:rsid w:val="00DD64F4"/>
    <w:rsid w:val="00E26E66"/>
    <w:rsid w:val="00E42D34"/>
    <w:rsid w:val="00E53240"/>
    <w:rsid w:val="00E540EC"/>
    <w:rsid w:val="00E641D6"/>
    <w:rsid w:val="00E66C8F"/>
    <w:rsid w:val="00E70D42"/>
    <w:rsid w:val="00E73099"/>
    <w:rsid w:val="00E83BED"/>
    <w:rsid w:val="00E8691B"/>
    <w:rsid w:val="00E87126"/>
    <w:rsid w:val="00EA0D3C"/>
    <w:rsid w:val="00ED1D75"/>
    <w:rsid w:val="00ED7BA2"/>
    <w:rsid w:val="00ED7D82"/>
    <w:rsid w:val="00EF2211"/>
    <w:rsid w:val="00F05B71"/>
    <w:rsid w:val="00F16357"/>
    <w:rsid w:val="00F352ED"/>
    <w:rsid w:val="00F35882"/>
    <w:rsid w:val="00F43A91"/>
    <w:rsid w:val="00F47F11"/>
    <w:rsid w:val="00F624AC"/>
    <w:rsid w:val="00F7094D"/>
    <w:rsid w:val="00F91E38"/>
    <w:rsid w:val="00FA48EF"/>
    <w:rsid w:val="00FB0B23"/>
    <w:rsid w:val="00FB725F"/>
    <w:rsid w:val="00FC079F"/>
    <w:rsid w:val="00FC0DE3"/>
    <w:rsid w:val="00FC1267"/>
    <w:rsid w:val="00FC4C67"/>
    <w:rsid w:val="00FE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4C66AF"/>
  <w15:docId w15:val="{08C6B6FC-9723-43F5-BAA4-0A4EB70E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873"/>
    <w:pPr>
      <w:jc w:val="both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84873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4873"/>
    <w:pPr>
      <w:keepNext/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84873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84873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84873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84873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84873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84873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C84873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4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84873"/>
    <w:rPr>
      <w:rFonts w:ascii="Calibri" w:eastAsia="Times New Roman" w:hAnsi="Calibr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873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873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873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873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873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873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873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873"/>
    <w:rPr>
      <w:rFonts w:ascii="Calibri" w:eastAsia="Times New Roman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DD64F4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rsid w:val="00B1352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Malgun Gothic"/>
      <w:b/>
      <w:bCs/>
      <w:sz w:val="20"/>
      <w:szCs w:val="20"/>
    </w:rPr>
  </w:style>
  <w:style w:type="character" w:customStyle="1" w:styleId="yui320291320108126467355">
    <w:name w:val="yui_3_2_0_29_1320108126467355"/>
    <w:rsid w:val="00B13524"/>
  </w:style>
  <w:style w:type="paragraph" w:styleId="Header">
    <w:name w:val="header"/>
    <w:basedOn w:val="Normal"/>
    <w:link w:val="HeaderChar"/>
    <w:uiPriority w:val="99"/>
    <w:unhideWhenUsed/>
    <w:rsid w:val="00493EE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93EE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93EE1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93EE1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A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AFE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nhideWhenUsed/>
    <w:rsid w:val="00357045"/>
    <w:rPr>
      <w:color w:val="0000FF" w:themeColor="hyperlink"/>
      <w:u w:val="single"/>
    </w:rPr>
  </w:style>
  <w:style w:type="character" w:customStyle="1" w:styleId="CaptionChar">
    <w:name w:val="Caption Char"/>
    <w:link w:val="Caption"/>
    <w:locked/>
    <w:rsid w:val="00125486"/>
    <w:rPr>
      <w:rFonts w:eastAsia="Malgun Gothic"/>
      <w:b/>
      <w:bCs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54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40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40E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0E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8417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ngbinl@qti.qualcomm.com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vceg.hhi.fraunhofer.de/svn/svn_HMKTASoftware/tags/HM-14.0-KTA-1.0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cjianle@qti.qualcomm.com" TargetMode="External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ata\My%20Download%20Files\mxxxx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142F-FD48-4CB2-8BC0-7997D7B9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mxxxx(1).dot</Template>
  <TotalTime>7</TotalTime>
  <Pages>4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pyin@dolby.com</dc:creator>
  <cp:lastModifiedBy>Jianle</cp:lastModifiedBy>
  <cp:revision>4</cp:revision>
  <cp:lastPrinted>1901-01-01T07:00:00Z</cp:lastPrinted>
  <dcterms:created xsi:type="dcterms:W3CDTF">2015-06-17T23:27:00Z</dcterms:created>
  <dcterms:modified xsi:type="dcterms:W3CDTF">2015-06-17T23:46:00Z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-1113490998</vt:i4>
  </property>
  <property fmtid="{D5CDD505-2E9C-101B-9397-08002B2CF9AE}" pid="3" name="_NewReviewCycle">
    <vt:lpwstr/>
  </property>
  <property fmtid="{D5CDD505-2E9C-101B-9397-08002B2CF9AE}" pid="4" name="_EmailSubject">
    <vt:lpwstr>VCEG contribution for IC -- AZ06</vt:lpwstr>
  </property>
  <property fmtid="{D5CDD505-2E9C-101B-9397-08002B2CF9AE}" pid="5" name="_AuthorEmail">
    <vt:lpwstr>hongbinl@qti.qualcomm.com</vt:lpwstr>
  </property>
  <property fmtid="{D5CDD505-2E9C-101B-9397-08002B2CF9AE}" pid="6" name="_AuthorEmailDisplayName">
    <vt:lpwstr>Liu, Hongbin</vt:lpwstr>
  </property>
  <property fmtid="{D5CDD505-2E9C-101B-9397-08002B2CF9AE}" pid="7" name="_ReviewingToolsShownOnce">
    <vt:lpwstr/>
  </property>
</Properties>
</file>