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85590"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AA2463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4D8C24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92E7A21" w:rsidR="00E61DAC" w:rsidRPr="005B217D" w:rsidRDefault="009A6ABC" w:rsidP="00536188">
            <w:pPr>
              <w:tabs>
                <w:tab w:val="left" w:pos="7200"/>
              </w:tabs>
              <w:rPr>
                <w:b/>
                <w:szCs w:val="22"/>
                <w:lang w:val="en-CA"/>
              </w:rPr>
            </w:pPr>
            <w:r>
              <w:t>36</w:t>
            </w:r>
            <w:r w:rsidR="00084393">
              <w:t>th</w:t>
            </w:r>
            <w:r w:rsidR="00084393" w:rsidRPr="00B648F1">
              <w:t xml:space="preserve"> Meeting</w:t>
            </w:r>
            <w:r w:rsidR="00084393">
              <w:rPr>
                <w:lang w:val="en-CA"/>
              </w:rPr>
              <w:t>,</w:t>
            </w:r>
            <w:r w:rsidR="00084393" w:rsidRPr="00B648F1">
              <w:rPr>
                <w:lang w:val="en-CA"/>
              </w:rPr>
              <w:t xml:space="preserve"> </w:t>
            </w:r>
            <w:proofErr w:type="spellStart"/>
            <w:r>
              <w:rPr>
                <w:lang w:val="en-CA"/>
              </w:rPr>
              <w:t>Kemer</w:t>
            </w:r>
            <w:proofErr w:type="spellEnd"/>
            <w:r w:rsidR="00084393">
              <w:rPr>
                <w:lang w:val="en-CA"/>
              </w:rPr>
              <w:t>,</w:t>
            </w:r>
            <w:r>
              <w:rPr>
                <w:lang w:val="en-CA"/>
              </w:rPr>
              <w:t xml:space="preserve"> TR,</w:t>
            </w:r>
            <w:r w:rsidR="00084393">
              <w:rPr>
                <w:lang w:val="en-CA"/>
              </w:rPr>
              <w:t xml:space="preserve"> </w:t>
            </w:r>
            <w:r>
              <w:rPr>
                <w:lang w:val="en-CA"/>
              </w:rPr>
              <w:t>1</w:t>
            </w:r>
            <w:r w:rsidR="00084393">
              <w:rPr>
                <w:lang w:val="en-CA"/>
              </w:rPr>
              <w:t xml:space="preserve"> –</w:t>
            </w:r>
            <w:r w:rsidR="00C05271">
              <w:rPr>
                <w:lang w:val="en-CA"/>
              </w:rPr>
              <w:t xml:space="preserve"> </w:t>
            </w:r>
            <w:r>
              <w:rPr>
                <w:lang w:val="en-CA"/>
              </w:rPr>
              <w:t>8</w:t>
            </w:r>
            <w:r w:rsidR="00084393" w:rsidRPr="00B648F1">
              <w:rPr>
                <w:lang w:val="en-CA"/>
              </w:rPr>
              <w:t xml:space="preserve"> </w:t>
            </w:r>
            <w:r>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33335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6ABC">
              <w:rPr>
                <w:lang w:val="en-CA"/>
              </w:rPr>
              <w:t>A</w:t>
            </w:r>
            <w:r w:rsidR="00C06FE5">
              <w:rPr>
                <w:lang w:val="en-CA"/>
              </w:rPr>
              <w:t>J0349</w:t>
            </w:r>
            <w:r w:rsidR="0086070A">
              <w:rPr>
                <w:lang w:val="en-CA"/>
              </w:rPr>
              <w:t>-v2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49EA5B" w:rsidR="00E61DAC" w:rsidRPr="005B217D" w:rsidRDefault="009A6ABC" w:rsidP="009D7CE6">
            <w:pPr>
              <w:spacing w:before="60" w:after="60"/>
              <w:rPr>
                <w:b/>
                <w:szCs w:val="22"/>
                <w:lang w:val="en-CA"/>
              </w:rPr>
            </w:pPr>
            <w:r>
              <w:rPr>
                <w:b/>
                <w:szCs w:val="22"/>
                <w:lang w:val="en-CA"/>
              </w:rPr>
              <w:t xml:space="preserve">EE2-5.1 related: </w:t>
            </w:r>
            <w:r w:rsidR="004D7DF2">
              <w:rPr>
                <w:b/>
                <w:szCs w:val="22"/>
                <w:lang w:val="en-CA"/>
              </w:rPr>
              <w:t>Annealing coefficient derivation for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B5C617" w:rsidR="00E61DAC" w:rsidRPr="005B217D" w:rsidRDefault="009A6ABC" w:rsidP="009D7CE6">
            <w:pPr>
              <w:spacing w:before="60" w:after="60"/>
              <w:rPr>
                <w:szCs w:val="22"/>
                <w:lang w:val="en-CA"/>
              </w:rPr>
            </w:pPr>
            <w:r>
              <w:rPr>
                <w:szCs w:val="22"/>
                <w:lang w:val="en-CA"/>
              </w:rPr>
              <w:t xml:space="preserve">Input document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1168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9ECD6D" w14:textId="77777777" w:rsidR="009A6ABC" w:rsidRDefault="009A6ABC">
            <w:pPr>
              <w:spacing w:before="60" w:after="60"/>
              <w:rPr>
                <w:szCs w:val="22"/>
                <w:lang w:val="en-CA"/>
              </w:rPr>
            </w:pPr>
            <w:r>
              <w:rPr>
                <w:szCs w:val="22"/>
                <w:lang w:val="en-CA"/>
              </w:rPr>
              <w:t>Keiichiro Takada,</w:t>
            </w:r>
          </w:p>
          <w:p w14:paraId="49D81240" w14:textId="1C4C01FE" w:rsidR="00E61DAC" w:rsidRPr="005B217D" w:rsidRDefault="009A6ABC">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74734B1E" w:rsidR="00E61DAC" w:rsidRPr="005B217D" w:rsidRDefault="00E61DAC">
            <w:pPr>
              <w:spacing w:before="60" w:after="60"/>
              <w:rPr>
                <w:szCs w:val="22"/>
                <w:lang w:val="en-CA"/>
              </w:rPr>
            </w:pPr>
            <w:r w:rsidRPr="005B217D">
              <w:rPr>
                <w:szCs w:val="22"/>
                <w:lang w:val="en-CA"/>
              </w:rPr>
              <w:t>Email:</w:t>
            </w:r>
          </w:p>
        </w:tc>
        <w:tc>
          <w:tcPr>
            <w:tcW w:w="3060" w:type="dxa"/>
          </w:tcPr>
          <w:p w14:paraId="604F45F7" w14:textId="2EDA79A8" w:rsidR="00E61DAC" w:rsidRDefault="009A6ABC" w:rsidP="005952A5">
            <w:pPr>
              <w:spacing w:before="60" w:after="60"/>
              <w:rPr>
                <w:szCs w:val="22"/>
                <w:lang w:val="en-CA"/>
              </w:rPr>
            </w:pPr>
            <w:hyperlink r:id="rId9" w:history="1">
              <w:r w:rsidRPr="00995331">
                <w:rPr>
                  <w:rStyle w:val="Hyperlink"/>
                  <w:szCs w:val="22"/>
                  <w:lang w:val="en-CA"/>
                </w:rPr>
                <w:t>takadak@sharplabs.com</w:t>
              </w:r>
            </w:hyperlink>
          </w:p>
          <w:p w14:paraId="32C2ABFD" w14:textId="48771ACD" w:rsidR="009A6ABC" w:rsidRPr="005B217D" w:rsidRDefault="009A6ABC" w:rsidP="005952A5">
            <w:pPr>
              <w:spacing w:before="60" w:after="60"/>
              <w:rPr>
                <w:szCs w:val="22"/>
                <w:lang w:val="en-CA"/>
              </w:rPr>
            </w:pPr>
            <w:hyperlink r:id="rId10" w:history="1">
              <w:r w:rsidRPr="00995331">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53A34B" w:rsidR="00E61DAC" w:rsidRPr="007E19F9" w:rsidRDefault="009A6ABC">
            <w:pPr>
              <w:spacing w:before="60" w:after="60"/>
              <w:rPr>
                <w:szCs w:val="22"/>
              </w:rPr>
            </w:pPr>
            <w:r>
              <w:rPr>
                <w:szCs w:val="22"/>
                <w:lang w:val="en-CA"/>
              </w:rPr>
              <w:t>Sharp Lab</w:t>
            </w:r>
            <w:r w:rsidR="00B60993">
              <w:rPr>
                <w:szCs w:val="22"/>
                <w:lang w:val="en-CA"/>
              </w:rPr>
              <w:t>s</w:t>
            </w:r>
            <w:r>
              <w:rPr>
                <w:szCs w:val="22"/>
                <w:lang w:val="en-CA"/>
              </w:rPr>
              <w:t xml:space="preserve"> of America</w:t>
            </w:r>
            <w:r w:rsidR="00B60993">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2C59C" w14:textId="0C3B81CF" w:rsidR="00B1318F" w:rsidRDefault="00392FE3" w:rsidP="005E57EE">
      <w:pPr>
        <w:ind w:firstLine="144"/>
        <w:rPr>
          <w:lang w:val="en-CA"/>
        </w:rPr>
      </w:pPr>
      <w:r>
        <w:rPr>
          <w:lang w:val="en-CA"/>
        </w:rPr>
        <w:t xml:space="preserve">This contribution proposes </w:t>
      </w:r>
      <w:r w:rsidR="0016191E">
        <w:rPr>
          <w:lang w:val="en-CA"/>
        </w:rPr>
        <w:t>to apply the annealing coefficient derivation and Huffman coding</w:t>
      </w:r>
      <w:r w:rsidR="00B1318F">
        <w:rPr>
          <w:lang w:val="en-CA"/>
        </w:rPr>
        <w:t>,</w:t>
      </w:r>
      <w:r w:rsidR="0016191E">
        <w:rPr>
          <w:lang w:val="en-CA"/>
        </w:rPr>
        <w:t xml:space="preserve"> </w:t>
      </w:r>
      <w:proofErr w:type="gramStart"/>
      <w:r w:rsidR="005D4020">
        <w:rPr>
          <w:lang w:val="en-CA"/>
        </w:rPr>
        <w:t>similar to</w:t>
      </w:r>
      <w:proofErr w:type="gramEnd"/>
      <w:r w:rsidR="005D4020">
        <w:rPr>
          <w:lang w:val="en-CA"/>
        </w:rPr>
        <w:t xml:space="preserve"> that in </w:t>
      </w:r>
      <w:r w:rsidR="0016191E">
        <w:rPr>
          <w:lang w:val="en-CA"/>
        </w:rPr>
        <w:t>JVET-A</w:t>
      </w:r>
      <w:r w:rsidR="000A6EFA">
        <w:rPr>
          <w:lang w:val="en-CA"/>
        </w:rPr>
        <w:t>J</w:t>
      </w:r>
      <w:r w:rsidR="00B1318F">
        <w:rPr>
          <w:lang w:val="en-CA"/>
        </w:rPr>
        <w:t>0</w:t>
      </w:r>
      <w:r w:rsidR="000A6EFA">
        <w:rPr>
          <w:lang w:val="en-CA"/>
        </w:rPr>
        <w:t>138</w:t>
      </w:r>
      <w:r w:rsidR="0016191E">
        <w:rPr>
          <w:lang w:val="en-CA"/>
        </w:rPr>
        <w:t xml:space="preserve"> [</w:t>
      </w:r>
      <w:r w:rsidR="00B1318F">
        <w:rPr>
          <w:lang w:val="en-CA"/>
        </w:rPr>
        <w:t>1</w:t>
      </w:r>
      <w:r w:rsidR="0016191E">
        <w:rPr>
          <w:lang w:val="en-CA"/>
        </w:rPr>
        <w:t>]</w:t>
      </w:r>
      <w:r w:rsidR="00B1318F">
        <w:rPr>
          <w:lang w:val="en-CA"/>
        </w:rPr>
        <w:t>,</w:t>
      </w:r>
      <w:r w:rsidR="0016191E">
        <w:rPr>
          <w:lang w:val="en-CA"/>
        </w:rPr>
        <w:t xml:space="preserve"> to CCALF. </w:t>
      </w:r>
      <w:r w:rsidR="000D7F28">
        <w:rPr>
          <w:lang w:val="en-CA"/>
        </w:rPr>
        <w:t xml:space="preserve">The proposal is implemented on the top of ECM-14.0. </w:t>
      </w:r>
      <w:r w:rsidR="00E95729">
        <w:rPr>
          <w:lang w:val="en-CA"/>
        </w:rPr>
        <w:t xml:space="preserve">The BD-rate PSNR of </w:t>
      </w:r>
      <w:r w:rsidR="005D4020">
        <w:rPr>
          <w:lang w:val="en-CA"/>
        </w:rPr>
        <w:t xml:space="preserve">proposed approach </w:t>
      </w:r>
      <w:r w:rsidR="00B1318F">
        <w:rPr>
          <w:lang w:val="en-CA"/>
        </w:rPr>
        <w:t>compared to ECM-14.0 is</w:t>
      </w:r>
      <w:r w:rsidR="00E95729">
        <w:rPr>
          <w:lang w:val="en-CA"/>
        </w:rPr>
        <w:t xml:space="preserve"> </w:t>
      </w:r>
    </w:p>
    <w:p w14:paraId="129BAF40" w14:textId="449141B4" w:rsidR="00B1318F" w:rsidRPr="00B1318F" w:rsidRDefault="00B1318F" w:rsidP="00B1318F">
      <w:pPr>
        <w:pStyle w:val="ListParagraph"/>
        <w:numPr>
          <w:ilvl w:val="0"/>
          <w:numId w:val="12"/>
        </w:numPr>
        <w:rPr>
          <w:szCs w:val="22"/>
          <w:lang w:val="en-CA"/>
        </w:rPr>
      </w:pPr>
      <w:r>
        <w:rPr>
          <w:lang w:val="en-CA"/>
        </w:rPr>
        <w:t xml:space="preserve">{0.00%, -0.13%, -0.10%} for {Y, </w:t>
      </w:r>
      <w:proofErr w:type="spellStart"/>
      <w:r>
        <w:rPr>
          <w:lang w:val="en-CA"/>
        </w:rPr>
        <w:t>Cb</w:t>
      </w:r>
      <w:proofErr w:type="spellEnd"/>
      <w:r>
        <w:rPr>
          <w:lang w:val="en-CA"/>
        </w:rPr>
        <w:t xml:space="preserve">, Cr} on AI condition, </w:t>
      </w:r>
    </w:p>
    <w:p w14:paraId="723883F2" w14:textId="7AA736A0" w:rsidR="00263398" w:rsidRPr="00B1318F" w:rsidRDefault="00E95729" w:rsidP="00B1318F">
      <w:pPr>
        <w:pStyle w:val="ListParagraph"/>
        <w:numPr>
          <w:ilvl w:val="0"/>
          <w:numId w:val="12"/>
        </w:numPr>
        <w:rPr>
          <w:szCs w:val="22"/>
          <w:lang w:val="en-CA"/>
        </w:rPr>
      </w:pPr>
      <w:r w:rsidRPr="00B1318F">
        <w:rPr>
          <w:lang w:val="en-CA"/>
        </w:rPr>
        <w:t>{</w:t>
      </w:r>
      <w:r w:rsidR="000F2148">
        <w:rPr>
          <w:lang w:val="en-CA"/>
        </w:rPr>
        <w:t>0.01</w:t>
      </w:r>
      <w:r w:rsidRPr="00B1318F">
        <w:rPr>
          <w:lang w:val="en-CA"/>
        </w:rPr>
        <w:t xml:space="preserve">%, </w:t>
      </w:r>
      <w:r w:rsidR="000F2148">
        <w:rPr>
          <w:lang w:val="en-CA"/>
        </w:rPr>
        <w:t>-0</w:t>
      </w:r>
      <w:r w:rsidR="00B1318F">
        <w:rPr>
          <w:lang w:val="en-CA"/>
        </w:rPr>
        <w:t>.</w:t>
      </w:r>
      <w:r w:rsidR="000F2148">
        <w:rPr>
          <w:lang w:val="en-CA"/>
        </w:rPr>
        <w:t>19</w:t>
      </w:r>
      <w:r w:rsidRPr="00B1318F">
        <w:rPr>
          <w:lang w:val="en-CA"/>
        </w:rPr>
        <w:t xml:space="preserve">%, </w:t>
      </w:r>
      <w:r w:rsidR="000F2148">
        <w:rPr>
          <w:lang w:val="en-CA"/>
        </w:rPr>
        <w:t>-0.09</w:t>
      </w:r>
      <w:r w:rsidRPr="00B1318F">
        <w:rPr>
          <w:lang w:val="en-CA"/>
        </w:rPr>
        <w:t xml:space="preserve">%} for {Y, </w:t>
      </w:r>
      <w:proofErr w:type="spellStart"/>
      <w:r w:rsidRPr="00B1318F">
        <w:rPr>
          <w:lang w:val="en-CA"/>
        </w:rPr>
        <w:t>Cb</w:t>
      </w:r>
      <w:proofErr w:type="spellEnd"/>
      <w:r w:rsidRPr="00B1318F">
        <w:rPr>
          <w:lang w:val="en-CA"/>
        </w:rPr>
        <w:t>, Cr} on RA condition</w:t>
      </w:r>
      <w:r w:rsidR="00B1318F">
        <w:rPr>
          <w:lang w:val="en-CA"/>
        </w:rPr>
        <w:t>, and</w:t>
      </w:r>
    </w:p>
    <w:p w14:paraId="6A3EC136" w14:textId="3D143F7B" w:rsidR="00E95729" w:rsidRDefault="00745F6B" w:rsidP="00E95729">
      <w:pPr>
        <w:pStyle w:val="Heading1"/>
        <w:rPr>
          <w:lang w:val="en-CA"/>
        </w:rPr>
      </w:pPr>
      <w:r w:rsidRPr="005B217D">
        <w:rPr>
          <w:lang w:val="en-CA"/>
        </w:rPr>
        <w:t>Introduction</w:t>
      </w:r>
    </w:p>
    <w:p w14:paraId="4DD55F83" w14:textId="46B84B89" w:rsidR="00E95729" w:rsidRDefault="00B41F2F" w:rsidP="005E57EE">
      <w:pPr>
        <w:ind w:firstLine="144"/>
      </w:pPr>
      <w:r w:rsidRPr="00B41F2F">
        <w:t>In JVET-A</w:t>
      </w:r>
      <w:r w:rsidR="00A41195">
        <w:t>J</w:t>
      </w:r>
      <w:r w:rsidRPr="00B41F2F">
        <w:t>0</w:t>
      </w:r>
      <w:r w:rsidR="00A41195">
        <w:t>13</w:t>
      </w:r>
      <w:r w:rsidRPr="00B41F2F">
        <w:t>8, BD-Rate savings are achieved by applying coefficient value restriction, annealing coefficient derivation and Huffman coding to ALF. We propose the annealing coefficient derivation and Huffman coding for CCALF. Since CCALF coefficients are already restricted by a power of 2, we leave the coefficient restriction as it is in ECM</w:t>
      </w:r>
      <w:r w:rsidR="00285C34">
        <w:t>-</w:t>
      </w:r>
      <w:r w:rsidRPr="00B41F2F">
        <w:t>14.</w:t>
      </w:r>
    </w:p>
    <w:p w14:paraId="2A1ED6AC" w14:textId="2D1E3B91" w:rsidR="00C13CA3" w:rsidRDefault="00DD1A2A" w:rsidP="005E57EE">
      <w:pPr>
        <w:ind w:firstLine="144"/>
      </w:pPr>
      <w:r>
        <w:t>T</w:t>
      </w:r>
      <w:r w:rsidR="00C13CA3">
        <w:t>he</w:t>
      </w:r>
      <w:r>
        <w:t xml:space="preserve"> procedure of</w:t>
      </w:r>
      <w:r w:rsidR="00C13CA3">
        <w:t xml:space="preserve"> annealing coefficient derivation</w:t>
      </w:r>
      <w:r>
        <w:t xml:space="preserve"> is </w:t>
      </w:r>
      <w:r w:rsidR="00DF3964">
        <w:t>modified as follows compared to</w:t>
      </w:r>
      <w:r>
        <w:t xml:space="preserve"> that </w:t>
      </w:r>
      <w:r w:rsidR="00DF3964">
        <w:t xml:space="preserve">in </w:t>
      </w:r>
      <w:r>
        <w:rPr>
          <w:lang w:val="en-CA"/>
        </w:rPr>
        <w:t>JVET-A</w:t>
      </w:r>
      <w:r w:rsidR="00A41195">
        <w:rPr>
          <w:lang w:val="en-CA"/>
        </w:rPr>
        <w:t>J</w:t>
      </w:r>
      <w:r>
        <w:rPr>
          <w:lang w:val="en-CA"/>
        </w:rPr>
        <w:t>0</w:t>
      </w:r>
      <w:r w:rsidR="00A41195">
        <w:rPr>
          <w:lang w:val="en-CA"/>
        </w:rPr>
        <w:t>13</w:t>
      </w:r>
      <w:r>
        <w:rPr>
          <w:lang w:val="en-CA"/>
        </w:rPr>
        <w:t xml:space="preserve">8. In this contribution, </w:t>
      </w:r>
      <w:r w:rsidR="0013094A">
        <w:rPr>
          <w:rFonts w:eastAsiaTheme="minorEastAsia"/>
        </w:rPr>
        <w:t xml:space="preserve">if there are no newly accepted solutions for </w:t>
      </w:r>
      <m:oMath>
        <m:d>
          <m:dPr>
            <m:ctrlPr>
              <w:rPr>
                <w:rFonts w:ascii="Cambria Math" w:eastAsiaTheme="minorEastAsia" w:hAnsi="Cambria Math"/>
                <w:i/>
              </w:rPr>
            </m:ctrlPr>
          </m:dPr>
          <m:e>
            <m:r>
              <w:rPr>
                <w:rFonts w:ascii="Cambria Math" w:eastAsiaTheme="minorEastAsia" w:hAnsi="Cambria Math"/>
              </w:rPr>
              <m:t>n+1</m:t>
            </m:r>
          </m:e>
        </m:d>
      </m:oMath>
      <w:r w:rsidR="0013094A">
        <w:rPr>
          <w:rFonts w:eastAsiaTheme="minorEastAsia"/>
        </w:rPr>
        <w:t xml:space="preserve"> iterations in a row, the simulated annealing procedure is stopped,</w:t>
      </w:r>
      <w:r w:rsidR="0013094A">
        <w:t xml:space="preserve"> where </w:t>
      </w:r>
      <m:oMath>
        <m:r>
          <w:rPr>
            <w:rFonts w:ascii="Cambria Math" w:hAnsi="Cambria Math"/>
          </w:rPr>
          <m:t>n</m:t>
        </m:r>
      </m:oMath>
      <w:r w:rsidR="0013094A">
        <w:t xml:space="preserve"> is the number of CCALF coefficients.</w:t>
      </w:r>
    </w:p>
    <w:p w14:paraId="5CAA2DD2" w14:textId="36D00B12" w:rsidR="00DD1A2A" w:rsidRDefault="007B18C2" w:rsidP="005E57EE">
      <w:pPr>
        <w:ind w:firstLine="144"/>
      </w:pPr>
      <w:r w:rsidRPr="007B18C2">
        <w:t>As for Huffman coding, each bit string of the coefficient is derived and pre-defined from the probability of occurrence of CCALF coefficients when ECM-14.0 encodes the CTC sequences.</w:t>
      </w:r>
      <w:r w:rsidR="006A0A83">
        <w:t xml:space="preserve"> In practice, the length of the bit string of each coefficient is</w:t>
      </w:r>
      <w:r w:rsidR="001A37BC">
        <w:t xml:space="preserve"> set</w:t>
      </w:r>
      <w:r w:rsidR="006A0A83">
        <w:t xml:space="preserve"> </w:t>
      </w:r>
      <w:proofErr w:type="gramStart"/>
      <w:r w:rsidR="006A0A83" w:rsidRPr="006A0A83">
        <w:rPr>
          <w:rFonts w:eastAsia="HackGen Console NF"/>
        </w:rPr>
        <w:t>{ 8</w:t>
      </w:r>
      <w:proofErr w:type="gramEnd"/>
      <w:r w:rsidR="006A0A83" w:rsidRPr="006A0A83">
        <w:rPr>
          <w:rFonts w:eastAsia="HackGen Console NF"/>
        </w:rPr>
        <w:t>, 8, 6, 5, 4, 4, 3, 2, 3, 3, 4, 4, 5, 5, 7}</w:t>
      </w:r>
      <w:r w:rsidR="006A0A83">
        <w:t xml:space="preserve"> for {-64, -32, -16, -8, -4, -2, -1, 0, 1, 2, 4, 8, 16, 32,</w:t>
      </w:r>
      <w:r w:rsidR="001A37BC">
        <w:t xml:space="preserve"> </w:t>
      </w:r>
      <w:r w:rsidR="006A0A83">
        <w:t>64}.</w:t>
      </w:r>
    </w:p>
    <w:p w14:paraId="7DF5ECCB" w14:textId="1A656961" w:rsidR="008A6463" w:rsidRPr="00B41F2F" w:rsidRDefault="00DF3964" w:rsidP="005E57EE">
      <w:pPr>
        <w:ind w:firstLine="144"/>
      </w:pPr>
      <w:r>
        <w:t xml:space="preserve">It is asserted that the proposed approach is complementary to the approach in </w:t>
      </w:r>
      <w:r w:rsidR="00196247">
        <w:t>JVET-</w:t>
      </w:r>
      <w:r w:rsidR="008A6463" w:rsidRPr="008A6463">
        <w:t>A</w:t>
      </w:r>
      <w:r w:rsidR="00196247">
        <w:t>J</w:t>
      </w:r>
      <w:r w:rsidR="008A6463" w:rsidRPr="008A6463">
        <w:t>0</w:t>
      </w:r>
      <w:r w:rsidR="00196247">
        <w:t>13</w:t>
      </w:r>
      <w:r w:rsidR="008A6463" w:rsidRPr="008A6463">
        <w:t>8</w:t>
      </w:r>
      <w:r>
        <w:t xml:space="preserve"> for ALF.</w:t>
      </w:r>
    </w:p>
    <w:p w14:paraId="7D2AC1F0" w14:textId="2EB13915" w:rsidR="00745F6B" w:rsidRDefault="00BB773B" w:rsidP="00E11923">
      <w:pPr>
        <w:pStyle w:val="Heading1"/>
        <w:rPr>
          <w:lang w:val="en-CA"/>
        </w:rPr>
      </w:pPr>
      <w:r>
        <w:rPr>
          <w:lang w:val="en-CA"/>
        </w:rPr>
        <w:t>Experimental results</w:t>
      </w:r>
    </w:p>
    <w:p w14:paraId="312A1905" w14:textId="75030F47" w:rsidR="00E95729" w:rsidRDefault="00C175C1" w:rsidP="005E57EE">
      <w:pPr>
        <w:ind w:firstLine="144"/>
        <w:rPr>
          <w:lang w:val="en-CA"/>
        </w:rPr>
      </w:pPr>
      <w:r>
        <w:rPr>
          <w:lang w:val="en-CA"/>
        </w:rPr>
        <w:t>The proposal is implemented on the top of ECM-14.0</w:t>
      </w:r>
      <w:r w:rsidR="00E62D0E">
        <w:rPr>
          <w:lang w:val="en-CA"/>
        </w:rPr>
        <w:t xml:space="preserve"> and evaluated under the CTC by comparing to performance of the original ECM-14.0. Table 1</w:t>
      </w:r>
      <w:r w:rsidR="000F2148">
        <w:rPr>
          <w:lang w:val="en-CA"/>
        </w:rPr>
        <w:t xml:space="preserve"> and</w:t>
      </w:r>
      <w:r w:rsidR="00E62D0E">
        <w:rPr>
          <w:lang w:val="en-CA"/>
        </w:rPr>
        <w:t xml:space="preserve"> 2 show the experimental results </w:t>
      </w:r>
      <w:r w:rsidR="00A97BB7">
        <w:rPr>
          <w:lang w:val="en-CA"/>
        </w:rPr>
        <w:t>under AI</w:t>
      </w:r>
      <w:r w:rsidR="000F2148">
        <w:rPr>
          <w:lang w:val="en-CA"/>
        </w:rPr>
        <w:t xml:space="preserve"> and</w:t>
      </w:r>
      <w:r w:rsidR="00A97BB7">
        <w:rPr>
          <w:lang w:val="en-CA"/>
        </w:rPr>
        <w:t xml:space="preserve"> RA conditions</w:t>
      </w:r>
      <w:r w:rsidR="00B1318F">
        <w:rPr>
          <w:lang w:val="en-CA"/>
        </w:rPr>
        <w:t>, respectively.</w:t>
      </w:r>
      <w:r w:rsidR="004D4159">
        <w:rPr>
          <w:lang w:val="en-CA"/>
        </w:rPr>
        <w:t xml:space="preserve"> </w:t>
      </w:r>
      <w:r w:rsidR="008A3570" w:rsidRPr="008A3570">
        <w:rPr>
          <w:lang w:val="en-CA"/>
        </w:rPr>
        <w:t>As for the experimental environment, the sequences of QP22 are computed on Intel(R) Xeon(R) Gold 6346, QP27, 32, 37 are computed on AMD EPYC 7763.</w:t>
      </w:r>
    </w:p>
    <w:p w14:paraId="5B950C3D" w14:textId="61FE2509" w:rsidR="005E57EE" w:rsidRDefault="005E57EE" w:rsidP="005E57EE">
      <w:pPr>
        <w:jc w:val="center"/>
        <w:rPr>
          <w:lang w:val="en-CA"/>
        </w:rPr>
      </w:pPr>
      <w:r>
        <w:rPr>
          <w:lang w:val="en-CA"/>
        </w:rPr>
        <w:t>Table 1: Test result of CTC compared to ECM-14.0 under AI condition</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5E57EE" w14:paraId="16B109BC" w14:textId="77777777" w:rsidTr="005E57EE">
        <w:trPr>
          <w:trHeight w:val="255"/>
        </w:trPr>
        <w:tc>
          <w:tcPr>
            <w:tcW w:w="1040" w:type="dxa"/>
            <w:tcBorders>
              <w:top w:val="nil"/>
              <w:left w:val="nil"/>
              <w:bottom w:val="nil"/>
              <w:right w:val="nil"/>
            </w:tcBorders>
            <w:shd w:val="clear" w:color="auto" w:fill="auto"/>
            <w:noWrap/>
            <w:vAlign w:val="center"/>
            <w:hideMark/>
          </w:tcPr>
          <w:p w14:paraId="7F3809D4" w14:textId="77777777" w:rsidR="005E57EE" w:rsidRDefault="005E57EE">
            <w:pPr>
              <w:rPr>
                <w:sz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DDFFF4"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5E57EE" w14:paraId="55A3ECDD" w14:textId="77777777" w:rsidTr="005E57EE">
        <w:trPr>
          <w:trHeight w:val="255"/>
        </w:trPr>
        <w:tc>
          <w:tcPr>
            <w:tcW w:w="1040" w:type="dxa"/>
            <w:tcBorders>
              <w:top w:val="nil"/>
              <w:left w:val="nil"/>
              <w:bottom w:val="nil"/>
              <w:right w:val="nil"/>
            </w:tcBorders>
            <w:shd w:val="clear" w:color="auto" w:fill="auto"/>
            <w:noWrap/>
            <w:vAlign w:val="center"/>
            <w:hideMark/>
          </w:tcPr>
          <w:p w14:paraId="20CF3FD3" w14:textId="77777777" w:rsidR="005E57EE" w:rsidRDefault="005E57EE">
            <w:pPr>
              <w:jc w:val="center"/>
              <w:rPr>
                <w:rFonts w:ascii="Arial"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9D042EA"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Over ecm140_anchor</w:t>
            </w:r>
          </w:p>
        </w:tc>
      </w:tr>
      <w:tr w:rsidR="005E57EE" w14:paraId="14FA4160" w14:textId="77777777" w:rsidTr="005E57EE">
        <w:trPr>
          <w:trHeight w:val="255"/>
        </w:trPr>
        <w:tc>
          <w:tcPr>
            <w:tcW w:w="1040" w:type="dxa"/>
            <w:tcBorders>
              <w:top w:val="nil"/>
              <w:left w:val="nil"/>
              <w:bottom w:val="nil"/>
              <w:right w:val="nil"/>
            </w:tcBorders>
            <w:shd w:val="clear" w:color="auto" w:fill="auto"/>
            <w:noWrap/>
            <w:vAlign w:val="center"/>
            <w:hideMark/>
          </w:tcPr>
          <w:p w14:paraId="0CC2BCAB" w14:textId="77777777" w:rsidR="005E57EE" w:rsidRDefault="005E57EE">
            <w:pPr>
              <w:jc w:val="center"/>
              <w:rPr>
                <w:rFonts w:ascii="Arial"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25CCB28E" w14:textId="77777777" w:rsidR="005E57EE" w:rsidRDefault="005E57EE">
            <w:pPr>
              <w:jc w:val="center"/>
              <w:rPr>
                <w:rFonts w:ascii="Arial" w:hAnsi="Arial" w:cs="Arial"/>
                <w:color w:val="000000"/>
                <w:sz w:val="18"/>
                <w:szCs w:val="18"/>
              </w:rPr>
            </w:pPr>
            <w:r>
              <w:rPr>
                <w:rFonts w:ascii="Arial" w:hAnsi="Arial" w:cs="Arial"/>
                <w:color w:val="000000"/>
                <w:sz w:val="18"/>
                <w:szCs w:val="18"/>
              </w:rPr>
              <w:t>Y</w:t>
            </w:r>
          </w:p>
        </w:tc>
        <w:tc>
          <w:tcPr>
            <w:tcW w:w="997" w:type="dxa"/>
            <w:tcBorders>
              <w:top w:val="nil"/>
              <w:left w:val="nil"/>
              <w:bottom w:val="single" w:sz="8" w:space="0" w:color="auto"/>
              <w:right w:val="nil"/>
            </w:tcBorders>
            <w:shd w:val="clear" w:color="auto" w:fill="auto"/>
            <w:noWrap/>
            <w:vAlign w:val="center"/>
            <w:hideMark/>
          </w:tcPr>
          <w:p w14:paraId="38EAC189" w14:textId="77777777" w:rsidR="005E57EE" w:rsidRDefault="005E57EE">
            <w:pPr>
              <w:jc w:val="center"/>
              <w:rPr>
                <w:rFonts w:ascii="Arial" w:hAnsi="Arial" w:cs="Arial"/>
                <w:color w:val="000000"/>
                <w:sz w:val="18"/>
                <w:szCs w:val="18"/>
              </w:rPr>
            </w:pPr>
            <w:r>
              <w:rPr>
                <w:rFonts w:ascii="Arial" w:hAnsi="Arial" w:cs="Arial"/>
                <w:color w:val="000000"/>
                <w:sz w:val="18"/>
                <w:szCs w:val="18"/>
              </w:rPr>
              <w:t>U</w:t>
            </w:r>
          </w:p>
        </w:tc>
        <w:tc>
          <w:tcPr>
            <w:tcW w:w="997" w:type="dxa"/>
            <w:tcBorders>
              <w:top w:val="nil"/>
              <w:left w:val="nil"/>
              <w:bottom w:val="single" w:sz="8" w:space="0" w:color="auto"/>
              <w:right w:val="single" w:sz="4" w:space="0" w:color="auto"/>
            </w:tcBorders>
            <w:shd w:val="clear" w:color="auto" w:fill="auto"/>
            <w:noWrap/>
            <w:vAlign w:val="center"/>
            <w:hideMark/>
          </w:tcPr>
          <w:p w14:paraId="210F7758" w14:textId="77777777" w:rsidR="005E57EE" w:rsidRDefault="005E57EE">
            <w:pPr>
              <w:jc w:val="center"/>
              <w:rPr>
                <w:rFonts w:ascii="Arial" w:hAnsi="Arial" w:cs="Arial"/>
                <w:color w:val="000000"/>
                <w:sz w:val="18"/>
                <w:szCs w:val="18"/>
              </w:rPr>
            </w:pPr>
            <w:r>
              <w:rPr>
                <w:rFonts w:ascii="Arial" w:hAnsi="Arial" w:cs="Arial"/>
                <w:color w:val="000000"/>
                <w:sz w:val="18"/>
                <w:szCs w:val="18"/>
              </w:rPr>
              <w:t>V</w:t>
            </w:r>
          </w:p>
        </w:tc>
        <w:tc>
          <w:tcPr>
            <w:tcW w:w="829" w:type="dxa"/>
            <w:tcBorders>
              <w:top w:val="nil"/>
              <w:left w:val="nil"/>
              <w:bottom w:val="single" w:sz="8" w:space="0" w:color="auto"/>
              <w:right w:val="nil"/>
            </w:tcBorders>
            <w:shd w:val="clear" w:color="auto" w:fill="auto"/>
            <w:noWrap/>
            <w:vAlign w:val="center"/>
            <w:hideMark/>
          </w:tcPr>
          <w:p w14:paraId="696224E3"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29" w:type="dxa"/>
            <w:tcBorders>
              <w:top w:val="nil"/>
              <w:left w:val="nil"/>
              <w:bottom w:val="single" w:sz="8" w:space="0" w:color="auto"/>
              <w:right w:val="nil"/>
            </w:tcBorders>
            <w:shd w:val="clear" w:color="auto" w:fill="auto"/>
            <w:noWrap/>
            <w:vAlign w:val="center"/>
            <w:hideMark/>
          </w:tcPr>
          <w:p w14:paraId="752E01F6"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010E30FC"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1879D558" w14:textId="77777777" w:rsidR="005E57EE" w:rsidRDefault="005E57EE">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5E57EE" w14:paraId="4868BAC3"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AACBE3" w14:textId="77777777" w:rsidR="005E57EE" w:rsidRDefault="005E57EE">
            <w:pPr>
              <w:jc w:val="center"/>
              <w:rPr>
                <w:rFonts w:ascii="Arial" w:hAnsi="Arial" w:cs="Arial"/>
                <w:color w:val="000000"/>
                <w:sz w:val="18"/>
                <w:szCs w:val="18"/>
              </w:rPr>
            </w:pPr>
            <w:r>
              <w:rPr>
                <w:rFonts w:ascii="Arial" w:hAnsi="Arial" w:cs="Arial"/>
                <w:color w:val="000000"/>
                <w:sz w:val="18"/>
                <w:szCs w:val="18"/>
              </w:rPr>
              <w:t>Class A1</w:t>
            </w:r>
          </w:p>
        </w:tc>
        <w:tc>
          <w:tcPr>
            <w:tcW w:w="997" w:type="dxa"/>
            <w:tcBorders>
              <w:top w:val="nil"/>
              <w:left w:val="nil"/>
              <w:bottom w:val="nil"/>
              <w:right w:val="nil"/>
            </w:tcBorders>
            <w:shd w:val="clear" w:color="auto" w:fill="auto"/>
            <w:noWrap/>
            <w:vAlign w:val="center"/>
            <w:hideMark/>
          </w:tcPr>
          <w:p w14:paraId="365CBB04"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1E7F47C5" w14:textId="77777777" w:rsidR="005E57EE" w:rsidRDefault="005E57EE">
            <w:pPr>
              <w:jc w:val="center"/>
              <w:rPr>
                <w:rFonts w:ascii="Arial" w:hAnsi="Arial" w:cs="Arial"/>
                <w:color w:val="000000"/>
                <w:sz w:val="18"/>
                <w:szCs w:val="18"/>
              </w:rPr>
            </w:pPr>
            <w:r>
              <w:rPr>
                <w:rFonts w:ascii="Arial" w:hAnsi="Arial" w:cs="Arial"/>
                <w:color w:val="000000"/>
                <w:sz w:val="18"/>
                <w:szCs w:val="18"/>
              </w:rPr>
              <w:t>-0.10%</w:t>
            </w:r>
          </w:p>
        </w:tc>
        <w:tc>
          <w:tcPr>
            <w:tcW w:w="997" w:type="dxa"/>
            <w:tcBorders>
              <w:top w:val="nil"/>
              <w:left w:val="nil"/>
              <w:bottom w:val="nil"/>
              <w:right w:val="single" w:sz="4" w:space="0" w:color="auto"/>
            </w:tcBorders>
            <w:shd w:val="clear" w:color="auto" w:fill="auto"/>
            <w:noWrap/>
            <w:vAlign w:val="center"/>
            <w:hideMark/>
          </w:tcPr>
          <w:p w14:paraId="13F116B4" w14:textId="77777777" w:rsidR="005E57EE" w:rsidRDefault="005E57EE">
            <w:pPr>
              <w:jc w:val="center"/>
              <w:rPr>
                <w:rFonts w:ascii="Arial" w:hAnsi="Arial" w:cs="Arial"/>
                <w:color w:val="000000"/>
                <w:sz w:val="18"/>
                <w:szCs w:val="18"/>
              </w:rPr>
            </w:pPr>
            <w:r>
              <w:rPr>
                <w:rFonts w:ascii="Arial" w:hAnsi="Arial" w:cs="Arial"/>
                <w:color w:val="000000"/>
                <w:sz w:val="18"/>
                <w:szCs w:val="18"/>
              </w:rPr>
              <w:t>-0.03%</w:t>
            </w:r>
          </w:p>
        </w:tc>
        <w:tc>
          <w:tcPr>
            <w:tcW w:w="829" w:type="dxa"/>
            <w:tcBorders>
              <w:top w:val="nil"/>
              <w:left w:val="nil"/>
              <w:bottom w:val="nil"/>
              <w:right w:val="nil"/>
            </w:tcBorders>
            <w:shd w:val="clear" w:color="auto" w:fill="auto"/>
            <w:noWrap/>
            <w:vAlign w:val="center"/>
            <w:hideMark/>
          </w:tcPr>
          <w:p w14:paraId="2300AB78" w14:textId="77777777" w:rsidR="005E57EE" w:rsidRDefault="005E57EE">
            <w:pPr>
              <w:jc w:val="center"/>
              <w:rPr>
                <w:rFonts w:ascii="Arial" w:hAnsi="Arial" w:cs="Arial"/>
                <w:color w:val="000000"/>
                <w:sz w:val="18"/>
                <w:szCs w:val="18"/>
              </w:rPr>
            </w:pPr>
            <w:r>
              <w:rPr>
                <w:rFonts w:ascii="Arial" w:hAnsi="Arial" w:cs="Arial"/>
                <w:color w:val="000000"/>
                <w:sz w:val="18"/>
                <w:szCs w:val="18"/>
              </w:rPr>
              <w:t>99.9%</w:t>
            </w:r>
          </w:p>
        </w:tc>
        <w:tc>
          <w:tcPr>
            <w:tcW w:w="829" w:type="dxa"/>
            <w:tcBorders>
              <w:top w:val="nil"/>
              <w:left w:val="nil"/>
              <w:bottom w:val="nil"/>
              <w:right w:val="nil"/>
            </w:tcBorders>
            <w:shd w:val="clear" w:color="auto" w:fill="auto"/>
            <w:noWrap/>
            <w:vAlign w:val="center"/>
            <w:hideMark/>
          </w:tcPr>
          <w:p w14:paraId="6BBED749" w14:textId="77777777" w:rsidR="005E57EE" w:rsidRDefault="005E57EE">
            <w:pPr>
              <w:jc w:val="center"/>
              <w:rPr>
                <w:rFonts w:ascii="Arial" w:hAnsi="Arial" w:cs="Arial"/>
                <w:color w:val="000000"/>
                <w:sz w:val="18"/>
                <w:szCs w:val="18"/>
              </w:rPr>
            </w:pPr>
            <w:r>
              <w:rPr>
                <w:rFonts w:ascii="Arial" w:hAnsi="Arial" w:cs="Arial"/>
                <w:color w:val="000000"/>
                <w:sz w:val="18"/>
                <w:szCs w:val="18"/>
              </w:rPr>
              <w:t>100.6%</w:t>
            </w:r>
          </w:p>
        </w:tc>
        <w:tc>
          <w:tcPr>
            <w:tcW w:w="1320" w:type="dxa"/>
            <w:tcBorders>
              <w:top w:val="nil"/>
              <w:left w:val="single" w:sz="4" w:space="0" w:color="auto"/>
              <w:bottom w:val="nil"/>
              <w:right w:val="nil"/>
            </w:tcBorders>
            <w:shd w:val="clear" w:color="auto" w:fill="auto"/>
            <w:noWrap/>
            <w:vAlign w:val="center"/>
            <w:hideMark/>
          </w:tcPr>
          <w:p w14:paraId="1355EA4F" w14:textId="77777777" w:rsidR="005E57EE" w:rsidRDefault="005E57EE">
            <w:pPr>
              <w:jc w:val="center"/>
              <w:rPr>
                <w:rFonts w:ascii="Arial" w:hAnsi="Arial" w:cs="Arial"/>
                <w:color w:val="000000"/>
                <w:sz w:val="18"/>
                <w:szCs w:val="18"/>
              </w:rPr>
            </w:pPr>
            <w:r>
              <w:rPr>
                <w:rFonts w:ascii="Arial" w:hAnsi="Arial" w:cs="Arial"/>
                <w:color w:val="000000"/>
                <w:sz w:val="18"/>
                <w:szCs w:val="18"/>
              </w:rPr>
              <w:t>102.4%</w:t>
            </w:r>
          </w:p>
        </w:tc>
        <w:tc>
          <w:tcPr>
            <w:tcW w:w="1333" w:type="dxa"/>
            <w:tcBorders>
              <w:top w:val="nil"/>
              <w:left w:val="nil"/>
              <w:bottom w:val="nil"/>
              <w:right w:val="single" w:sz="8" w:space="0" w:color="auto"/>
            </w:tcBorders>
            <w:shd w:val="clear" w:color="auto" w:fill="auto"/>
            <w:noWrap/>
            <w:vAlign w:val="center"/>
            <w:hideMark/>
          </w:tcPr>
          <w:p w14:paraId="620A83A2"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r>
      <w:tr w:rsidR="005E57EE" w14:paraId="06DFDD99"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D1ADAB" w14:textId="77777777" w:rsidR="005E57EE" w:rsidRDefault="005E57EE">
            <w:pPr>
              <w:jc w:val="center"/>
              <w:rPr>
                <w:rFonts w:ascii="Arial" w:hAnsi="Arial" w:cs="Arial"/>
                <w:color w:val="000000"/>
                <w:sz w:val="18"/>
                <w:szCs w:val="18"/>
              </w:rPr>
            </w:pPr>
            <w:r>
              <w:rPr>
                <w:rFonts w:ascii="Arial" w:hAnsi="Arial" w:cs="Arial"/>
                <w:color w:val="000000"/>
                <w:sz w:val="18"/>
                <w:szCs w:val="18"/>
              </w:rPr>
              <w:t>Class A2</w:t>
            </w:r>
          </w:p>
        </w:tc>
        <w:tc>
          <w:tcPr>
            <w:tcW w:w="997" w:type="dxa"/>
            <w:tcBorders>
              <w:top w:val="nil"/>
              <w:left w:val="nil"/>
              <w:bottom w:val="nil"/>
              <w:right w:val="nil"/>
            </w:tcBorders>
            <w:shd w:val="clear" w:color="auto" w:fill="auto"/>
            <w:noWrap/>
            <w:vAlign w:val="center"/>
            <w:hideMark/>
          </w:tcPr>
          <w:p w14:paraId="2B00695E"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49D6F25F" w14:textId="77777777" w:rsidR="005E57EE" w:rsidRDefault="005E57EE">
            <w:pPr>
              <w:jc w:val="center"/>
              <w:rPr>
                <w:rFonts w:ascii="Arial" w:hAnsi="Arial" w:cs="Arial"/>
                <w:color w:val="000000"/>
                <w:sz w:val="18"/>
                <w:szCs w:val="18"/>
              </w:rPr>
            </w:pPr>
            <w:r>
              <w:rPr>
                <w:rFonts w:ascii="Arial" w:hAnsi="Arial" w:cs="Arial"/>
                <w:color w:val="000000"/>
                <w:sz w:val="18"/>
                <w:szCs w:val="18"/>
              </w:rPr>
              <w:t>-0.05%</w:t>
            </w:r>
          </w:p>
        </w:tc>
        <w:tc>
          <w:tcPr>
            <w:tcW w:w="997" w:type="dxa"/>
            <w:tcBorders>
              <w:top w:val="nil"/>
              <w:left w:val="nil"/>
              <w:bottom w:val="nil"/>
              <w:right w:val="single" w:sz="4" w:space="0" w:color="auto"/>
            </w:tcBorders>
            <w:shd w:val="clear" w:color="auto" w:fill="auto"/>
            <w:noWrap/>
            <w:vAlign w:val="center"/>
            <w:hideMark/>
          </w:tcPr>
          <w:p w14:paraId="561CFB54" w14:textId="77777777" w:rsidR="005E57EE" w:rsidRDefault="005E57EE">
            <w:pPr>
              <w:jc w:val="center"/>
              <w:rPr>
                <w:rFonts w:ascii="Arial" w:hAnsi="Arial" w:cs="Arial"/>
                <w:color w:val="000000"/>
                <w:sz w:val="18"/>
                <w:szCs w:val="18"/>
              </w:rPr>
            </w:pPr>
            <w:r>
              <w:rPr>
                <w:rFonts w:ascii="Arial" w:hAnsi="Arial" w:cs="Arial"/>
                <w:color w:val="000000"/>
                <w:sz w:val="18"/>
                <w:szCs w:val="18"/>
              </w:rPr>
              <w:t>-0.02%</w:t>
            </w:r>
          </w:p>
        </w:tc>
        <w:tc>
          <w:tcPr>
            <w:tcW w:w="829" w:type="dxa"/>
            <w:tcBorders>
              <w:top w:val="nil"/>
              <w:left w:val="nil"/>
              <w:bottom w:val="nil"/>
              <w:right w:val="nil"/>
            </w:tcBorders>
            <w:shd w:val="clear" w:color="auto" w:fill="auto"/>
            <w:noWrap/>
            <w:vAlign w:val="center"/>
            <w:hideMark/>
          </w:tcPr>
          <w:p w14:paraId="30E2B709" w14:textId="77777777" w:rsidR="005E57EE" w:rsidRDefault="005E57EE">
            <w:pPr>
              <w:jc w:val="center"/>
              <w:rPr>
                <w:rFonts w:ascii="Arial" w:hAnsi="Arial" w:cs="Arial"/>
                <w:color w:val="000000"/>
                <w:sz w:val="18"/>
                <w:szCs w:val="18"/>
              </w:rPr>
            </w:pPr>
            <w:r>
              <w:rPr>
                <w:rFonts w:ascii="Arial" w:hAnsi="Arial" w:cs="Arial"/>
                <w:color w:val="000000"/>
                <w:sz w:val="18"/>
                <w:szCs w:val="18"/>
              </w:rPr>
              <w:t>99.5%</w:t>
            </w:r>
          </w:p>
        </w:tc>
        <w:tc>
          <w:tcPr>
            <w:tcW w:w="829" w:type="dxa"/>
            <w:tcBorders>
              <w:top w:val="nil"/>
              <w:left w:val="nil"/>
              <w:bottom w:val="nil"/>
              <w:right w:val="nil"/>
            </w:tcBorders>
            <w:shd w:val="clear" w:color="auto" w:fill="auto"/>
            <w:noWrap/>
            <w:vAlign w:val="center"/>
            <w:hideMark/>
          </w:tcPr>
          <w:p w14:paraId="04948EDE"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52398FC6" w14:textId="77777777" w:rsidR="005E57EE" w:rsidRDefault="005E57EE">
            <w:pPr>
              <w:jc w:val="center"/>
              <w:rPr>
                <w:rFonts w:ascii="Arial" w:hAnsi="Arial" w:cs="Arial"/>
                <w:color w:val="000000"/>
                <w:sz w:val="18"/>
                <w:szCs w:val="18"/>
              </w:rPr>
            </w:pPr>
            <w:r>
              <w:rPr>
                <w:rFonts w:ascii="Arial" w:hAnsi="Arial" w:cs="Arial"/>
                <w:color w:val="000000"/>
                <w:sz w:val="18"/>
                <w:szCs w:val="18"/>
              </w:rPr>
              <w:t>101.9%</w:t>
            </w:r>
          </w:p>
        </w:tc>
        <w:tc>
          <w:tcPr>
            <w:tcW w:w="1333" w:type="dxa"/>
            <w:tcBorders>
              <w:top w:val="nil"/>
              <w:left w:val="nil"/>
              <w:bottom w:val="nil"/>
              <w:right w:val="single" w:sz="8" w:space="0" w:color="auto"/>
            </w:tcBorders>
            <w:shd w:val="clear" w:color="auto" w:fill="auto"/>
            <w:noWrap/>
            <w:vAlign w:val="center"/>
            <w:hideMark/>
          </w:tcPr>
          <w:p w14:paraId="054D7075" w14:textId="77777777" w:rsidR="005E57EE" w:rsidRDefault="005E57EE">
            <w:pPr>
              <w:jc w:val="center"/>
              <w:rPr>
                <w:rFonts w:ascii="Arial" w:hAnsi="Arial" w:cs="Arial"/>
                <w:color w:val="000000"/>
                <w:sz w:val="18"/>
                <w:szCs w:val="18"/>
              </w:rPr>
            </w:pPr>
            <w:r>
              <w:rPr>
                <w:rFonts w:ascii="Arial" w:hAnsi="Arial" w:cs="Arial"/>
                <w:color w:val="000000"/>
                <w:sz w:val="18"/>
                <w:szCs w:val="18"/>
              </w:rPr>
              <w:t>101.0%</w:t>
            </w:r>
          </w:p>
        </w:tc>
      </w:tr>
      <w:tr w:rsidR="005E57EE" w14:paraId="0A07A4DA"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544E6AF" w14:textId="77777777" w:rsidR="005E57EE" w:rsidRDefault="005E57EE">
            <w:pPr>
              <w:jc w:val="center"/>
              <w:rPr>
                <w:rFonts w:ascii="Arial" w:hAnsi="Arial" w:cs="Arial"/>
                <w:color w:val="000000"/>
                <w:sz w:val="18"/>
                <w:szCs w:val="18"/>
              </w:rPr>
            </w:pPr>
            <w:r>
              <w:rPr>
                <w:rFonts w:ascii="Arial" w:hAnsi="Arial" w:cs="Arial"/>
                <w:color w:val="000000"/>
                <w:sz w:val="18"/>
                <w:szCs w:val="18"/>
              </w:rPr>
              <w:t>Class B</w:t>
            </w:r>
          </w:p>
        </w:tc>
        <w:tc>
          <w:tcPr>
            <w:tcW w:w="997" w:type="dxa"/>
            <w:tcBorders>
              <w:top w:val="nil"/>
              <w:left w:val="nil"/>
              <w:bottom w:val="nil"/>
              <w:right w:val="nil"/>
            </w:tcBorders>
            <w:shd w:val="clear" w:color="auto" w:fill="auto"/>
            <w:noWrap/>
            <w:vAlign w:val="center"/>
            <w:hideMark/>
          </w:tcPr>
          <w:p w14:paraId="4F52B8F1" w14:textId="77777777" w:rsidR="005E57EE" w:rsidRDefault="005E57EE">
            <w:pPr>
              <w:jc w:val="center"/>
              <w:rPr>
                <w:rFonts w:ascii="Arial" w:hAnsi="Arial" w:cs="Arial"/>
                <w:color w:val="000000"/>
                <w:sz w:val="18"/>
                <w:szCs w:val="18"/>
              </w:rPr>
            </w:pPr>
            <w:r>
              <w:rPr>
                <w:rFonts w:ascii="Arial" w:hAnsi="Arial" w:cs="Arial"/>
                <w:color w:val="000000"/>
                <w:sz w:val="18"/>
                <w:szCs w:val="18"/>
              </w:rPr>
              <w:t>-0.01%</w:t>
            </w:r>
          </w:p>
        </w:tc>
        <w:tc>
          <w:tcPr>
            <w:tcW w:w="997" w:type="dxa"/>
            <w:tcBorders>
              <w:top w:val="nil"/>
              <w:left w:val="nil"/>
              <w:bottom w:val="nil"/>
              <w:right w:val="nil"/>
            </w:tcBorders>
            <w:shd w:val="clear" w:color="auto" w:fill="auto"/>
            <w:noWrap/>
            <w:vAlign w:val="center"/>
            <w:hideMark/>
          </w:tcPr>
          <w:p w14:paraId="338DC893" w14:textId="77777777" w:rsidR="005E57EE" w:rsidRDefault="005E57EE">
            <w:pPr>
              <w:jc w:val="center"/>
              <w:rPr>
                <w:rFonts w:ascii="Arial" w:hAnsi="Arial" w:cs="Arial"/>
                <w:color w:val="000000"/>
                <w:sz w:val="18"/>
                <w:szCs w:val="18"/>
              </w:rPr>
            </w:pPr>
            <w:r>
              <w:rPr>
                <w:rFonts w:ascii="Arial" w:hAnsi="Arial" w:cs="Arial"/>
                <w:color w:val="000000"/>
                <w:sz w:val="18"/>
                <w:szCs w:val="18"/>
              </w:rPr>
              <w:t>-0.12%</w:t>
            </w:r>
          </w:p>
        </w:tc>
        <w:tc>
          <w:tcPr>
            <w:tcW w:w="997" w:type="dxa"/>
            <w:tcBorders>
              <w:top w:val="nil"/>
              <w:left w:val="nil"/>
              <w:bottom w:val="nil"/>
              <w:right w:val="single" w:sz="4" w:space="0" w:color="auto"/>
            </w:tcBorders>
            <w:shd w:val="clear" w:color="auto" w:fill="auto"/>
            <w:noWrap/>
            <w:vAlign w:val="center"/>
            <w:hideMark/>
          </w:tcPr>
          <w:p w14:paraId="61546CC4" w14:textId="77777777" w:rsidR="005E57EE" w:rsidRDefault="005E57EE">
            <w:pPr>
              <w:jc w:val="center"/>
              <w:rPr>
                <w:rFonts w:ascii="Arial" w:hAnsi="Arial" w:cs="Arial"/>
                <w:color w:val="000000"/>
                <w:sz w:val="18"/>
                <w:szCs w:val="18"/>
              </w:rPr>
            </w:pPr>
            <w:r>
              <w:rPr>
                <w:rFonts w:ascii="Arial" w:hAnsi="Arial" w:cs="Arial"/>
                <w:color w:val="000000"/>
                <w:sz w:val="18"/>
                <w:szCs w:val="18"/>
              </w:rPr>
              <w:t>-0.11%</w:t>
            </w:r>
          </w:p>
        </w:tc>
        <w:tc>
          <w:tcPr>
            <w:tcW w:w="829" w:type="dxa"/>
            <w:tcBorders>
              <w:top w:val="nil"/>
              <w:left w:val="nil"/>
              <w:bottom w:val="nil"/>
              <w:right w:val="nil"/>
            </w:tcBorders>
            <w:shd w:val="clear" w:color="auto" w:fill="auto"/>
            <w:noWrap/>
            <w:vAlign w:val="center"/>
            <w:hideMark/>
          </w:tcPr>
          <w:p w14:paraId="7EDD9256" w14:textId="77777777" w:rsidR="005E57EE" w:rsidRDefault="005E57EE">
            <w:pPr>
              <w:jc w:val="center"/>
              <w:rPr>
                <w:rFonts w:ascii="Arial" w:hAnsi="Arial" w:cs="Arial"/>
                <w:color w:val="000000"/>
                <w:sz w:val="18"/>
                <w:szCs w:val="18"/>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1543E61B"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c>
          <w:tcPr>
            <w:tcW w:w="1320" w:type="dxa"/>
            <w:tcBorders>
              <w:top w:val="nil"/>
              <w:left w:val="single" w:sz="4" w:space="0" w:color="auto"/>
              <w:bottom w:val="nil"/>
              <w:right w:val="nil"/>
            </w:tcBorders>
            <w:shd w:val="clear" w:color="auto" w:fill="auto"/>
            <w:noWrap/>
            <w:vAlign w:val="center"/>
            <w:hideMark/>
          </w:tcPr>
          <w:p w14:paraId="68DF4CD5" w14:textId="77777777" w:rsidR="005E57EE" w:rsidRDefault="005E57EE">
            <w:pPr>
              <w:jc w:val="center"/>
              <w:rPr>
                <w:rFonts w:ascii="Arial" w:hAnsi="Arial" w:cs="Arial"/>
                <w:color w:val="000000"/>
                <w:sz w:val="18"/>
                <w:szCs w:val="18"/>
              </w:rPr>
            </w:pPr>
            <w:r>
              <w:rPr>
                <w:rFonts w:ascii="Arial" w:hAnsi="Arial" w:cs="Arial"/>
                <w:color w:val="000000"/>
                <w:sz w:val="18"/>
                <w:szCs w:val="18"/>
              </w:rPr>
              <w:t>101.0%</w:t>
            </w:r>
          </w:p>
        </w:tc>
        <w:tc>
          <w:tcPr>
            <w:tcW w:w="1333" w:type="dxa"/>
            <w:tcBorders>
              <w:top w:val="nil"/>
              <w:left w:val="nil"/>
              <w:bottom w:val="nil"/>
              <w:right w:val="single" w:sz="8" w:space="0" w:color="auto"/>
            </w:tcBorders>
            <w:shd w:val="clear" w:color="auto" w:fill="auto"/>
            <w:noWrap/>
            <w:vAlign w:val="center"/>
            <w:hideMark/>
          </w:tcPr>
          <w:p w14:paraId="59937BF7" w14:textId="77777777" w:rsidR="005E57EE" w:rsidRDefault="005E57EE">
            <w:pPr>
              <w:jc w:val="center"/>
              <w:rPr>
                <w:rFonts w:ascii="Arial" w:hAnsi="Arial" w:cs="Arial"/>
                <w:color w:val="000000"/>
                <w:sz w:val="18"/>
                <w:szCs w:val="18"/>
              </w:rPr>
            </w:pPr>
            <w:r>
              <w:rPr>
                <w:rFonts w:ascii="Arial" w:hAnsi="Arial" w:cs="Arial"/>
                <w:color w:val="000000"/>
                <w:sz w:val="18"/>
                <w:szCs w:val="18"/>
              </w:rPr>
              <w:t>100.4%</w:t>
            </w:r>
          </w:p>
        </w:tc>
      </w:tr>
      <w:tr w:rsidR="005E57EE" w14:paraId="5982BBC2"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24BE4CF" w14:textId="77777777" w:rsidR="005E57EE" w:rsidRDefault="005E57EE">
            <w:pPr>
              <w:jc w:val="center"/>
              <w:rPr>
                <w:rFonts w:ascii="Arial" w:hAnsi="Arial" w:cs="Arial"/>
                <w:color w:val="000000"/>
                <w:sz w:val="18"/>
                <w:szCs w:val="18"/>
              </w:rPr>
            </w:pPr>
            <w:r>
              <w:rPr>
                <w:rFonts w:ascii="Arial" w:hAnsi="Arial" w:cs="Arial"/>
                <w:color w:val="000000"/>
                <w:sz w:val="18"/>
                <w:szCs w:val="18"/>
              </w:rPr>
              <w:t>Class C</w:t>
            </w:r>
          </w:p>
        </w:tc>
        <w:tc>
          <w:tcPr>
            <w:tcW w:w="997" w:type="dxa"/>
            <w:tcBorders>
              <w:top w:val="nil"/>
              <w:left w:val="nil"/>
              <w:bottom w:val="nil"/>
              <w:right w:val="nil"/>
            </w:tcBorders>
            <w:shd w:val="clear" w:color="auto" w:fill="auto"/>
            <w:noWrap/>
            <w:vAlign w:val="center"/>
            <w:hideMark/>
          </w:tcPr>
          <w:p w14:paraId="1495BA16"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4F108C26" w14:textId="77777777" w:rsidR="005E57EE" w:rsidRDefault="005E57EE">
            <w:pPr>
              <w:jc w:val="center"/>
              <w:rPr>
                <w:rFonts w:ascii="Arial" w:hAnsi="Arial" w:cs="Arial"/>
                <w:color w:val="000000"/>
                <w:sz w:val="18"/>
                <w:szCs w:val="18"/>
              </w:rPr>
            </w:pPr>
            <w:r>
              <w:rPr>
                <w:rFonts w:ascii="Arial" w:hAnsi="Arial" w:cs="Arial"/>
                <w:color w:val="000000"/>
                <w:sz w:val="18"/>
                <w:szCs w:val="18"/>
              </w:rPr>
              <w:t>-0.19%</w:t>
            </w:r>
          </w:p>
        </w:tc>
        <w:tc>
          <w:tcPr>
            <w:tcW w:w="997" w:type="dxa"/>
            <w:tcBorders>
              <w:top w:val="nil"/>
              <w:left w:val="nil"/>
              <w:bottom w:val="nil"/>
              <w:right w:val="single" w:sz="4" w:space="0" w:color="auto"/>
            </w:tcBorders>
            <w:shd w:val="clear" w:color="auto" w:fill="auto"/>
            <w:noWrap/>
            <w:vAlign w:val="center"/>
            <w:hideMark/>
          </w:tcPr>
          <w:p w14:paraId="48DD6373" w14:textId="77777777" w:rsidR="005E57EE" w:rsidRDefault="005E57EE">
            <w:pPr>
              <w:jc w:val="center"/>
              <w:rPr>
                <w:rFonts w:ascii="Arial" w:hAnsi="Arial" w:cs="Arial"/>
                <w:color w:val="000000"/>
                <w:sz w:val="18"/>
                <w:szCs w:val="18"/>
              </w:rPr>
            </w:pPr>
            <w:r>
              <w:rPr>
                <w:rFonts w:ascii="Arial" w:hAnsi="Arial" w:cs="Arial"/>
                <w:color w:val="000000"/>
                <w:sz w:val="18"/>
                <w:szCs w:val="18"/>
              </w:rPr>
              <w:t>-0.16%</w:t>
            </w:r>
          </w:p>
        </w:tc>
        <w:tc>
          <w:tcPr>
            <w:tcW w:w="829" w:type="dxa"/>
            <w:tcBorders>
              <w:top w:val="nil"/>
              <w:left w:val="nil"/>
              <w:bottom w:val="nil"/>
              <w:right w:val="nil"/>
            </w:tcBorders>
            <w:shd w:val="clear" w:color="auto" w:fill="auto"/>
            <w:noWrap/>
            <w:vAlign w:val="center"/>
            <w:hideMark/>
          </w:tcPr>
          <w:p w14:paraId="703CFDDA" w14:textId="77777777" w:rsidR="005E57EE" w:rsidRDefault="005E57EE">
            <w:pPr>
              <w:jc w:val="center"/>
              <w:rPr>
                <w:rFonts w:ascii="Arial" w:hAnsi="Arial" w:cs="Arial"/>
                <w:color w:val="000000"/>
                <w:sz w:val="18"/>
                <w:szCs w:val="18"/>
              </w:rPr>
            </w:pPr>
            <w:r>
              <w:rPr>
                <w:rFonts w:ascii="Arial" w:hAnsi="Arial" w:cs="Arial"/>
                <w:color w:val="000000"/>
                <w:sz w:val="18"/>
                <w:szCs w:val="18"/>
              </w:rPr>
              <w:t>100.2%</w:t>
            </w:r>
          </w:p>
        </w:tc>
        <w:tc>
          <w:tcPr>
            <w:tcW w:w="829" w:type="dxa"/>
            <w:tcBorders>
              <w:top w:val="nil"/>
              <w:left w:val="nil"/>
              <w:bottom w:val="nil"/>
              <w:right w:val="nil"/>
            </w:tcBorders>
            <w:shd w:val="clear" w:color="auto" w:fill="auto"/>
            <w:noWrap/>
            <w:vAlign w:val="center"/>
            <w:hideMark/>
          </w:tcPr>
          <w:p w14:paraId="6EE3948C"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2BC69E8B" w14:textId="77777777" w:rsidR="005E57EE" w:rsidRDefault="005E57EE">
            <w:pPr>
              <w:jc w:val="center"/>
              <w:rPr>
                <w:rFonts w:ascii="Arial" w:hAnsi="Arial" w:cs="Arial"/>
                <w:color w:val="000000"/>
                <w:sz w:val="18"/>
                <w:szCs w:val="18"/>
              </w:rPr>
            </w:pPr>
            <w:r>
              <w:rPr>
                <w:rFonts w:ascii="Arial" w:hAnsi="Arial" w:cs="Arial"/>
                <w:color w:val="000000"/>
                <w:sz w:val="18"/>
                <w:szCs w:val="18"/>
              </w:rPr>
              <w:t>100.7%</w:t>
            </w:r>
          </w:p>
        </w:tc>
        <w:tc>
          <w:tcPr>
            <w:tcW w:w="1333" w:type="dxa"/>
            <w:tcBorders>
              <w:top w:val="nil"/>
              <w:left w:val="nil"/>
              <w:bottom w:val="nil"/>
              <w:right w:val="single" w:sz="8" w:space="0" w:color="auto"/>
            </w:tcBorders>
            <w:shd w:val="clear" w:color="auto" w:fill="auto"/>
            <w:noWrap/>
            <w:vAlign w:val="center"/>
            <w:hideMark/>
          </w:tcPr>
          <w:p w14:paraId="7DBD12AF"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1824A984"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69E8CE" w14:textId="77777777" w:rsidR="005E57EE" w:rsidRDefault="005E57EE">
            <w:pPr>
              <w:jc w:val="center"/>
              <w:rPr>
                <w:rFonts w:ascii="Arial" w:hAnsi="Arial" w:cs="Arial"/>
                <w:color w:val="000000"/>
                <w:sz w:val="18"/>
                <w:szCs w:val="18"/>
              </w:rPr>
            </w:pPr>
            <w:r>
              <w:rPr>
                <w:rFonts w:ascii="Arial" w:hAnsi="Arial" w:cs="Arial"/>
                <w:color w:val="000000"/>
                <w:sz w:val="18"/>
                <w:szCs w:val="18"/>
              </w:rPr>
              <w:t>Class E</w:t>
            </w:r>
          </w:p>
        </w:tc>
        <w:tc>
          <w:tcPr>
            <w:tcW w:w="997" w:type="dxa"/>
            <w:tcBorders>
              <w:top w:val="nil"/>
              <w:left w:val="nil"/>
              <w:bottom w:val="nil"/>
              <w:right w:val="nil"/>
            </w:tcBorders>
            <w:shd w:val="clear" w:color="auto" w:fill="auto"/>
            <w:noWrap/>
            <w:vAlign w:val="center"/>
            <w:hideMark/>
          </w:tcPr>
          <w:p w14:paraId="0514ECD3" w14:textId="77777777" w:rsidR="005E57EE" w:rsidRDefault="005E57EE">
            <w:pPr>
              <w:jc w:val="center"/>
              <w:rPr>
                <w:rFonts w:ascii="Arial" w:hAnsi="Arial" w:cs="Arial"/>
                <w:color w:val="000000"/>
                <w:sz w:val="18"/>
                <w:szCs w:val="18"/>
              </w:rPr>
            </w:pPr>
            <w:r>
              <w:rPr>
                <w:rFonts w:ascii="Arial" w:hAnsi="Arial" w:cs="Arial"/>
                <w:color w:val="000000"/>
                <w:sz w:val="18"/>
                <w:szCs w:val="18"/>
              </w:rPr>
              <w:t>-0.01%</w:t>
            </w:r>
          </w:p>
        </w:tc>
        <w:tc>
          <w:tcPr>
            <w:tcW w:w="997" w:type="dxa"/>
            <w:tcBorders>
              <w:top w:val="nil"/>
              <w:left w:val="nil"/>
              <w:bottom w:val="nil"/>
              <w:right w:val="nil"/>
            </w:tcBorders>
            <w:shd w:val="clear" w:color="auto" w:fill="auto"/>
            <w:noWrap/>
            <w:vAlign w:val="center"/>
            <w:hideMark/>
          </w:tcPr>
          <w:p w14:paraId="0ECE00CB" w14:textId="77777777" w:rsidR="005E57EE" w:rsidRDefault="005E57EE">
            <w:pPr>
              <w:jc w:val="center"/>
              <w:rPr>
                <w:rFonts w:ascii="Arial" w:hAnsi="Arial" w:cs="Arial"/>
                <w:color w:val="000000"/>
                <w:sz w:val="18"/>
                <w:szCs w:val="18"/>
              </w:rPr>
            </w:pPr>
            <w:r>
              <w:rPr>
                <w:rFonts w:ascii="Arial" w:hAnsi="Arial" w:cs="Arial"/>
                <w:color w:val="000000"/>
                <w:sz w:val="18"/>
                <w:szCs w:val="18"/>
              </w:rPr>
              <w:t>-0.17%</w:t>
            </w:r>
          </w:p>
        </w:tc>
        <w:tc>
          <w:tcPr>
            <w:tcW w:w="997" w:type="dxa"/>
            <w:tcBorders>
              <w:top w:val="nil"/>
              <w:left w:val="nil"/>
              <w:bottom w:val="nil"/>
              <w:right w:val="single" w:sz="4" w:space="0" w:color="auto"/>
            </w:tcBorders>
            <w:shd w:val="clear" w:color="auto" w:fill="auto"/>
            <w:noWrap/>
            <w:vAlign w:val="center"/>
            <w:hideMark/>
          </w:tcPr>
          <w:p w14:paraId="100130AF" w14:textId="77777777" w:rsidR="005E57EE" w:rsidRDefault="005E57EE">
            <w:pPr>
              <w:jc w:val="center"/>
              <w:rPr>
                <w:rFonts w:ascii="Arial" w:hAnsi="Arial" w:cs="Arial"/>
                <w:color w:val="000000"/>
                <w:sz w:val="18"/>
                <w:szCs w:val="18"/>
              </w:rPr>
            </w:pPr>
            <w:r>
              <w:rPr>
                <w:rFonts w:ascii="Arial" w:hAnsi="Arial" w:cs="Arial"/>
                <w:color w:val="000000"/>
                <w:sz w:val="18"/>
                <w:szCs w:val="18"/>
              </w:rPr>
              <w:t>-0.15%</w:t>
            </w:r>
          </w:p>
        </w:tc>
        <w:tc>
          <w:tcPr>
            <w:tcW w:w="829" w:type="dxa"/>
            <w:tcBorders>
              <w:top w:val="nil"/>
              <w:left w:val="nil"/>
              <w:bottom w:val="nil"/>
              <w:right w:val="nil"/>
            </w:tcBorders>
            <w:shd w:val="clear" w:color="auto" w:fill="auto"/>
            <w:noWrap/>
            <w:vAlign w:val="center"/>
            <w:hideMark/>
          </w:tcPr>
          <w:p w14:paraId="18B56140" w14:textId="77777777" w:rsidR="005E57EE" w:rsidRDefault="005E57EE">
            <w:pPr>
              <w:jc w:val="center"/>
              <w:rPr>
                <w:rFonts w:ascii="Arial" w:hAnsi="Arial" w:cs="Arial"/>
                <w:color w:val="000000"/>
                <w:sz w:val="18"/>
                <w:szCs w:val="18"/>
              </w:rPr>
            </w:pPr>
            <w:r>
              <w:rPr>
                <w:rFonts w:ascii="Arial" w:hAnsi="Arial" w:cs="Arial"/>
                <w:color w:val="000000"/>
                <w:sz w:val="18"/>
                <w:szCs w:val="18"/>
              </w:rPr>
              <w:t>99.5%</w:t>
            </w:r>
          </w:p>
        </w:tc>
        <w:tc>
          <w:tcPr>
            <w:tcW w:w="829" w:type="dxa"/>
            <w:tcBorders>
              <w:top w:val="nil"/>
              <w:left w:val="nil"/>
              <w:bottom w:val="nil"/>
              <w:right w:val="nil"/>
            </w:tcBorders>
            <w:shd w:val="clear" w:color="auto" w:fill="auto"/>
            <w:noWrap/>
            <w:vAlign w:val="center"/>
            <w:hideMark/>
          </w:tcPr>
          <w:p w14:paraId="01608628" w14:textId="77777777" w:rsidR="005E57EE" w:rsidRDefault="005E57EE">
            <w:pPr>
              <w:jc w:val="center"/>
              <w:rPr>
                <w:rFonts w:ascii="Arial" w:hAnsi="Arial" w:cs="Arial"/>
                <w:color w:val="000000"/>
                <w:sz w:val="18"/>
                <w:szCs w:val="18"/>
              </w:rPr>
            </w:pPr>
            <w:r>
              <w:rPr>
                <w:rFonts w:ascii="Arial" w:hAnsi="Arial" w:cs="Arial"/>
                <w:color w:val="000000"/>
                <w:sz w:val="18"/>
                <w:szCs w:val="18"/>
              </w:rPr>
              <w:t>101.1%</w:t>
            </w:r>
          </w:p>
        </w:tc>
        <w:tc>
          <w:tcPr>
            <w:tcW w:w="1320" w:type="dxa"/>
            <w:tcBorders>
              <w:top w:val="nil"/>
              <w:left w:val="single" w:sz="4" w:space="0" w:color="auto"/>
              <w:bottom w:val="nil"/>
              <w:right w:val="nil"/>
            </w:tcBorders>
            <w:shd w:val="clear" w:color="auto" w:fill="auto"/>
            <w:noWrap/>
            <w:vAlign w:val="center"/>
            <w:hideMark/>
          </w:tcPr>
          <w:p w14:paraId="6F075EF5" w14:textId="77777777" w:rsidR="005E57EE" w:rsidRDefault="005E57EE">
            <w:pPr>
              <w:jc w:val="center"/>
              <w:rPr>
                <w:rFonts w:ascii="Arial" w:hAnsi="Arial" w:cs="Arial"/>
                <w:color w:val="000000"/>
                <w:sz w:val="18"/>
                <w:szCs w:val="18"/>
              </w:rPr>
            </w:pPr>
            <w:r>
              <w:rPr>
                <w:rFonts w:ascii="Arial" w:hAnsi="Arial" w:cs="Arial"/>
                <w:color w:val="000000"/>
                <w:sz w:val="18"/>
                <w:szCs w:val="18"/>
              </w:rPr>
              <w:t>100.3%</w:t>
            </w:r>
          </w:p>
        </w:tc>
        <w:tc>
          <w:tcPr>
            <w:tcW w:w="1333" w:type="dxa"/>
            <w:tcBorders>
              <w:top w:val="nil"/>
              <w:left w:val="nil"/>
              <w:bottom w:val="nil"/>
              <w:right w:val="single" w:sz="8" w:space="0" w:color="auto"/>
            </w:tcBorders>
            <w:shd w:val="clear" w:color="auto" w:fill="auto"/>
            <w:noWrap/>
            <w:vAlign w:val="center"/>
            <w:hideMark/>
          </w:tcPr>
          <w:p w14:paraId="08D2C037" w14:textId="77777777" w:rsidR="005E57EE" w:rsidRDefault="005E57EE">
            <w:pPr>
              <w:jc w:val="center"/>
              <w:rPr>
                <w:rFonts w:ascii="Arial" w:hAnsi="Arial" w:cs="Arial"/>
                <w:color w:val="000000"/>
                <w:sz w:val="18"/>
                <w:szCs w:val="18"/>
              </w:rPr>
            </w:pPr>
            <w:r>
              <w:rPr>
                <w:rFonts w:ascii="Arial" w:hAnsi="Arial" w:cs="Arial"/>
                <w:color w:val="000000"/>
                <w:sz w:val="18"/>
                <w:szCs w:val="18"/>
              </w:rPr>
              <w:t>100.1%</w:t>
            </w:r>
          </w:p>
        </w:tc>
      </w:tr>
      <w:tr w:rsidR="005E57EE" w14:paraId="309D40B6"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87F4E2" w14:textId="77777777" w:rsidR="005E57EE" w:rsidRDefault="005E57E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97" w:type="dxa"/>
            <w:tcBorders>
              <w:top w:val="single" w:sz="8" w:space="0" w:color="auto"/>
              <w:left w:val="nil"/>
              <w:bottom w:val="nil"/>
              <w:right w:val="nil"/>
            </w:tcBorders>
            <w:shd w:val="clear" w:color="auto" w:fill="auto"/>
            <w:noWrap/>
            <w:vAlign w:val="center"/>
            <w:hideMark/>
          </w:tcPr>
          <w:p w14:paraId="67CA6A53"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single" w:sz="8" w:space="0" w:color="auto"/>
              <w:left w:val="nil"/>
              <w:bottom w:val="nil"/>
              <w:right w:val="nil"/>
            </w:tcBorders>
            <w:shd w:val="clear" w:color="auto" w:fill="auto"/>
            <w:noWrap/>
            <w:vAlign w:val="center"/>
            <w:hideMark/>
          </w:tcPr>
          <w:p w14:paraId="5B5DE564" w14:textId="77777777" w:rsidR="005E57EE" w:rsidRDefault="005E57EE">
            <w:pPr>
              <w:jc w:val="center"/>
              <w:rPr>
                <w:rFonts w:ascii="Arial" w:hAnsi="Arial" w:cs="Arial"/>
                <w:color w:val="000000"/>
                <w:sz w:val="18"/>
                <w:szCs w:val="18"/>
              </w:rPr>
            </w:pPr>
            <w:r>
              <w:rPr>
                <w:rFonts w:ascii="Arial" w:hAnsi="Arial" w:cs="Arial"/>
                <w:color w:val="000000"/>
                <w:sz w:val="18"/>
                <w:szCs w:val="18"/>
              </w:rPr>
              <w:t>-0.13%</w:t>
            </w:r>
          </w:p>
        </w:tc>
        <w:tc>
          <w:tcPr>
            <w:tcW w:w="997" w:type="dxa"/>
            <w:tcBorders>
              <w:top w:val="single" w:sz="8" w:space="0" w:color="auto"/>
              <w:left w:val="nil"/>
              <w:bottom w:val="nil"/>
              <w:right w:val="single" w:sz="4" w:space="0" w:color="auto"/>
            </w:tcBorders>
            <w:shd w:val="clear" w:color="auto" w:fill="auto"/>
            <w:noWrap/>
            <w:vAlign w:val="center"/>
            <w:hideMark/>
          </w:tcPr>
          <w:p w14:paraId="3C36151B" w14:textId="77777777" w:rsidR="005E57EE" w:rsidRDefault="005E57EE">
            <w:pPr>
              <w:jc w:val="center"/>
              <w:rPr>
                <w:rFonts w:ascii="Arial" w:hAnsi="Arial" w:cs="Arial"/>
                <w:color w:val="000000"/>
                <w:sz w:val="18"/>
                <w:szCs w:val="18"/>
              </w:rPr>
            </w:pPr>
            <w:r>
              <w:rPr>
                <w:rFonts w:ascii="Arial" w:hAnsi="Arial" w:cs="Arial"/>
                <w:color w:val="000000"/>
                <w:sz w:val="18"/>
                <w:szCs w:val="18"/>
              </w:rPr>
              <w:t>-0.10%</w:t>
            </w:r>
          </w:p>
        </w:tc>
        <w:tc>
          <w:tcPr>
            <w:tcW w:w="829" w:type="dxa"/>
            <w:tcBorders>
              <w:top w:val="single" w:sz="8" w:space="0" w:color="auto"/>
              <w:left w:val="nil"/>
              <w:bottom w:val="nil"/>
              <w:right w:val="nil"/>
            </w:tcBorders>
            <w:shd w:val="clear" w:color="auto" w:fill="auto"/>
            <w:noWrap/>
            <w:vAlign w:val="center"/>
            <w:hideMark/>
          </w:tcPr>
          <w:p w14:paraId="01D4763E"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c>
          <w:tcPr>
            <w:tcW w:w="829" w:type="dxa"/>
            <w:tcBorders>
              <w:top w:val="single" w:sz="8" w:space="0" w:color="auto"/>
              <w:left w:val="nil"/>
              <w:bottom w:val="nil"/>
              <w:right w:val="nil"/>
            </w:tcBorders>
            <w:shd w:val="clear" w:color="auto" w:fill="auto"/>
            <w:noWrap/>
            <w:vAlign w:val="center"/>
            <w:hideMark/>
          </w:tcPr>
          <w:p w14:paraId="4EC8DC4C" w14:textId="77777777" w:rsidR="005E57EE" w:rsidRDefault="005E57EE">
            <w:pPr>
              <w:jc w:val="center"/>
              <w:rPr>
                <w:rFonts w:ascii="Arial" w:hAnsi="Arial" w:cs="Arial"/>
                <w:color w:val="000000"/>
                <w:sz w:val="18"/>
                <w:szCs w:val="18"/>
              </w:rPr>
            </w:pPr>
            <w:r>
              <w:rPr>
                <w:rFonts w:ascii="Arial" w:hAnsi="Arial" w:cs="Arial"/>
                <w:color w:val="000000"/>
                <w:sz w:val="18"/>
                <w:szCs w:val="18"/>
              </w:rPr>
              <w:t>100.8%</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0AB83D29" w14:textId="77777777" w:rsidR="005E57EE" w:rsidRDefault="005E57EE">
            <w:pPr>
              <w:jc w:val="center"/>
              <w:rPr>
                <w:rFonts w:ascii="Arial" w:hAnsi="Arial" w:cs="Arial"/>
                <w:color w:val="000000"/>
                <w:sz w:val="18"/>
                <w:szCs w:val="18"/>
              </w:rPr>
            </w:pPr>
            <w:r>
              <w:rPr>
                <w:rFonts w:ascii="Arial" w:hAnsi="Arial" w:cs="Arial"/>
                <w:color w:val="000000"/>
                <w:sz w:val="18"/>
                <w:szCs w:val="18"/>
              </w:rPr>
              <w:t>101.2%</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90F0770" w14:textId="77777777" w:rsidR="005E57EE" w:rsidRDefault="005E57EE">
            <w:pPr>
              <w:jc w:val="center"/>
              <w:rPr>
                <w:rFonts w:ascii="Arial" w:hAnsi="Arial" w:cs="Arial"/>
                <w:color w:val="000000"/>
                <w:sz w:val="18"/>
                <w:szCs w:val="18"/>
              </w:rPr>
            </w:pPr>
            <w:r>
              <w:rPr>
                <w:rFonts w:ascii="Arial" w:hAnsi="Arial" w:cs="Arial"/>
                <w:color w:val="000000"/>
                <w:sz w:val="18"/>
                <w:szCs w:val="18"/>
              </w:rPr>
              <w:t>100.4%</w:t>
            </w:r>
          </w:p>
        </w:tc>
      </w:tr>
      <w:tr w:rsidR="005E57EE" w14:paraId="31087B10" w14:textId="77777777" w:rsidTr="005E57EE">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C8449C" w14:textId="77777777" w:rsidR="005E57EE" w:rsidRDefault="005E57EE">
            <w:pPr>
              <w:jc w:val="center"/>
              <w:rPr>
                <w:rFonts w:ascii="Arial" w:hAnsi="Arial" w:cs="Arial"/>
                <w:color w:val="000000"/>
                <w:sz w:val="18"/>
                <w:szCs w:val="18"/>
              </w:rPr>
            </w:pPr>
            <w:r>
              <w:rPr>
                <w:rFonts w:ascii="Arial" w:hAnsi="Arial" w:cs="Arial"/>
                <w:color w:val="000000"/>
                <w:sz w:val="18"/>
                <w:szCs w:val="18"/>
              </w:rPr>
              <w:t>Class D</w:t>
            </w:r>
          </w:p>
        </w:tc>
        <w:tc>
          <w:tcPr>
            <w:tcW w:w="997" w:type="dxa"/>
            <w:tcBorders>
              <w:top w:val="single" w:sz="8" w:space="0" w:color="auto"/>
              <w:left w:val="nil"/>
              <w:bottom w:val="nil"/>
              <w:right w:val="nil"/>
            </w:tcBorders>
            <w:shd w:val="clear" w:color="auto" w:fill="auto"/>
            <w:noWrap/>
            <w:vAlign w:val="center"/>
            <w:hideMark/>
          </w:tcPr>
          <w:p w14:paraId="6CFCDAE1" w14:textId="77777777" w:rsidR="005E57EE" w:rsidRDefault="005E57EE">
            <w:pPr>
              <w:jc w:val="center"/>
              <w:rPr>
                <w:rFonts w:ascii="Arial" w:hAnsi="Arial" w:cs="Arial"/>
                <w:color w:val="000000"/>
                <w:sz w:val="18"/>
                <w:szCs w:val="18"/>
              </w:rPr>
            </w:pPr>
            <w:r>
              <w:rPr>
                <w:rFonts w:ascii="Arial" w:hAnsi="Arial" w:cs="Arial"/>
                <w:color w:val="000000"/>
                <w:sz w:val="18"/>
                <w:szCs w:val="18"/>
              </w:rPr>
              <w:t>0.02%</w:t>
            </w:r>
          </w:p>
        </w:tc>
        <w:tc>
          <w:tcPr>
            <w:tcW w:w="997" w:type="dxa"/>
            <w:tcBorders>
              <w:top w:val="single" w:sz="8" w:space="0" w:color="auto"/>
              <w:left w:val="nil"/>
              <w:bottom w:val="nil"/>
              <w:right w:val="nil"/>
            </w:tcBorders>
            <w:shd w:val="clear" w:color="auto" w:fill="auto"/>
            <w:noWrap/>
            <w:vAlign w:val="center"/>
            <w:hideMark/>
          </w:tcPr>
          <w:p w14:paraId="3B65CB25" w14:textId="77777777" w:rsidR="005E57EE" w:rsidRDefault="005E57EE">
            <w:pPr>
              <w:jc w:val="center"/>
              <w:rPr>
                <w:rFonts w:ascii="Arial" w:hAnsi="Arial" w:cs="Arial"/>
                <w:color w:val="000000"/>
                <w:sz w:val="18"/>
                <w:szCs w:val="18"/>
              </w:rPr>
            </w:pPr>
            <w:r>
              <w:rPr>
                <w:rFonts w:ascii="Arial" w:hAnsi="Arial" w:cs="Arial"/>
                <w:color w:val="000000"/>
                <w:sz w:val="18"/>
                <w:szCs w:val="18"/>
              </w:rPr>
              <w:t>-0.55%</w:t>
            </w:r>
          </w:p>
        </w:tc>
        <w:tc>
          <w:tcPr>
            <w:tcW w:w="997" w:type="dxa"/>
            <w:tcBorders>
              <w:top w:val="single" w:sz="8" w:space="0" w:color="auto"/>
              <w:left w:val="nil"/>
              <w:bottom w:val="nil"/>
              <w:right w:val="single" w:sz="4" w:space="0" w:color="auto"/>
            </w:tcBorders>
            <w:shd w:val="clear" w:color="auto" w:fill="auto"/>
            <w:noWrap/>
            <w:vAlign w:val="center"/>
            <w:hideMark/>
          </w:tcPr>
          <w:p w14:paraId="4B2F2960" w14:textId="77777777" w:rsidR="005E57EE" w:rsidRDefault="005E57EE">
            <w:pPr>
              <w:jc w:val="center"/>
              <w:rPr>
                <w:rFonts w:ascii="Arial" w:hAnsi="Arial" w:cs="Arial"/>
                <w:color w:val="000000"/>
                <w:sz w:val="18"/>
                <w:szCs w:val="18"/>
              </w:rPr>
            </w:pPr>
            <w:r>
              <w:rPr>
                <w:rFonts w:ascii="Arial" w:hAnsi="Arial" w:cs="Arial"/>
                <w:color w:val="000000"/>
                <w:sz w:val="18"/>
                <w:szCs w:val="18"/>
              </w:rPr>
              <w:t>-0.45%</w:t>
            </w:r>
          </w:p>
        </w:tc>
        <w:tc>
          <w:tcPr>
            <w:tcW w:w="829" w:type="dxa"/>
            <w:tcBorders>
              <w:top w:val="single" w:sz="8" w:space="0" w:color="auto"/>
              <w:left w:val="nil"/>
              <w:bottom w:val="nil"/>
              <w:right w:val="nil"/>
            </w:tcBorders>
            <w:shd w:val="clear" w:color="auto" w:fill="auto"/>
            <w:noWrap/>
            <w:vAlign w:val="center"/>
            <w:hideMark/>
          </w:tcPr>
          <w:p w14:paraId="6B532708" w14:textId="77777777" w:rsidR="005E57EE" w:rsidRDefault="005E57EE">
            <w:pPr>
              <w:jc w:val="center"/>
              <w:rPr>
                <w:rFonts w:ascii="Arial" w:hAnsi="Arial" w:cs="Arial"/>
                <w:color w:val="000000"/>
                <w:sz w:val="18"/>
                <w:szCs w:val="18"/>
              </w:rPr>
            </w:pPr>
            <w:r>
              <w:rPr>
                <w:rFonts w:ascii="Arial" w:hAnsi="Arial" w:cs="Arial"/>
                <w:color w:val="000000"/>
                <w:sz w:val="18"/>
                <w:szCs w:val="18"/>
              </w:rPr>
              <w:t>100.2%</w:t>
            </w:r>
          </w:p>
        </w:tc>
        <w:tc>
          <w:tcPr>
            <w:tcW w:w="829" w:type="dxa"/>
            <w:tcBorders>
              <w:top w:val="single" w:sz="8" w:space="0" w:color="auto"/>
              <w:left w:val="nil"/>
              <w:bottom w:val="nil"/>
              <w:right w:val="nil"/>
            </w:tcBorders>
            <w:shd w:val="clear" w:color="auto" w:fill="auto"/>
            <w:noWrap/>
            <w:vAlign w:val="center"/>
            <w:hideMark/>
          </w:tcPr>
          <w:p w14:paraId="700D51F8" w14:textId="77777777" w:rsidR="005E57EE" w:rsidRDefault="005E57EE">
            <w:pPr>
              <w:jc w:val="center"/>
              <w:rPr>
                <w:rFonts w:ascii="Arial" w:hAnsi="Arial" w:cs="Arial"/>
                <w:color w:val="000000"/>
                <w:sz w:val="18"/>
                <w:szCs w:val="18"/>
              </w:rPr>
            </w:pPr>
            <w:r>
              <w:rPr>
                <w:rFonts w:ascii="Arial" w:hAnsi="Arial" w:cs="Arial"/>
                <w:color w:val="000000"/>
                <w:sz w:val="18"/>
                <w:szCs w:val="18"/>
              </w:rPr>
              <w:t>101.5%</w:t>
            </w:r>
          </w:p>
        </w:tc>
        <w:tc>
          <w:tcPr>
            <w:tcW w:w="1320" w:type="dxa"/>
            <w:tcBorders>
              <w:top w:val="nil"/>
              <w:left w:val="single" w:sz="4" w:space="0" w:color="auto"/>
              <w:bottom w:val="nil"/>
              <w:right w:val="nil"/>
            </w:tcBorders>
            <w:shd w:val="clear" w:color="auto" w:fill="auto"/>
            <w:noWrap/>
            <w:vAlign w:val="center"/>
            <w:hideMark/>
          </w:tcPr>
          <w:p w14:paraId="4A0E7EDF" w14:textId="77777777" w:rsidR="005E57EE" w:rsidRDefault="005E57EE">
            <w:pPr>
              <w:jc w:val="center"/>
              <w:rPr>
                <w:rFonts w:ascii="Arial" w:hAnsi="Arial" w:cs="Arial"/>
                <w:color w:val="000000"/>
                <w:sz w:val="18"/>
                <w:szCs w:val="18"/>
              </w:rPr>
            </w:pPr>
            <w:r>
              <w:rPr>
                <w:rFonts w:ascii="Arial" w:hAnsi="Arial" w:cs="Arial"/>
                <w:color w:val="000000"/>
                <w:sz w:val="18"/>
                <w:szCs w:val="18"/>
              </w:rPr>
              <w:t>100.1%</w:t>
            </w:r>
          </w:p>
        </w:tc>
        <w:tc>
          <w:tcPr>
            <w:tcW w:w="1333" w:type="dxa"/>
            <w:tcBorders>
              <w:top w:val="nil"/>
              <w:left w:val="nil"/>
              <w:bottom w:val="nil"/>
              <w:right w:val="single" w:sz="8" w:space="0" w:color="auto"/>
            </w:tcBorders>
            <w:shd w:val="clear" w:color="auto" w:fill="auto"/>
            <w:noWrap/>
            <w:vAlign w:val="center"/>
            <w:hideMark/>
          </w:tcPr>
          <w:p w14:paraId="2925FA85"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428D311D" w14:textId="77777777" w:rsidTr="005E57EE">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D65D7E0" w14:textId="77777777" w:rsidR="005E57EE" w:rsidRDefault="005E57EE">
            <w:pPr>
              <w:jc w:val="center"/>
              <w:rPr>
                <w:rFonts w:ascii="Arial" w:hAnsi="Arial" w:cs="Arial"/>
                <w:color w:val="000000"/>
                <w:sz w:val="18"/>
                <w:szCs w:val="18"/>
              </w:rPr>
            </w:pPr>
            <w:r>
              <w:rPr>
                <w:rFonts w:ascii="Arial" w:hAnsi="Arial" w:cs="Arial"/>
                <w:color w:val="000000"/>
                <w:sz w:val="18"/>
                <w:szCs w:val="18"/>
              </w:rPr>
              <w:t>Class F</w:t>
            </w:r>
          </w:p>
        </w:tc>
        <w:tc>
          <w:tcPr>
            <w:tcW w:w="997" w:type="dxa"/>
            <w:tcBorders>
              <w:top w:val="nil"/>
              <w:left w:val="nil"/>
              <w:bottom w:val="nil"/>
              <w:right w:val="nil"/>
            </w:tcBorders>
            <w:shd w:val="clear" w:color="auto" w:fill="auto"/>
            <w:noWrap/>
            <w:vAlign w:val="center"/>
            <w:hideMark/>
          </w:tcPr>
          <w:p w14:paraId="371775A8" w14:textId="77777777" w:rsidR="005E57EE" w:rsidRDefault="005E57EE">
            <w:pPr>
              <w:jc w:val="center"/>
              <w:rPr>
                <w:rFonts w:ascii="Arial" w:hAnsi="Arial" w:cs="Arial"/>
                <w:color w:val="000000"/>
                <w:sz w:val="18"/>
                <w:szCs w:val="18"/>
              </w:rPr>
            </w:pPr>
            <w:r>
              <w:rPr>
                <w:rFonts w:ascii="Arial" w:hAnsi="Arial" w:cs="Arial"/>
                <w:color w:val="000000"/>
                <w:sz w:val="18"/>
                <w:szCs w:val="18"/>
              </w:rPr>
              <w:t>0.00%</w:t>
            </w:r>
          </w:p>
        </w:tc>
        <w:tc>
          <w:tcPr>
            <w:tcW w:w="997" w:type="dxa"/>
            <w:tcBorders>
              <w:top w:val="nil"/>
              <w:left w:val="nil"/>
              <w:bottom w:val="nil"/>
              <w:right w:val="nil"/>
            </w:tcBorders>
            <w:shd w:val="clear" w:color="auto" w:fill="auto"/>
            <w:noWrap/>
            <w:vAlign w:val="center"/>
            <w:hideMark/>
          </w:tcPr>
          <w:p w14:paraId="1A097A3C" w14:textId="77777777" w:rsidR="005E57EE" w:rsidRDefault="005E57EE">
            <w:pPr>
              <w:jc w:val="center"/>
              <w:rPr>
                <w:rFonts w:ascii="Arial" w:hAnsi="Arial" w:cs="Arial"/>
                <w:color w:val="000000"/>
                <w:sz w:val="18"/>
                <w:szCs w:val="18"/>
              </w:rPr>
            </w:pPr>
            <w:r>
              <w:rPr>
                <w:rFonts w:ascii="Arial" w:hAnsi="Arial" w:cs="Arial"/>
                <w:color w:val="000000"/>
                <w:sz w:val="18"/>
                <w:szCs w:val="18"/>
              </w:rPr>
              <w:t>-0.22%</w:t>
            </w:r>
          </w:p>
        </w:tc>
        <w:tc>
          <w:tcPr>
            <w:tcW w:w="997" w:type="dxa"/>
            <w:tcBorders>
              <w:top w:val="nil"/>
              <w:left w:val="nil"/>
              <w:bottom w:val="nil"/>
              <w:right w:val="single" w:sz="4" w:space="0" w:color="auto"/>
            </w:tcBorders>
            <w:shd w:val="clear" w:color="auto" w:fill="auto"/>
            <w:noWrap/>
            <w:vAlign w:val="center"/>
            <w:hideMark/>
          </w:tcPr>
          <w:p w14:paraId="78A31F38" w14:textId="77777777" w:rsidR="005E57EE" w:rsidRDefault="005E57EE">
            <w:pPr>
              <w:jc w:val="center"/>
              <w:rPr>
                <w:rFonts w:ascii="Arial" w:hAnsi="Arial" w:cs="Arial"/>
                <w:color w:val="000000"/>
                <w:sz w:val="18"/>
                <w:szCs w:val="18"/>
              </w:rPr>
            </w:pPr>
            <w:r>
              <w:rPr>
                <w:rFonts w:ascii="Arial" w:hAnsi="Arial" w:cs="Arial"/>
                <w:color w:val="000000"/>
                <w:sz w:val="18"/>
                <w:szCs w:val="18"/>
              </w:rPr>
              <w:t>-0.16%</w:t>
            </w:r>
          </w:p>
        </w:tc>
        <w:tc>
          <w:tcPr>
            <w:tcW w:w="829" w:type="dxa"/>
            <w:tcBorders>
              <w:top w:val="nil"/>
              <w:left w:val="nil"/>
              <w:bottom w:val="nil"/>
              <w:right w:val="nil"/>
            </w:tcBorders>
            <w:shd w:val="clear" w:color="auto" w:fill="auto"/>
            <w:noWrap/>
            <w:vAlign w:val="center"/>
            <w:hideMark/>
          </w:tcPr>
          <w:p w14:paraId="24F195DD" w14:textId="77777777" w:rsidR="005E57EE" w:rsidRDefault="005E57EE">
            <w:pPr>
              <w:jc w:val="center"/>
              <w:rPr>
                <w:rFonts w:ascii="Arial" w:hAnsi="Arial" w:cs="Arial"/>
                <w:color w:val="000000"/>
                <w:sz w:val="18"/>
                <w:szCs w:val="18"/>
              </w:rPr>
            </w:pPr>
            <w:r>
              <w:rPr>
                <w:rFonts w:ascii="Arial"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30F1620" w14:textId="77777777" w:rsidR="005E57EE" w:rsidRDefault="005E57EE">
            <w:pPr>
              <w:jc w:val="center"/>
              <w:rPr>
                <w:rFonts w:ascii="Arial" w:hAnsi="Arial" w:cs="Arial"/>
                <w:color w:val="000000"/>
                <w:sz w:val="18"/>
                <w:szCs w:val="18"/>
              </w:rPr>
            </w:pPr>
            <w:r>
              <w:rPr>
                <w:rFonts w:ascii="Arial" w:hAnsi="Arial" w:cs="Arial"/>
                <w:color w:val="000000"/>
                <w:sz w:val="18"/>
                <w:szCs w:val="18"/>
              </w:rPr>
              <w:t>101.2%</w:t>
            </w:r>
          </w:p>
        </w:tc>
        <w:tc>
          <w:tcPr>
            <w:tcW w:w="1320" w:type="dxa"/>
            <w:tcBorders>
              <w:top w:val="nil"/>
              <w:left w:val="single" w:sz="4" w:space="0" w:color="auto"/>
              <w:bottom w:val="nil"/>
              <w:right w:val="nil"/>
            </w:tcBorders>
            <w:shd w:val="clear" w:color="auto" w:fill="auto"/>
            <w:noWrap/>
            <w:vAlign w:val="center"/>
            <w:hideMark/>
          </w:tcPr>
          <w:p w14:paraId="54D0B778" w14:textId="77777777" w:rsidR="005E57EE" w:rsidRDefault="005E57EE">
            <w:pPr>
              <w:jc w:val="center"/>
              <w:rPr>
                <w:rFonts w:ascii="Arial" w:hAnsi="Arial" w:cs="Arial"/>
                <w:color w:val="000000"/>
                <w:sz w:val="18"/>
                <w:szCs w:val="18"/>
              </w:rPr>
            </w:pPr>
            <w:r>
              <w:rPr>
                <w:rFonts w:ascii="Arial" w:hAnsi="Arial" w:cs="Arial"/>
                <w:color w:val="000000"/>
                <w:sz w:val="18"/>
                <w:szCs w:val="18"/>
              </w:rPr>
              <w:t>101.5%</w:t>
            </w:r>
          </w:p>
        </w:tc>
        <w:tc>
          <w:tcPr>
            <w:tcW w:w="1333" w:type="dxa"/>
            <w:tcBorders>
              <w:top w:val="nil"/>
              <w:left w:val="nil"/>
              <w:bottom w:val="nil"/>
              <w:right w:val="single" w:sz="8" w:space="0" w:color="auto"/>
            </w:tcBorders>
            <w:shd w:val="clear" w:color="auto" w:fill="auto"/>
            <w:noWrap/>
            <w:vAlign w:val="center"/>
            <w:hideMark/>
          </w:tcPr>
          <w:p w14:paraId="661B5B5F" w14:textId="77777777" w:rsidR="005E57EE" w:rsidRDefault="005E57EE">
            <w:pPr>
              <w:jc w:val="center"/>
              <w:rPr>
                <w:rFonts w:ascii="Arial" w:hAnsi="Arial" w:cs="Arial"/>
                <w:color w:val="000000"/>
                <w:sz w:val="18"/>
                <w:szCs w:val="18"/>
              </w:rPr>
            </w:pPr>
            <w:r>
              <w:rPr>
                <w:rFonts w:ascii="Arial" w:hAnsi="Arial" w:cs="Arial"/>
                <w:color w:val="000000"/>
                <w:sz w:val="18"/>
                <w:szCs w:val="18"/>
              </w:rPr>
              <w:t>100.0%</w:t>
            </w:r>
          </w:p>
        </w:tc>
      </w:tr>
      <w:tr w:rsidR="005E57EE" w14:paraId="21644835" w14:textId="77777777" w:rsidTr="005E57EE">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A20B10" w14:textId="77777777" w:rsidR="005E57EE" w:rsidRDefault="005E57EE">
            <w:pPr>
              <w:jc w:val="center"/>
              <w:rPr>
                <w:rFonts w:ascii="Arial" w:hAnsi="Arial" w:cs="Arial"/>
                <w:color w:val="000000"/>
                <w:sz w:val="18"/>
                <w:szCs w:val="18"/>
              </w:rPr>
            </w:pPr>
            <w:r>
              <w:rPr>
                <w:rFonts w:ascii="Arial" w:hAnsi="Arial" w:cs="Arial"/>
                <w:color w:val="000000"/>
                <w:sz w:val="18"/>
                <w:szCs w:val="18"/>
              </w:rPr>
              <w:t>Class TGM</w:t>
            </w:r>
          </w:p>
        </w:tc>
        <w:tc>
          <w:tcPr>
            <w:tcW w:w="997" w:type="dxa"/>
            <w:tcBorders>
              <w:top w:val="nil"/>
              <w:left w:val="nil"/>
              <w:bottom w:val="single" w:sz="8" w:space="0" w:color="auto"/>
              <w:right w:val="nil"/>
            </w:tcBorders>
            <w:shd w:val="clear" w:color="auto" w:fill="auto"/>
            <w:noWrap/>
            <w:vAlign w:val="center"/>
            <w:hideMark/>
          </w:tcPr>
          <w:p w14:paraId="0C8F4360"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997" w:type="dxa"/>
            <w:tcBorders>
              <w:top w:val="nil"/>
              <w:left w:val="nil"/>
              <w:bottom w:val="single" w:sz="8" w:space="0" w:color="auto"/>
              <w:right w:val="nil"/>
            </w:tcBorders>
            <w:shd w:val="clear" w:color="auto" w:fill="auto"/>
            <w:noWrap/>
            <w:vAlign w:val="center"/>
            <w:hideMark/>
          </w:tcPr>
          <w:p w14:paraId="6F187631"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87B181C" w14:textId="77777777" w:rsidR="005E57EE" w:rsidRDefault="005E57EE">
            <w:pPr>
              <w:jc w:val="center"/>
              <w:rPr>
                <w:rFonts w:ascii="Arial" w:hAnsi="Arial" w:cs="Arial"/>
                <w:color w:val="000000"/>
                <w:sz w:val="18"/>
                <w:szCs w:val="18"/>
              </w:rPr>
            </w:pPr>
            <w:r>
              <w:rPr>
                <w:rFonts w:ascii="Arial"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4558A9A3"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829" w:type="dxa"/>
            <w:tcBorders>
              <w:top w:val="nil"/>
              <w:left w:val="nil"/>
              <w:bottom w:val="single" w:sz="8" w:space="0" w:color="auto"/>
              <w:right w:val="nil"/>
            </w:tcBorders>
            <w:shd w:val="clear" w:color="auto" w:fill="auto"/>
            <w:noWrap/>
            <w:vAlign w:val="center"/>
            <w:hideMark/>
          </w:tcPr>
          <w:p w14:paraId="7570A648"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7DA810B6"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396205C" w14:textId="77777777" w:rsidR="005E57EE" w:rsidRDefault="005E57EE">
            <w:pPr>
              <w:jc w:val="center"/>
              <w:rPr>
                <w:rFonts w:ascii="Arial" w:hAnsi="Arial" w:cs="Arial"/>
                <w:color w:val="000000"/>
                <w:sz w:val="18"/>
                <w:szCs w:val="18"/>
              </w:rPr>
            </w:pPr>
            <w:r>
              <w:rPr>
                <w:rFonts w:ascii="Arial" w:hAnsi="Arial" w:cs="Arial"/>
                <w:color w:val="000000"/>
                <w:sz w:val="18"/>
                <w:szCs w:val="18"/>
              </w:rPr>
              <w:t>#DIV/0!</w:t>
            </w:r>
          </w:p>
        </w:tc>
      </w:tr>
    </w:tbl>
    <w:p w14:paraId="7B5056B3" w14:textId="77777777" w:rsidR="005E57EE" w:rsidRDefault="005E57EE" w:rsidP="00E95729"/>
    <w:p w14:paraId="422912E4" w14:textId="5C475A65" w:rsidR="00C446A6" w:rsidRDefault="005E57EE" w:rsidP="00016397">
      <w:pPr>
        <w:jc w:val="center"/>
        <w:rPr>
          <w:lang w:val="en-CA"/>
        </w:rPr>
      </w:pPr>
      <w:r>
        <w:rPr>
          <w:lang w:val="en-CA"/>
        </w:rPr>
        <w:t>Table 2: Test result of CTC compared to ECM-14.0 under RA condition</w:t>
      </w:r>
    </w:p>
    <w:tbl>
      <w:tblPr>
        <w:tblW w:w="8340" w:type="dxa"/>
        <w:tblLook w:val="04A0" w:firstRow="1" w:lastRow="0" w:firstColumn="1" w:lastColumn="0" w:noHBand="0" w:noVBand="1"/>
      </w:tblPr>
      <w:tblGrid>
        <w:gridCol w:w="1040"/>
        <w:gridCol w:w="999"/>
        <w:gridCol w:w="999"/>
        <w:gridCol w:w="998"/>
        <w:gridCol w:w="817"/>
        <w:gridCol w:w="830"/>
        <w:gridCol w:w="1322"/>
        <w:gridCol w:w="1335"/>
      </w:tblGrid>
      <w:tr w:rsidR="00C446A6" w14:paraId="474C445D" w14:textId="77777777" w:rsidTr="00C446A6">
        <w:trPr>
          <w:trHeight w:val="255"/>
        </w:trPr>
        <w:tc>
          <w:tcPr>
            <w:tcW w:w="1040" w:type="dxa"/>
            <w:tcBorders>
              <w:top w:val="nil"/>
              <w:left w:val="nil"/>
              <w:bottom w:val="nil"/>
              <w:right w:val="nil"/>
            </w:tcBorders>
            <w:shd w:val="clear" w:color="auto" w:fill="auto"/>
            <w:noWrap/>
            <w:vAlign w:val="center"/>
            <w:hideMark/>
          </w:tcPr>
          <w:p w14:paraId="6B8B2B07" w14:textId="77777777" w:rsidR="00C446A6" w:rsidRDefault="00C446A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E9FFB"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C446A6" w14:paraId="2A1449B3" w14:textId="77777777" w:rsidTr="00C446A6">
        <w:trPr>
          <w:trHeight w:val="255"/>
        </w:trPr>
        <w:tc>
          <w:tcPr>
            <w:tcW w:w="1040" w:type="dxa"/>
            <w:tcBorders>
              <w:top w:val="nil"/>
              <w:left w:val="nil"/>
              <w:bottom w:val="nil"/>
              <w:right w:val="nil"/>
            </w:tcBorders>
            <w:shd w:val="clear" w:color="auto" w:fill="auto"/>
            <w:noWrap/>
            <w:vAlign w:val="center"/>
            <w:hideMark/>
          </w:tcPr>
          <w:p w14:paraId="53E77801" w14:textId="77777777" w:rsidR="00C446A6" w:rsidRDefault="00C446A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1F39E7E"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Over ecm140_anchor</w:t>
            </w:r>
          </w:p>
        </w:tc>
      </w:tr>
      <w:tr w:rsidR="00C446A6" w14:paraId="3AC2288D" w14:textId="77777777" w:rsidTr="00C446A6">
        <w:trPr>
          <w:trHeight w:val="255"/>
        </w:trPr>
        <w:tc>
          <w:tcPr>
            <w:tcW w:w="1040" w:type="dxa"/>
            <w:tcBorders>
              <w:top w:val="nil"/>
              <w:left w:val="nil"/>
              <w:bottom w:val="nil"/>
              <w:right w:val="nil"/>
            </w:tcBorders>
            <w:shd w:val="clear" w:color="auto" w:fill="auto"/>
            <w:noWrap/>
            <w:vAlign w:val="center"/>
            <w:hideMark/>
          </w:tcPr>
          <w:p w14:paraId="675C3084" w14:textId="77777777" w:rsidR="00C446A6" w:rsidRDefault="00C446A6">
            <w:pPr>
              <w:jc w:val="center"/>
              <w:rPr>
                <w:rFonts w:ascii="Arial"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56BE25A6" w14:textId="77777777" w:rsidR="00C446A6" w:rsidRDefault="00C446A6">
            <w:pPr>
              <w:jc w:val="center"/>
              <w:rPr>
                <w:rFonts w:ascii="Arial" w:hAnsi="Arial" w:cs="Arial"/>
                <w:color w:val="000000"/>
                <w:sz w:val="18"/>
                <w:szCs w:val="18"/>
              </w:rPr>
            </w:pPr>
            <w:r>
              <w:rPr>
                <w:rFonts w:ascii="Arial" w:hAnsi="Arial" w:cs="Arial"/>
                <w:color w:val="000000"/>
                <w:sz w:val="18"/>
                <w:szCs w:val="18"/>
              </w:rPr>
              <w:t>Y</w:t>
            </w:r>
          </w:p>
        </w:tc>
        <w:tc>
          <w:tcPr>
            <w:tcW w:w="999" w:type="dxa"/>
            <w:tcBorders>
              <w:top w:val="nil"/>
              <w:left w:val="nil"/>
              <w:bottom w:val="single" w:sz="8" w:space="0" w:color="auto"/>
              <w:right w:val="nil"/>
            </w:tcBorders>
            <w:shd w:val="clear" w:color="auto" w:fill="auto"/>
            <w:noWrap/>
            <w:vAlign w:val="center"/>
            <w:hideMark/>
          </w:tcPr>
          <w:p w14:paraId="57B72825" w14:textId="77777777" w:rsidR="00C446A6" w:rsidRDefault="00C446A6">
            <w:pPr>
              <w:jc w:val="center"/>
              <w:rPr>
                <w:rFonts w:ascii="Arial" w:hAnsi="Arial" w:cs="Arial"/>
                <w:color w:val="000000"/>
                <w:sz w:val="18"/>
                <w:szCs w:val="18"/>
              </w:rPr>
            </w:pPr>
            <w:r>
              <w:rPr>
                <w:rFonts w:ascii="Arial" w:hAnsi="Arial" w:cs="Arial"/>
                <w:color w:val="000000"/>
                <w:sz w:val="18"/>
                <w:szCs w:val="18"/>
              </w:rPr>
              <w:t>U</w:t>
            </w:r>
          </w:p>
        </w:tc>
        <w:tc>
          <w:tcPr>
            <w:tcW w:w="998" w:type="dxa"/>
            <w:tcBorders>
              <w:top w:val="nil"/>
              <w:left w:val="nil"/>
              <w:bottom w:val="single" w:sz="8" w:space="0" w:color="auto"/>
              <w:right w:val="single" w:sz="4" w:space="0" w:color="auto"/>
            </w:tcBorders>
            <w:shd w:val="clear" w:color="auto" w:fill="auto"/>
            <w:noWrap/>
            <w:vAlign w:val="center"/>
            <w:hideMark/>
          </w:tcPr>
          <w:p w14:paraId="288C014A" w14:textId="77777777" w:rsidR="00C446A6" w:rsidRDefault="00C446A6">
            <w:pPr>
              <w:jc w:val="center"/>
              <w:rPr>
                <w:rFonts w:ascii="Arial" w:hAnsi="Arial" w:cs="Arial"/>
                <w:color w:val="000000"/>
                <w:sz w:val="18"/>
                <w:szCs w:val="18"/>
              </w:rPr>
            </w:pPr>
            <w:r>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1E1A324D"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30" w:type="dxa"/>
            <w:tcBorders>
              <w:top w:val="nil"/>
              <w:left w:val="nil"/>
              <w:bottom w:val="single" w:sz="8" w:space="0" w:color="auto"/>
              <w:right w:val="nil"/>
            </w:tcBorders>
            <w:shd w:val="clear" w:color="auto" w:fill="auto"/>
            <w:noWrap/>
            <w:vAlign w:val="center"/>
            <w:hideMark/>
          </w:tcPr>
          <w:p w14:paraId="6E087336"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322" w:type="dxa"/>
            <w:tcBorders>
              <w:top w:val="nil"/>
              <w:left w:val="single" w:sz="4" w:space="0" w:color="auto"/>
              <w:bottom w:val="single" w:sz="8" w:space="0" w:color="auto"/>
              <w:right w:val="nil"/>
            </w:tcBorders>
            <w:shd w:val="clear" w:color="auto" w:fill="auto"/>
            <w:noWrap/>
            <w:vAlign w:val="center"/>
            <w:hideMark/>
          </w:tcPr>
          <w:p w14:paraId="5538C425"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335" w:type="dxa"/>
            <w:tcBorders>
              <w:top w:val="nil"/>
              <w:left w:val="single" w:sz="4" w:space="0" w:color="auto"/>
              <w:bottom w:val="single" w:sz="8" w:space="0" w:color="auto"/>
              <w:right w:val="single" w:sz="8" w:space="0" w:color="auto"/>
            </w:tcBorders>
            <w:shd w:val="clear" w:color="auto" w:fill="auto"/>
            <w:noWrap/>
            <w:vAlign w:val="center"/>
            <w:hideMark/>
          </w:tcPr>
          <w:p w14:paraId="7DC99E13" w14:textId="77777777" w:rsidR="00C446A6" w:rsidRDefault="00C446A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446A6" w14:paraId="1BB511F7"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59A8768" w14:textId="77777777" w:rsidR="00C446A6" w:rsidRDefault="00C446A6">
            <w:pPr>
              <w:jc w:val="center"/>
              <w:rPr>
                <w:rFonts w:ascii="Arial" w:hAnsi="Arial" w:cs="Arial"/>
                <w:color w:val="000000"/>
                <w:sz w:val="18"/>
                <w:szCs w:val="18"/>
              </w:rPr>
            </w:pPr>
            <w:r>
              <w:rPr>
                <w:rFonts w:ascii="Arial" w:hAnsi="Arial" w:cs="Arial"/>
                <w:color w:val="000000"/>
                <w:sz w:val="18"/>
                <w:szCs w:val="18"/>
              </w:rPr>
              <w:t>Class A1</w:t>
            </w:r>
          </w:p>
        </w:tc>
        <w:tc>
          <w:tcPr>
            <w:tcW w:w="999" w:type="dxa"/>
            <w:tcBorders>
              <w:top w:val="nil"/>
              <w:left w:val="nil"/>
              <w:bottom w:val="nil"/>
              <w:right w:val="nil"/>
            </w:tcBorders>
            <w:shd w:val="clear" w:color="auto" w:fill="auto"/>
            <w:noWrap/>
            <w:vAlign w:val="center"/>
            <w:hideMark/>
          </w:tcPr>
          <w:p w14:paraId="544986FC" w14:textId="77777777" w:rsidR="00C446A6" w:rsidRDefault="00C446A6">
            <w:pPr>
              <w:jc w:val="center"/>
              <w:rPr>
                <w:rFonts w:ascii="Arial" w:hAnsi="Arial" w:cs="Arial"/>
                <w:color w:val="000000"/>
                <w:sz w:val="18"/>
                <w:szCs w:val="18"/>
              </w:rPr>
            </w:pPr>
            <w:r>
              <w:rPr>
                <w:rFonts w:ascii="Arial" w:hAnsi="Arial" w:cs="Arial"/>
                <w:color w:val="000000"/>
                <w:sz w:val="18"/>
                <w:szCs w:val="18"/>
              </w:rPr>
              <w:t>0.04%</w:t>
            </w:r>
          </w:p>
        </w:tc>
        <w:tc>
          <w:tcPr>
            <w:tcW w:w="999" w:type="dxa"/>
            <w:tcBorders>
              <w:top w:val="nil"/>
              <w:left w:val="nil"/>
              <w:bottom w:val="nil"/>
              <w:right w:val="nil"/>
            </w:tcBorders>
            <w:shd w:val="clear" w:color="auto" w:fill="auto"/>
            <w:noWrap/>
            <w:vAlign w:val="center"/>
            <w:hideMark/>
          </w:tcPr>
          <w:p w14:paraId="23CC4219" w14:textId="77777777" w:rsidR="00C446A6" w:rsidRDefault="00C446A6">
            <w:pPr>
              <w:jc w:val="center"/>
              <w:rPr>
                <w:rFonts w:ascii="Arial" w:hAnsi="Arial" w:cs="Arial"/>
                <w:color w:val="000000"/>
                <w:sz w:val="18"/>
                <w:szCs w:val="18"/>
              </w:rPr>
            </w:pPr>
            <w:r>
              <w:rPr>
                <w:rFonts w:ascii="Arial" w:hAnsi="Arial" w:cs="Arial"/>
                <w:color w:val="000000"/>
                <w:sz w:val="18"/>
                <w:szCs w:val="18"/>
              </w:rPr>
              <w:t>-0.17%</w:t>
            </w:r>
          </w:p>
        </w:tc>
        <w:tc>
          <w:tcPr>
            <w:tcW w:w="998" w:type="dxa"/>
            <w:tcBorders>
              <w:top w:val="nil"/>
              <w:left w:val="nil"/>
              <w:bottom w:val="nil"/>
              <w:right w:val="single" w:sz="4" w:space="0" w:color="auto"/>
            </w:tcBorders>
            <w:shd w:val="clear" w:color="auto" w:fill="auto"/>
            <w:noWrap/>
            <w:vAlign w:val="center"/>
            <w:hideMark/>
          </w:tcPr>
          <w:p w14:paraId="6E1076AC" w14:textId="77777777" w:rsidR="00C446A6" w:rsidRDefault="00C446A6">
            <w:pPr>
              <w:jc w:val="center"/>
              <w:rPr>
                <w:rFonts w:ascii="Arial" w:hAnsi="Arial" w:cs="Arial"/>
                <w:color w:val="000000"/>
                <w:sz w:val="18"/>
                <w:szCs w:val="18"/>
              </w:rPr>
            </w:pPr>
            <w:r>
              <w:rPr>
                <w:rFonts w:ascii="Arial" w:hAnsi="Arial" w:cs="Arial"/>
                <w:color w:val="000000"/>
                <w:sz w:val="18"/>
                <w:szCs w:val="18"/>
              </w:rPr>
              <w:t>0.02%</w:t>
            </w:r>
          </w:p>
        </w:tc>
        <w:tc>
          <w:tcPr>
            <w:tcW w:w="817" w:type="dxa"/>
            <w:tcBorders>
              <w:top w:val="nil"/>
              <w:left w:val="nil"/>
              <w:bottom w:val="nil"/>
              <w:right w:val="nil"/>
            </w:tcBorders>
            <w:shd w:val="clear" w:color="auto" w:fill="auto"/>
            <w:noWrap/>
            <w:vAlign w:val="center"/>
            <w:hideMark/>
          </w:tcPr>
          <w:p w14:paraId="08A58A2A" w14:textId="77777777" w:rsidR="00C446A6" w:rsidRDefault="00C446A6">
            <w:pPr>
              <w:jc w:val="center"/>
              <w:rPr>
                <w:rFonts w:ascii="Arial" w:hAnsi="Arial" w:cs="Arial"/>
                <w:color w:val="000000"/>
                <w:sz w:val="18"/>
                <w:szCs w:val="18"/>
              </w:rPr>
            </w:pPr>
            <w:r>
              <w:rPr>
                <w:rFonts w:ascii="Arial" w:hAnsi="Arial" w:cs="Arial"/>
                <w:color w:val="000000"/>
                <w:sz w:val="18"/>
                <w:szCs w:val="18"/>
              </w:rPr>
              <w:t>97.1%</w:t>
            </w:r>
          </w:p>
        </w:tc>
        <w:tc>
          <w:tcPr>
            <w:tcW w:w="830" w:type="dxa"/>
            <w:tcBorders>
              <w:top w:val="nil"/>
              <w:left w:val="nil"/>
              <w:bottom w:val="nil"/>
              <w:right w:val="nil"/>
            </w:tcBorders>
            <w:shd w:val="clear" w:color="auto" w:fill="auto"/>
            <w:noWrap/>
            <w:vAlign w:val="center"/>
            <w:hideMark/>
          </w:tcPr>
          <w:p w14:paraId="51B23377" w14:textId="77777777" w:rsidR="00C446A6" w:rsidRDefault="00C446A6">
            <w:pPr>
              <w:jc w:val="center"/>
              <w:rPr>
                <w:rFonts w:ascii="Arial" w:hAnsi="Arial" w:cs="Arial"/>
                <w:color w:val="000000"/>
                <w:sz w:val="18"/>
                <w:szCs w:val="18"/>
              </w:rPr>
            </w:pPr>
            <w:r>
              <w:rPr>
                <w:rFonts w:ascii="Arial" w:hAnsi="Arial" w:cs="Arial"/>
                <w:color w:val="000000"/>
                <w:sz w:val="18"/>
                <w:szCs w:val="18"/>
              </w:rPr>
              <w:t>88.4%</w:t>
            </w:r>
          </w:p>
        </w:tc>
        <w:tc>
          <w:tcPr>
            <w:tcW w:w="1322" w:type="dxa"/>
            <w:tcBorders>
              <w:top w:val="nil"/>
              <w:left w:val="single" w:sz="4" w:space="0" w:color="auto"/>
              <w:bottom w:val="nil"/>
              <w:right w:val="nil"/>
            </w:tcBorders>
            <w:shd w:val="clear" w:color="auto" w:fill="auto"/>
            <w:noWrap/>
            <w:vAlign w:val="center"/>
            <w:hideMark/>
          </w:tcPr>
          <w:p w14:paraId="3C6D3DA3" w14:textId="77777777" w:rsidR="00C446A6" w:rsidRDefault="00C446A6">
            <w:pPr>
              <w:jc w:val="center"/>
              <w:rPr>
                <w:rFonts w:ascii="Arial" w:hAnsi="Arial" w:cs="Arial"/>
                <w:color w:val="000000"/>
                <w:sz w:val="18"/>
                <w:szCs w:val="18"/>
              </w:rPr>
            </w:pPr>
            <w:r>
              <w:rPr>
                <w:rFonts w:ascii="Arial" w:hAnsi="Arial" w:cs="Arial"/>
                <w:color w:val="000000"/>
                <w:sz w:val="18"/>
                <w:szCs w:val="18"/>
              </w:rPr>
              <w:t>100.2%</w:t>
            </w:r>
          </w:p>
        </w:tc>
        <w:tc>
          <w:tcPr>
            <w:tcW w:w="1335" w:type="dxa"/>
            <w:tcBorders>
              <w:top w:val="nil"/>
              <w:left w:val="nil"/>
              <w:bottom w:val="nil"/>
              <w:right w:val="single" w:sz="8" w:space="0" w:color="auto"/>
            </w:tcBorders>
            <w:shd w:val="clear" w:color="auto" w:fill="auto"/>
            <w:noWrap/>
            <w:vAlign w:val="center"/>
            <w:hideMark/>
          </w:tcPr>
          <w:p w14:paraId="45E27526" w14:textId="77777777" w:rsidR="00C446A6" w:rsidRDefault="00C446A6">
            <w:pPr>
              <w:jc w:val="center"/>
              <w:rPr>
                <w:rFonts w:ascii="Arial" w:hAnsi="Arial" w:cs="Arial"/>
                <w:color w:val="000000"/>
                <w:sz w:val="18"/>
                <w:szCs w:val="18"/>
              </w:rPr>
            </w:pPr>
            <w:r>
              <w:rPr>
                <w:rFonts w:ascii="Arial" w:hAnsi="Arial" w:cs="Arial"/>
                <w:color w:val="000000"/>
                <w:sz w:val="18"/>
                <w:szCs w:val="18"/>
              </w:rPr>
              <w:t>102.2%</w:t>
            </w:r>
          </w:p>
        </w:tc>
      </w:tr>
      <w:tr w:rsidR="00C446A6" w14:paraId="333A71E7"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7EFE6F" w14:textId="77777777" w:rsidR="00C446A6" w:rsidRDefault="00C446A6">
            <w:pPr>
              <w:jc w:val="center"/>
              <w:rPr>
                <w:rFonts w:ascii="Arial" w:hAnsi="Arial" w:cs="Arial"/>
                <w:color w:val="000000"/>
                <w:sz w:val="18"/>
                <w:szCs w:val="18"/>
              </w:rPr>
            </w:pPr>
            <w:r>
              <w:rPr>
                <w:rFonts w:ascii="Arial" w:hAnsi="Arial" w:cs="Arial"/>
                <w:color w:val="000000"/>
                <w:sz w:val="18"/>
                <w:szCs w:val="18"/>
              </w:rPr>
              <w:t>Class A2</w:t>
            </w:r>
          </w:p>
        </w:tc>
        <w:tc>
          <w:tcPr>
            <w:tcW w:w="999" w:type="dxa"/>
            <w:tcBorders>
              <w:top w:val="nil"/>
              <w:left w:val="nil"/>
              <w:bottom w:val="nil"/>
              <w:right w:val="nil"/>
            </w:tcBorders>
            <w:shd w:val="clear" w:color="auto" w:fill="auto"/>
            <w:noWrap/>
            <w:vAlign w:val="center"/>
            <w:hideMark/>
          </w:tcPr>
          <w:p w14:paraId="7EF3A9A8"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nil"/>
              <w:left w:val="nil"/>
              <w:bottom w:val="nil"/>
              <w:right w:val="nil"/>
            </w:tcBorders>
            <w:shd w:val="clear" w:color="auto" w:fill="auto"/>
            <w:noWrap/>
            <w:vAlign w:val="center"/>
            <w:hideMark/>
          </w:tcPr>
          <w:p w14:paraId="64C0A138" w14:textId="77777777" w:rsidR="00C446A6" w:rsidRDefault="00C446A6">
            <w:pPr>
              <w:jc w:val="center"/>
              <w:rPr>
                <w:rFonts w:ascii="Arial" w:hAnsi="Arial" w:cs="Arial"/>
                <w:color w:val="000000"/>
                <w:sz w:val="18"/>
                <w:szCs w:val="18"/>
              </w:rPr>
            </w:pPr>
            <w:r>
              <w:rPr>
                <w:rFonts w:ascii="Arial" w:hAnsi="Arial" w:cs="Arial"/>
                <w:color w:val="000000"/>
                <w:sz w:val="18"/>
                <w:szCs w:val="18"/>
              </w:rPr>
              <w:t>-0.05%</w:t>
            </w:r>
          </w:p>
        </w:tc>
        <w:tc>
          <w:tcPr>
            <w:tcW w:w="998" w:type="dxa"/>
            <w:tcBorders>
              <w:top w:val="nil"/>
              <w:left w:val="nil"/>
              <w:bottom w:val="nil"/>
              <w:right w:val="single" w:sz="4" w:space="0" w:color="auto"/>
            </w:tcBorders>
            <w:shd w:val="clear" w:color="auto" w:fill="auto"/>
            <w:noWrap/>
            <w:vAlign w:val="center"/>
            <w:hideMark/>
          </w:tcPr>
          <w:p w14:paraId="4CF5BFAE"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817" w:type="dxa"/>
            <w:tcBorders>
              <w:top w:val="nil"/>
              <w:left w:val="nil"/>
              <w:bottom w:val="nil"/>
              <w:right w:val="nil"/>
            </w:tcBorders>
            <w:shd w:val="clear" w:color="auto" w:fill="auto"/>
            <w:noWrap/>
            <w:vAlign w:val="center"/>
            <w:hideMark/>
          </w:tcPr>
          <w:p w14:paraId="0AC743FD" w14:textId="77777777" w:rsidR="00C446A6" w:rsidRDefault="00C446A6">
            <w:pPr>
              <w:jc w:val="center"/>
              <w:rPr>
                <w:rFonts w:ascii="Arial" w:hAnsi="Arial" w:cs="Arial"/>
                <w:color w:val="000000"/>
                <w:sz w:val="18"/>
                <w:szCs w:val="18"/>
              </w:rPr>
            </w:pPr>
            <w:r>
              <w:rPr>
                <w:rFonts w:ascii="Arial" w:hAnsi="Arial" w:cs="Arial"/>
                <w:color w:val="000000"/>
                <w:sz w:val="18"/>
                <w:szCs w:val="18"/>
              </w:rPr>
              <w:t>94.2%</w:t>
            </w:r>
          </w:p>
        </w:tc>
        <w:tc>
          <w:tcPr>
            <w:tcW w:w="830" w:type="dxa"/>
            <w:tcBorders>
              <w:top w:val="nil"/>
              <w:left w:val="nil"/>
              <w:bottom w:val="nil"/>
              <w:right w:val="nil"/>
            </w:tcBorders>
            <w:shd w:val="clear" w:color="auto" w:fill="auto"/>
            <w:noWrap/>
            <w:vAlign w:val="center"/>
            <w:hideMark/>
          </w:tcPr>
          <w:p w14:paraId="19880938" w14:textId="77777777" w:rsidR="00C446A6" w:rsidRDefault="00C446A6">
            <w:pPr>
              <w:jc w:val="center"/>
              <w:rPr>
                <w:rFonts w:ascii="Arial" w:hAnsi="Arial" w:cs="Arial"/>
                <w:color w:val="000000"/>
                <w:sz w:val="18"/>
                <w:szCs w:val="18"/>
              </w:rPr>
            </w:pPr>
            <w:r>
              <w:rPr>
                <w:rFonts w:ascii="Arial" w:hAnsi="Arial" w:cs="Arial"/>
                <w:color w:val="000000"/>
                <w:sz w:val="18"/>
                <w:szCs w:val="18"/>
              </w:rPr>
              <w:t>85.6%</w:t>
            </w:r>
          </w:p>
        </w:tc>
        <w:tc>
          <w:tcPr>
            <w:tcW w:w="1322" w:type="dxa"/>
            <w:tcBorders>
              <w:top w:val="nil"/>
              <w:left w:val="single" w:sz="4" w:space="0" w:color="auto"/>
              <w:bottom w:val="nil"/>
              <w:right w:val="nil"/>
            </w:tcBorders>
            <w:shd w:val="clear" w:color="auto" w:fill="auto"/>
            <w:noWrap/>
            <w:vAlign w:val="center"/>
            <w:hideMark/>
          </w:tcPr>
          <w:p w14:paraId="12D667B0"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46548335" w14:textId="77777777" w:rsidR="00C446A6" w:rsidRDefault="00C446A6">
            <w:pPr>
              <w:jc w:val="center"/>
              <w:rPr>
                <w:rFonts w:ascii="Arial" w:hAnsi="Arial" w:cs="Arial"/>
                <w:color w:val="000000"/>
                <w:sz w:val="18"/>
                <w:szCs w:val="18"/>
              </w:rPr>
            </w:pPr>
            <w:r>
              <w:rPr>
                <w:rFonts w:ascii="Arial" w:hAnsi="Arial" w:cs="Arial"/>
                <w:color w:val="000000"/>
                <w:sz w:val="18"/>
                <w:szCs w:val="18"/>
              </w:rPr>
              <w:t>101.5%</w:t>
            </w:r>
          </w:p>
        </w:tc>
      </w:tr>
      <w:tr w:rsidR="00C446A6" w14:paraId="0E5C52EA"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430891A" w14:textId="77777777" w:rsidR="00C446A6" w:rsidRDefault="00C446A6">
            <w:pPr>
              <w:jc w:val="center"/>
              <w:rPr>
                <w:rFonts w:ascii="Arial" w:hAnsi="Arial" w:cs="Arial"/>
                <w:color w:val="000000"/>
                <w:sz w:val="18"/>
                <w:szCs w:val="18"/>
              </w:rPr>
            </w:pPr>
            <w:r>
              <w:rPr>
                <w:rFonts w:ascii="Arial" w:hAnsi="Arial" w:cs="Arial"/>
                <w:color w:val="000000"/>
                <w:sz w:val="18"/>
                <w:szCs w:val="18"/>
              </w:rPr>
              <w:t>Class B</w:t>
            </w:r>
          </w:p>
        </w:tc>
        <w:tc>
          <w:tcPr>
            <w:tcW w:w="999" w:type="dxa"/>
            <w:tcBorders>
              <w:top w:val="nil"/>
              <w:left w:val="nil"/>
              <w:bottom w:val="nil"/>
              <w:right w:val="nil"/>
            </w:tcBorders>
            <w:shd w:val="clear" w:color="auto" w:fill="auto"/>
            <w:noWrap/>
            <w:vAlign w:val="center"/>
            <w:hideMark/>
          </w:tcPr>
          <w:p w14:paraId="350890A6"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nil"/>
              <w:left w:val="nil"/>
              <w:bottom w:val="nil"/>
              <w:right w:val="nil"/>
            </w:tcBorders>
            <w:shd w:val="clear" w:color="auto" w:fill="auto"/>
            <w:noWrap/>
            <w:vAlign w:val="center"/>
            <w:hideMark/>
          </w:tcPr>
          <w:p w14:paraId="24A200DB" w14:textId="77777777" w:rsidR="00C446A6" w:rsidRDefault="00C446A6">
            <w:pPr>
              <w:jc w:val="center"/>
              <w:rPr>
                <w:rFonts w:ascii="Arial" w:hAnsi="Arial" w:cs="Arial"/>
                <w:color w:val="000000"/>
                <w:sz w:val="18"/>
                <w:szCs w:val="18"/>
              </w:rPr>
            </w:pPr>
            <w:r>
              <w:rPr>
                <w:rFonts w:ascii="Arial" w:hAnsi="Arial" w:cs="Arial"/>
                <w:color w:val="000000"/>
                <w:sz w:val="18"/>
                <w:szCs w:val="18"/>
              </w:rPr>
              <w:t>-0.26%</w:t>
            </w:r>
          </w:p>
        </w:tc>
        <w:tc>
          <w:tcPr>
            <w:tcW w:w="998" w:type="dxa"/>
            <w:tcBorders>
              <w:top w:val="nil"/>
              <w:left w:val="nil"/>
              <w:bottom w:val="nil"/>
              <w:right w:val="single" w:sz="4" w:space="0" w:color="auto"/>
            </w:tcBorders>
            <w:shd w:val="clear" w:color="auto" w:fill="auto"/>
            <w:noWrap/>
            <w:vAlign w:val="center"/>
            <w:hideMark/>
          </w:tcPr>
          <w:p w14:paraId="76078F26" w14:textId="77777777" w:rsidR="00C446A6" w:rsidRDefault="00C446A6">
            <w:pPr>
              <w:jc w:val="center"/>
              <w:rPr>
                <w:rFonts w:ascii="Arial" w:hAnsi="Arial" w:cs="Arial"/>
                <w:color w:val="000000"/>
                <w:sz w:val="18"/>
                <w:szCs w:val="18"/>
              </w:rPr>
            </w:pPr>
            <w:r>
              <w:rPr>
                <w:rFonts w:ascii="Arial" w:hAnsi="Arial" w:cs="Arial"/>
                <w:color w:val="000000"/>
                <w:sz w:val="18"/>
                <w:szCs w:val="18"/>
              </w:rPr>
              <w:t>-0.22%</w:t>
            </w:r>
          </w:p>
        </w:tc>
        <w:tc>
          <w:tcPr>
            <w:tcW w:w="817" w:type="dxa"/>
            <w:tcBorders>
              <w:top w:val="nil"/>
              <w:left w:val="nil"/>
              <w:bottom w:val="nil"/>
              <w:right w:val="nil"/>
            </w:tcBorders>
            <w:shd w:val="clear" w:color="auto" w:fill="auto"/>
            <w:noWrap/>
            <w:vAlign w:val="center"/>
            <w:hideMark/>
          </w:tcPr>
          <w:p w14:paraId="1B0B8A7C" w14:textId="77777777" w:rsidR="00C446A6" w:rsidRDefault="00C446A6">
            <w:pPr>
              <w:jc w:val="center"/>
              <w:rPr>
                <w:rFonts w:ascii="Arial" w:hAnsi="Arial" w:cs="Arial"/>
                <w:color w:val="000000"/>
                <w:sz w:val="18"/>
                <w:szCs w:val="18"/>
              </w:rPr>
            </w:pPr>
            <w:r>
              <w:rPr>
                <w:rFonts w:ascii="Arial" w:hAnsi="Arial" w:cs="Arial"/>
                <w:color w:val="000000"/>
                <w:sz w:val="18"/>
                <w:szCs w:val="18"/>
              </w:rPr>
              <w:t>99.6%</w:t>
            </w:r>
          </w:p>
        </w:tc>
        <w:tc>
          <w:tcPr>
            <w:tcW w:w="830" w:type="dxa"/>
            <w:tcBorders>
              <w:top w:val="nil"/>
              <w:left w:val="nil"/>
              <w:bottom w:val="nil"/>
              <w:right w:val="nil"/>
            </w:tcBorders>
            <w:shd w:val="clear" w:color="auto" w:fill="auto"/>
            <w:noWrap/>
            <w:vAlign w:val="center"/>
            <w:hideMark/>
          </w:tcPr>
          <w:p w14:paraId="24CC7D42" w14:textId="77777777" w:rsidR="00C446A6" w:rsidRDefault="00C446A6">
            <w:pPr>
              <w:jc w:val="center"/>
              <w:rPr>
                <w:rFonts w:ascii="Arial" w:hAnsi="Arial" w:cs="Arial"/>
                <w:color w:val="000000"/>
                <w:sz w:val="18"/>
                <w:szCs w:val="18"/>
              </w:rPr>
            </w:pPr>
            <w:r>
              <w:rPr>
                <w:rFonts w:ascii="Arial" w:hAnsi="Arial" w:cs="Arial"/>
                <w:color w:val="000000"/>
                <w:sz w:val="18"/>
                <w:szCs w:val="18"/>
              </w:rPr>
              <w:t>100.0%</w:t>
            </w:r>
          </w:p>
        </w:tc>
        <w:tc>
          <w:tcPr>
            <w:tcW w:w="1322" w:type="dxa"/>
            <w:tcBorders>
              <w:top w:val="nil"/>
              <w:left w:val="single" w:sz="4" w:space="0" w:color="auto"/>
              <w:bottom w:val="nil"/>
              <w:right w:val="nil"/>
            </w:tcBorders>
            <w:shd w:val="clear" w:color="auto" w:fill="auto"/>
            <w:noWrap/>
            <w:vAlign w:val="center"/>
            <w:hideMark/>
          </w:tcPr>
          <w:p w14:paraId="53EE0805"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6DB686C0" w14:textId="77777777" w:rsidR="00C446A6" w:rsidRDefault="00C446A6">
            <w:pPr>
              <w:jc w:val="center"/>
              <w:rPr>
                <w:rFonts w:ascii="Arial" w:hAnsi="Arial" w:cs="Arial"/>
                <w:color w:val="000000"/>
                <w:sz w:val="18"/>
                <w:szCs w:val="18"/>
              </w:rPr>
            </w:pPr>
            <w:r>
              <w:rPr>
                <w:rFonts w:ascii="Arial" w:hAnsi="Arial" w:cs="Arial"/>
                <w:color w:val="000000"/>
                <w:sz w:val="18"/>
                <w:szCs w:val="18"/>
              </w:rPr>
              <w:t>101.3%</w:t>
            </w:r>
          </w:p>
        </w:tc>
      </w:tr>
      <w:tr w:rsidR="00C446A6" w14:paraId="1A40E55E"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6E58259" w14:textId="77777777" w:rsidR="00C446A6" w:rsidRDefault="00C446A6">
            <w:pPr>
              <w:jc w:val="center"/>
              <w:rPr>
                <w:rFonts w:ascii="Arial" w:hAnsi="Arial" w:cs="Arial"/>
                <w:color w:val="000000"/>
                <w:sz w:val="18"/>
                <w:szCs w:val="18"/>
              </w:rPr>
            </w:pPr>
            <w:r>
              <w:rPr>
                <w:rFonts w:ascii="Arial" w:hAnsi="Arial" w:cs="Arial"/>
                <w:color w:val="000000"/>
                <w:sz w:val="18"/>
                <w:szCs w:val="18"/>
              </w:rPr>
              <w:t>Class C</w:t>
            </w:r>
          </w:p>
        </w:tc>
        <w:tc>
          <w:tcPr>
            <w:tcW w:w="999" w:type="dxa"/>
            <w:tcBorders>
              <w:top w:val="nil"/>
              <w:left w:val="nil"/>
              <w:bottom w:val="nil"/>
              <w:right w:val="nil"/>
            </w:tcBorders>
            <w:shd w:val="clear" w:color="auto" w:fill="auto"/>
            <w:noWrap/>
            <w:vAlign w:val="center"/>
            <w:hideMark/>
          </w:tcPr>
          <w:p w14:paraId="2DC651AC" w14:textId="77777777" w:rsidR="00C446A6" w:rsidRDefault="00C446A6">
            <w:pPr>
              <w:jc w:val="center"/>
              <w:rPr>
                <w:rFonts w:ascii="Arial" w:hAnsi="Arial" w:cs="Arial"/>
                <w:color w:val="000000"/>
                <w:sz w:val="18"/>
                <w:szCs w:val="18"/>
              </w:rPr>
            </w:pPr>
            <w:r>
              <w:rPr>
                <w:rFonts w:ascii="Arial" w:hAnsi="Arial" w:cs="Arial"/>
                <w:color w:val="000000"/>
                <w:sz w:val="18"/>
                <w:szCs w:val="18"/>
              </w:rPr>
              <w:t>0.02%</w:t>
            </w:r>
          </w:p>
        </w:tc>
        <w:tc>
          <w:tcPr>
            <w:tcW w:w="999" w:type="dxa"/>
            <w:tcBorders>
              <w:top w:val="nil"/>
              <w:left w:val="nil"/>
              <w:bottom w:val="nil"/>
              <w:right w:val="nil"/>
            </w:tcBorders>
            <w:shd w:val="clear" w:color="auto" w:fill="auto"/>
            <w:noWrap/>
            <w:vAlign w:val="center"/>
            <w:hideMark/>
          </w:tcPr>
          <w:p w14:paraId="2C37F5F3" w14:textId="77777777" w:rsidR="00C446A6" w:rsidRDefault="00C446A6">
            <w:pPr>
              <w:jc w:val="center"/>
              <w:rPr>
                <w:rFonts w:ascii="Arial" w:hAnsi="Arial" w:cs="Arial"/>
                <w:color w:val="000000"/>
                <w:sz w:val="18"/>
                <w:szCs w:val="18"/>
              </w:rPr>
            </w:pPr>
            <w:r>
              <w:rPr>
                <w:rFonts w:ascii="Arial" w:hAnsi="Arial" w:cs="Arial"/>
                <w:color w:val="000000"/>
                <w:sz w:val="18"/>
                <w:szCs w:val="18"/>
              </w:rPr>
              <w:t>-0.24%</w:t>
            </w:r>
          </w:p>
        </w:tc>
        <w:tc>
          <w:tcPr>
            <w:tcW w:w="998" w:type="dxa"/>
            <w:tcBorders>
              <w:top w:val="nil"/>
              <w:left w:val="nil"/>
              <w:bottom w:val="nil"/>
              <w:right w:val="single" w:sz="4" w:space="0" w:color="auto"/>
            </w:tcBorders>
            <w:shd w:val="clear" w:color="auto" w:fill="auto"/>
            <w:noWrap/>
            <w:vAlign w:val="center"/>
            <w:hideMark/>
          </w:tcPr>
          <w:p w14:paraId="79E3232C" w14:textId="77777777" w:rsidR="00C446A6" w:rsidRDefault="00C446A6">
            <w:pPr>
              <w:jc w:val="center"/>
              <w:rPr>
                <w:rFonts w:ascii="Arial" w:hAnsi="Arial" w:cs="Arial"/>
                <w:color w:val="000000"/>
                <w:sz w:val="18"/>
                <w:szCs w:val="18"/>
              </w:rPr>
            </w:pPr>
            <w:r>
              <w:rPr>
                <w:rFonts w:ascii="Arial" w:hAnsi="Arial" w:cs="Arial"/>
                <w:color w:val="000000"/>
                <w:sz w:val="18"/>
                <w:szCs w:val="18"/>
              </w:rPr>
              <w:t>-0.07%</w:t>
            </w:r>
          </w:p>
        </w:tc>
        <w:tc>
          <w:tcPr>
            <w:tcW w:w="817" w:type="dxa"/>
            <w:tcBorders>
              <w:top w:val="nil"/>
              <w:left w:val="nil"/>
              <w:bottom w:val="nil"/>
              <w:right w:val="nil"/>
            </w:tcBorders>
            <w:shd w:val="clear" w:color="auto" w:fill="auto"/>
            <w:noWrap/>
            <w:vAlign w:val="center"/>
            <w:hideMark/>
          </w:tcPr>
          <w:p w14:paraId="19C93C28" w14:textId="77777777" w:rsidR="00C446A6" w:rsidRDefault="00C446A6">
            <w:pPr>
              <w:jc w:val="center"/>
              <w:rPr>
                <w:rFonts w:ascii="Arial" w:hAnsi="Arial" w:cs="Arial"/>
                <w:color w:val="000000"/>
                <w:sz w:val="18"/>
                <w:szCs w:val="18"/>
              </w:rPr>
            </w:pPr>
            <w:r>
              <w:rPr>
                <w:rFonts w:ascii="Arial" w:hAnsi="Arial" w:cs="Arial"/>
                <w:color w:val="000000"/>
                <w:sz w:val="18"/>
                <w:szCs w:val="18"/>
              </w:rPr>
              <w:t>98.9%</w:t>
            </w:r>
          </w:p>
        </w:tc>
        <w:tc>
          <w:tcPr>
            <w:tcW w:w="830" w:type="dxa"/>
            <w:tcBorders>
              <w:top w:val="nil"/>
              <w:left w:val="nil"/>
              <w:bottom w:val="nil"/>
              <w:right w:val="nil"/>
            </w:tcBorders>
            <w:shd w:val="clear" w:color="auto" w:fill="auto"/>
            <w:noWrap/>
            <w:vAlign w:val="center"/>
            <w:hideMark/>
          </w:tcPr>
          <w:p w14:paraId="58159708" w14:textId="77777777" w:rsidR="00C446A6" w:rsidRDefault="00C446A6">
            <w:pPr>
              <w:jc w:val="center"/>
              <w:rPr>
                <w:rFonts w:ascii="Arial" w:hAnsi="Arial" w:cs="Arial"/>
                <w:color w:val="000000"/>
                <w:sz w:val="18"/>
                <w:szCs w:val="18"/>
              </w:rPr>
            </w:pPr>
            <w:r>
              <w:rPr>
                <w:rFonts w:ascii="Arial" w:hAnsi="Arial" w:cs="Arial"/>
                <w:color w:val="000000"/>
                <w:sz w:val="18"/>
                <w:szCs w:val="18"/>
              </w:rPr>
              <w:t>99.4%</w:t>
            </w:r>
          </w:p>
        </w:tc>
        <w:tc>
          <w:tcPr>
            <w:tcW w:w="1322" w:type="dxa"/>
            <w:tcBorders>
              <w:top w:val="nil"/>
              <w:left w:val="single" w:sz="4" w:space="0" w:color="auto"/>
              <w:bottom w:val="nil"/>
              <w:right w:val="nil"/>
            </w:tcBorders>
            <w:shd w:val="clear" w:color="auto" w:fill="auto"/>
            <w:noWrap/>
            <w:vAlign w:val="center"/>
            <w:hideMark/>
          </w:tcPr>
          <w:p w14:paraId="4F4FF934" w14:textId="77777777" w:rsidR="00C446A6" w:rsidRDefault="00C446A6">
            <w:pPr>
              <w:jc w:val="center"/>
              <w:rPr>
                <w:rFonts w:ascii="Arial" w:hAnsi="Arial" w:cs="Arial"/>
                <w:color w:val="000000"/>
                <w:sz w:val="18"/>
                <w:szCs w:val="18"/>
              </w:rPr>
            </w:pPr>
            <w:r>
              <w:rPr>
                <w:rFonts w:ascii="Arial" w:hAnsi="Arial" w:cs="Arial"/>
                <w:color w:val="000000"/>
                <w:sz w:val="18"/>
                <w:szCs w:val="18"/>
              </w:rPr>
              <w:t>100.1%</w:t>
            </w:r>
          </w:p>
        </w:tc>
        <w:tc>
          <w:tcPr>
            <w:tcW w:w="1335" w:type="dxa"/>
            <w:tcBorders>
              <w:top w:val="nil"/>
              <w:left w:val="nil"/>
              <w:bottom w:val="nil"/>
              <w:right w:val="single" w:sz="8" w:space="0" w:color="auto"/>
            </w:tcBorders>
            <w:shd w:val="clear" w:color="auto" w:fill="auto"/>
            <w:noWrap/>
            <w:vAlign w:val="center"/>
            <w:hideMark/>
          </w:tcPr>
          <w:p w14:paraId="4A181DED" w14:textId="77777777" w:rsidR="00C446A6" w:rsidRDefault="00C446A6">
            <w:pPr>
              <w:jc w:val="center"/>
              <w:rPr>
                <w:rFonts w:ascii="Arial" w:hAnsi="Arial" w:cs="Arial"/>
                <w:color w:val="000000"/>
                <w:sz w:val="18"/>
                <w:szCs w:val="18"/>
              </w:rPr>
            </w:pPr>
            <w:r>
              <w:rPr>
                <w:rFonts w:ascii="Arial" w:hAnsi="Arial" w:cs="Arial"/>
                <w:color w:val="000000"/>
                <w:sz w:val="18"/>
                <w:szCs w:val="18"/>
              </w:rPr>
              <w:t>99.9%</w:t>
            </w:r>
          </w:p>
        </w:tc>
      </w:tr>
      <w:tr w:rsidR="00C446A6" w14:paraId="2B822216"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ABF993" w14:textId="77777777" w:rsidR="00C446A6" w:rsidRDefault="00C446A6">
            <w:pPr>
              <w:jc w:val="center"/>
              <w:rPr>
                <w:rFonts w:ascii="Arial" w:hAnsi="Arial" w:cs="Arial"/>
                <w:color w:val="000000"/>
                <w:sz w:val="18"/>
                <w:szCs w:val="18"/>
              </w:rPr>
            </w:pPr>
            <w:r>
              <w:rPr>
                <w:rFonts w:ascii="Arial" w:hAnsi="Arial" w:cs="Arial"/>
                <w:color w:val="000000"/>
                <w:sz w:val="18"/>
                <w:szCs w:val="18"/>
              </w:rPr>
              <w:t>Class E</w:t>
            </w:r>
          </w:p>
        </w:tc>
        <w:tc>
          <w:tcPr>
            <w:tcW w:w="999" w:type="dxa"/>
            <w:tcBorders>
              <w:top w:val="nil"/>
              <w:left w:val="nil"/>
              <w:bottom w:val="nil"/>
              <w:right w:val="nil"/>
            </w:tcBorders>
            <w:shd w:val="clear" w:color="auto" w:fill="auto"/>
            <w:noWrap/>
            <w:vAlign w:val="center"/>
            <w:hideMark/>
          </w:tcPr>
          <w:p w14:paraId="4E925F9B"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06AAA07" w14:textId="77777777" w:rsidR="00C446A6" w:rsidRDefault="00C446A6">
            <w:pPr>
              <w:jc w:val="center"/>
              <w:rPr>
                <w:rFonts w:ascii="Arial" w:hAnsi="Arial" w:cs="Arial"/>
                <w:color w:val="000000"/>
                <w:sz w:val="18"/>
                <w:szCs w:val="18"/>
              </w:rPr>
            </w:pPr>
          </w:p>
        </w:tc>
        <w:tc>
          <w:tcPr>
            <w:tcW w:w="998" w:type="dxa"/>
            <w:tcBorders>
              <w:top w:val="nil"/>
              <w:left w:val="nil"/>
              <w:bottom w:val="nil"/>
              <w:right w:val="single" w:sz="4" w:space="0" w:color="auto"/>
            </w:tcBorders>
            <w:shd w:val="clear" w:color="auto" w:fill="auto"/>
            <w:noWrap/>
            <w:vAlign w:val="center"/>
            <w:hideMark/>
          </w:tcPr>
          <w:p w14:paraId="7709BDE2"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4BC68428"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19C8D284" w14:textId="77777777" w:rsidR="00C446A6" w:rsidRDefault="00C446A6">
            <w:pPr>
              <w:jc w:val="center"/>
              <w:rPr>
                <w:rFonts w:ascii="Arial" w:hAnsi="Arial" w:cs="Arial"/>
                <w:color w:val="000000"/>
                <w:sz w:val="18"/>
                <w:szCs w:val="18"/>
              </w:rPr>
            </w:pPr>
          </w:p>
        </w:tc>
        <w:tc>
          <w:tcPr>
            <w:tcW w:w="1322" w:type="dxa"/>
            <w:tcBorders>
              <w:top w:val="nil"/>
              <w:left w:val="single" w:sz="4" w:space="0" w:color="auto"/>
              <w:bottom w:val="nil"/>
              <w:right w:val="nil"/>
            </w:tcBorders>
            <w:shd w:val="clear" w:color="auto" w:fill="auto"/>
            <w:noWrap/>
            <w:vAlign w:val="center"/>
            <w:hideMark/>
          </w:tcPr>
          <w:p w14:paraId="4840DF94"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c>
          <w:tcPr>
            <w:tcW w:w="1335" w:type="dxa"/>
            <w:tcBorders>
              <w:top w:val="nil"/>
              <w:left w:val="nil"/>
              <w:bottom w:val="nil"/>
              <w:right w:val="single" w:sz="8" w:space="0" w:color="auto"/>
            </w:tcBorders>
            <w:shd w:val="clear" w:color="auto" w:fill="auto"/>
            <w:noWrap/>
            <w:vAlign w:val="center"/>
            <w:hideMark/>
          </w:tcPr>
          <w:p w14:paraId="7BCE117F" w14:textId="77777777" w:rsidR="00C446A6" w:rsidRDefault="00C446A6">
            <w:pPr>
              <w:jc w:val="center"/>
              <w:rPr>
                <w:rFonts w:ascii="Arial" w:hAnsi="Arial" w:cs="Arial"/>
                <w:color w:val="000000"/>
                <w:sz w:val="18"/>
                <w:szCs w:val="18"/>
              </w:rPr>
            </w:pPr>
            <w:r>
              <w:rPr>
                <w:rFonts w:ascii="Arial" w:hAnsi="Arial" w:cs="Arial"/>
                <w:color w:val="000000"/>
                <w:sz w:val="18"/>
                <w:szCs w:val="18"/>
              </w:rPr>
              <w:t> </w:t>
            </w:r>
          </w:p>
        </w:tc>
      </w:tr>
      <w:tr w:rsidR="00C446A6" w14:paraId="67B2C1F9"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625D84" w14:textId="77777777" w:rsidR="00C446A6" w:rsidRDefault="00C446A6">
            <w:pPr>
              <w:jc w:val="center"/>
              <w:rPr>
                <w:rFonts w:ascii="Arial" w:hAnsi="Arial" w:cs="Arial"/>
                <w:b/>
                <w:bCs/>
                <w:color w:val="000000"/>
                <w:sz w:val="18"/>
                <w:szCs w:val="18"/>
              </w:rPr>
            </w:pPr>
            <w:r>
              <w:rPr>
                <w:rFonts w:ascii="Arial" w:hAnsi="Arial" w:cs="Arial"/>
                <w:b/>
                <w:bCs/>
                <w:color w:val="000000"/>
                <w:sz w:val="18"/>
                <w:szCs w:val="18"/>
              </w:rPr>
              <w:t>Overall</w:t>
            </w:r>
          </w:p>
        </w:tc>
        <w:tc>
          <w:tcPr>
            <w:tcW w:w="999" w:type="dxa"/>
            <w:tcBorders>
              <w:top w:val="single" w:sz="8" w:space="0" w:color="auto"/>
              <w:left w:val="nil"/>
              <w:bottom w:val="nil"/>
              <w:right w:val="nil"/>
            </w:tcBorders>
            <w:shd w:val="clear" w:color="auto" w:fill="auto"/>
            <w:noWrap/>
            <w:vAlign w:val="center"/>
            <w:hideMark/>
          </w:tcPr>
          <w:p w14:paraId="6AAA5B48" w14:textId="77777777" w:rsidR="00C446A6" w:rsidRDefault="00C446A6">
            <w:pPr>
              <w:jc w:val="center"/>
              <w:rPr>
                <w:rFonts w:ascii="Arial" w:hAnsi="Arial" w:cs="Arial"/>
                <w:color w:val="000000"/>
                <w:sz w:val="18"/>
                <w:szCs w:val="18"/>
              </w:rPr>
            </w:pPr>
            <w:r>
              <w:rPr>
                <w:rFonts w:ascii="Arial" w:hAnsi="Arial" w:cs="Arial"/>
                <w:color w:val="000000"/>
                <w:sz w:val="18"/>
                <w:szCs w:val="18"/>
              </w:rPr>
              <w:t>0.01%</w:t>
            </w:r>
          </w:p>
        </w:tc>
        <w:tc>
          <w:tcPr>
            <w:tcW w:w="999" w:type="dxa"/>
            <w:tcBorders>
              <w:top w:val="single" w:sz="8" w:space="0" w:color="auto"/>
              <w:left w:val="nil"/>
              <w:bottom w:val="nil"/>
              <w:right w:val="nil"/>
            </w:tcBorders>
            <w:shd w:val="clear" w:color="auto" w:fill="auto"/>
            <w:noWrap/>
            <w:vAlign w:val="center"/>
            <w:hideMark/>
          </w:tcPr>
          <w:p w14:paraId="247CBA31" w14:textId="77777777" w:rsidR="00C446A6" w:rsidRDefault="00C446A6">
            <w:pPr>
              <w:jc w:val="center"/>
              <w:rPr>
                <w:rFonts w:ascii="Arial" w:hAnsi="Arial" w:cs="Arial"/>
                <w:color w:val="000000"/>
                <w:sz w:val="18"/>
                <w:szCs w:val="18"/>
              </w:rPr>
            </w:pPr>
            <w:r>
              <w:rPr>
                <w:rFonts w:ascii="Arial" w:hAnsi="Arial" w:cs="Arial"/>
                <w:color w:val="000000"/>
                <w:sz w:val="18"/>
                <w:szCs w:val="18"/>
              </w:rPr>
              <w:t>-0.19%</w:t>
            </w:r>
          </w:p>
        </w:tc>
        <w:tc>
          <w:tcPr>
            <w:tcW w:w="998" w:type="dxa"/>
            <w:tcBorders>
              <w:top w:val="single" w:sz="8" w:space="0" w:color="auto"/>
              <w:left w:val="nil"/>
              <w:bottom w:val="nil"/>
              <w:right w:val="single" w:sz="4" w:space="0" w:color="auto"/>
            </w:tcBorders>
            <w:shd w:val="clear" w:color="auto" w:fill="auto"/>
            <w:noWrap/>
            <w:vAlign w:val="center"/>
            <w:hideMark/>
          </w:tcPr>
          <w:p w14:paraId="5FFFA5E4" w14:textId="77777777" w:rsidR="00C446A6" w:rsidRDefault="00C446A6">
            <w:pPr>
              <w:jc w:val="center"/>
              <w:rPr>
                <w:rFonts w:ascii="Arial" w:hAnsi="Arial" w:cs="Arial"/>
                <w:color w:val="000000"/>
                <w:sz w:val="18"/>
                <w:szCs w:val="18"/>
              </w:rPr>
            </w:pPr>
            <w:r>
              <w:rPr>
                <w:rFonts w:ascii="Arial" w:hAnsi="Arial" w:cs="Arial"/>
                <w:color w:val="000000"/>
                <w:sz w:val="18"/>
                <w:szCs w:val="18"/>
              </w:rPr>
              <w:t>-0.09%</w:t>
            </w:r>
          </w:p>
        </w:tc>
        <w:tc>
          <w:tcPr>
            <w:tcW w:w="817" w:type="dxa"/>
            <w:tcBorders>
              <w:top w:val="single" w:sz="8" w:space="0" w:color="auto"/>
              <w:left w:val="nil"/>
              <w:bottom w:val="nil"/>
              <w:right w:val="nil"/>
            </w:tcBorders>
            <w:shd w:val="clear" w:color="auto" w:fill="auto"/>
            <w:noWrap/>
            <w:vAlign w:val="center"/>
            <w:hideMark/>
          </w:tcPr>
          <w:p w14:paraId="6D8C0F97" w14:textId="77777777" w:rsidR="00C446A6" w:rsidRDefault="00C446A6">
            <w:pPr>
              <w:jc w:val="center"/>
              <w:rPr>
                <w:rFonts w:ascii="Arial" w:hAnsi="Arial" w:cs="Arial"/>
                <w:color w:val="000000"/>
                <w:sz w:val="18"/>
                <w:szCs w:val="18"/>
              </w:rPr>
            </w:pPr>
            <w:r>
              <w:rPr>
                <w:rFonts w:ascii="Arial" w:hAnsi="Arial" w:cs="Arial"/>
                <w:color w:val="000000"/>
                <w:sz w:val="18"/>
                <w:szCs w:val="18"/>
              </w:rPr>
              <w:t>97.8%</w:t>
            </w:r>
          </w:p>
        </w:tc>
        <w:tc>
          <w:tcPr>
            <w:tcW w:w="830" w:type="dxa"/>
            <w:tcBorders>
              <w:top w:val="single" w:sz="8" w:space="0" w:color="auto"/>
              <w:left w:val="nil"/>
              <w:bottom w:val="nil"/>
              <w:right w:val="nil"/>
            </w:tcBorders>
            <w:shd w:val="clear" w:color="auto" w:fill="auto"/>
            <w:noWrap/>
            <w:vAlign w:val="center"/>
            <w:hideMark/>
          </w:tcPr>
          <w:p w14:paraId="313F060C" w14:textId="77777777" w:rsidR="00C446A6" w:rsidRDefault="00C446A6">
            <w:pPr>
              <w:jc w:val="center"/>
              <w:rPr>
                <w:rFonts w:ascii="Arial" w:hAnsi="Arial" w:cs="Arial"/>
                <w:color w:val="000000"/>
                <w:sz w:val="18"/>
                <w:szCs w:val="18"/>
              </w:rPr>
            </w:pPr>
            <w:r>
              <w:rPr>
                <w:rFonts w:ascii="Arial" w:hAnsi="Arial" w:cs="Arial"/>
                <w:color w:val="000000"/>
                <w:sz w:val="18"/>
                <w:szCs w:val="18"/>
              </w:rPr>
              <w:t>94.4%</w:t>
            </w:r>
          </w:p>
        </w:tc>
        <w:tc>
          <w:tcPr>
            <w:tcW w:w="1322" w:type="dxa"/>
            <w:tcBorders>
              <w:top w:val="single" w:sz="8" w:space="0" w:color="auto"/>
              <w:left w:val="single" w:sz="4" w:space="0" w:color="auto"/>
              <w:bottom w:val="single" w:sz="8" w:space="0" w:color="auto"/>
              <w:right w:val="nil"/>
            </w:tcBorders>
            <w:shd w:val="clear" w:color="auto" w:fill="auto"/>
            <w:noWrap/>
            <w:vAlign w:val="center"/>
            <w:hideMark/>
          </w:tcPr>
          <w:p w14:paraId="59D7CD4E" w14:textId="77777777" w:rsidR="00C446A6" w:rsidRDefault="00C446A6">
            <w:pPr>
              <w:jc w:val="center"/>
              <w:rPr>
                <w:rFonts w:ascii="Arial" w:hAnsi="Arial" w:cs="Arial"/>
                <w:color w:val="000000"/>
                <w:sz w:val="18"/>
                <w:szCs w:val="18"/>
              </w:rPr>
            </w:pPr>
            <w:r>
              <w:rPr>
                <w:rFonts w:ascii="Arial" w:hAnsi="Arial" w:cs="Arial"/>
                <w:color w:val="000000"/>
                <w:sz w:val="18"/>
                <w:szCs w:val="18"/>
              </w:rPr>
              <w:t>100.2%</w:t>
            </w:r>
          </w:p>
        </w:tc>
        <w:tc>
          <w:tcPr>
            <w:tcW w:w="1335" w:type="dxa"/>
            <w:tcBorders>
              <w:top w:val="single" w:sz="8" w:space="0" w:color="auto"/>
              <w:left w:val="nil"/>
              <w:bottom w:val="single" w:sz="8" w:space="0" w:color="auto"/>
              <w:right w:val="single" w:sz="8" w:space="0" w:color="auto"/>
            </w:tcBorders>
            <w:shd w:val="clear" w:color="auto" w:fill="auto"/>
            <w:noWrap/>
            <w:vAlign w:val="center"/>
            <w:hideMark/>
          </w:tcPr>
          <w:p w14:paraId="46EC0619" w14:textId="77777777" w:rsidR="00C446A6" w:rsidRDefault="00C446A6">
            <w:pPr>
              <w:jc w:val="center"/>
              <w:rPr>
                <w:rFonts w:ascii="Arial" w:hAnsi="Arial" w:cs="Arial"/>
                <w:color w:val="000000"/>
                <w:sz w:val="18"/>
                <w:szCs w:val="18"/>
              </w:rPr>
            </w:pPr>
            <w:r>
              <w:rPr>
                <w:rFonts w:ascii="Arial" w:hAnsi="Arial" w:cs="Arial"/>
                <w:color w:val="000000"/>
                <w:sz w:val="18"/>
                <w:szCs w:val="18"/>
              </w:rPr>
              <w:t>101.2%</w:t>
            </w:r>
          </w:p>
        </w:tc>
      </w:tr>
      <w:tr w:rsidR="00C446A6" w14:paraId="00FEDE9D" w14:textId="77777777" w:rsidTr="00C446A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C865F1" w14:textId="77777777" w:rsidR="00C446A6" w:rsidRDefault="00C446A6">
            <w:pPr>
              <w:jc w:val="center"/>
              <w:rPr>
                <w:rFonts w:ascii="Arial" w:hAnsi="Arial" w:cs="Arial"/>
                <w:color w:val="000000"/>
                <w:sz w:val="18"/>
                <w:szCs w:val="18"/>
              </w:rPr>
            </w:pPr>
            <w:r>
              <w:rPr>
                <w:rFonts w:ascii="Arial" w:hAnsi="Arial" w:cs="Arial"/>
                <w:color w:val="000000"/>
                <w:sz w:val="18"/>
                <w:szCs w:val="18"/>
              </w:rPr>
              <w:t>Class D</w:t>
            </w:r>
          </w:p>
        </w:tc>
        <w:tc>
          <w:tcPr>
            <w:tcW w:w="999" w:type="dxa"/>
            <w:tcBorders>
              <w:top w:val="single" w:sz="8" w:space="0" w:color="auto"/>
              <w:left w:val="nil"/>
              <w:bottom w:val="nil"/>
              <w:right w:val="nil"/>
            </w:tcBorders>
            <w:shd w:val="clear" w:color="auto" w:fill="auto"/>
            <w:noWrap/>
            <w:vAlign w:val="center"/>
            <w:hideMark/>
          </w:tcPr>
          <w:p w14:paraId="55FBAB63" w14:textId="77777777" w:rsidR="00C446A6" w:rsidRDefault="00C446A6">
            <w:pPr>
              <w:jc w:val="center"/>
              <w:rPr>
                <w:rFonts w:ascii="Arial" w:hAnsi="Arial" w:cs="Arial"/>
                <w:color w:val="000000"/>
                <w:sz w:val="18"/>
                <w:szCs w:val="18"/>
              </w:rPr>
            </w:pPr>
            <w:r>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32EAD0D4" w14:textId="77777777" w:rsidR="00C446A6" w:rsidRDefault="00C446A6">
            <w:pPr>
              <w:jc w:val="center"/>
              <w:rPr>
                <w:rFonts w:ascii="Arial" w:hAnsi="Arial" w:cs="Arial"/>
                <w:color w:val="000000"/>
                <w:sz w:val="18"/>
                <w:szCs w:val="18"/>
              </w:rPr>
            </w:pPr>
            <w:r>
              <w:rPr>
                <w:rFonts w:ascii="Arial" w:hAnsi="Arial" w:cs="Arial"/>
                <w:color w:val="000000"/>
                <w:sz w:val="18"/>
                <w:szCs w:val="18"/>
              </w:rPr>
              <w:t>-0.31%</w:t>
            </w:r>
          </w:p>
        </w:tc>
        <w:tc>
          <w:tcPr>
            <w:tcW w:w="998" w:type="dxa"/>
            <w:tcBorders>
              <w:top w:val="single" w:sz="8" w:space="0" w:color="auto"/>
              <w:left w:val="nil"/>
              <w:bottom w:val="nil"/>
              <w:right w:val="single" w:sz="4" w:space="0" w:color="auto"/>
            </w:tcBorders>
            <w:shd w:val="clear" w:color="auto" w:fill="auto"/>
            <w:noWrap/>
            <w:vAlign w:val="center"/>
            <w:hideMark/>
          </w:tcPr>
          <w:p w14:paraId="755A2303" w14:textId="77777777" w:rsidR="00C446A6" w:rsidRDefault="00C446A6">
            <w:pPr>
              <w:jc w:val="center"/>
              <w:rPr>
                <w:rFonts w:ascii="Arial" w:hAnsi="Arial" w:cs="Arial"/>
                <w:color w:val="000000"/>
                <w:sz w:val="18"/>
                <w:szCs w:val="18"/>
              </w:rPr>
            </w:pPr>
            <w:r>
              <w:rPr>
                <w:rFonts w:ascii="Arial" w:hAnsi="Arial" w:cs="Arial"/>
                <w:color w:val="000000"/>
                <w:sz w:val="18"/>
                <w:szCs w:val="18"/>
              </w:rPr>
              <w:t>-0.15%</w:t>
            </w:r>
          </w:p>
        </w:tc>
        <w:tc>
          <w:tcPr>
            <w:tcW w:w="817" w:type="dxa"/>
            <w:tcBorders>
              <w:top w:val="single" w:sz="8" w:space="0" w:color="auto"/>
              <w:left w:val="nil"/>
              <w:bottom w:val="nil"/>
              <w:right w:val="nil"/>
            </w:tcBorders>
            <w:shd w:val="clear" w:color="auto" w:fill="auto"/>
            <w:noWrap/>
            <w:vAlign w:val="center"/>
            <w:hideMark/>
          </w:tcPr>
          <w:p w14:paraId="1DFE2DAB" w14:textId="77777777" w:rsidR="00C446A6" w:rsidRDefault="00C446A6">
            <w:pPr>
              <w:jc w:val="center"/>
              <w:rPr>
                <w:rFonts w:ascii="Arial" w:hAnsi="Arial" w:cs="Arial"/>
                <w:color w:val="000000"/>
                <w:sz w:val="18"/>
                <w:szCs w:val="18"/>
              </w:rPr>
            </w:pPr>
            <w:r>
              <w:rPr>
                <w:rFonts w:ascii="Arial" w:hAnsi="Arial" w:cs="Arial"/>
                <w:color w:val="000000"/>
                <w:sz w:val="18"/>
                <w:szCs w:val="18"/>
              </w:rPr>
              <w:t>98.5%</w:t>
            </w:r>
          </w:p>
        </w:tc>
        <w:tc>
          <w:tcPr>
            <w:tcW w:w="830" w:type="dxa"/>
            <w:tcBorders>
              <w:top w:val="single" w:sz="8" w:space="0" w:color="auto"/>
              <w:left w:val="nil"/>
              <w:bottom w:val="nil"/>
              <w:right w:val="nil"/>
            </w:tcBorders>
            <w:shd w:val="clear" w:color="auto" w:fill="auto"/>
            <w:noWrap/>
            <w:vAlign w:val="center"/>
            <w:hideMark/>
          </w:tcPr>
          <w:p w14:paraId="3B2AAB19" w14:textId="77777777" w:rsidR="00C446A6" w:rsidRDefault="00C446A6">
            <w:pPr>
              <w:jc w:val="center"/>
              <w:rPr>
                <w:rFonts w:ascii="Arial" w:hAnsi="Arial" w:cs="Arial"/>
                <w:color w:val="000000"/>
                <w:sz w:val="18"/>
                <w:szCs w:val="18"/>
              </w:rPr>
            </w:pPr>
            <w:r>
              <w:rPr>
                <w:rFonts w:ascii="Arial" w:hAnsi="Arial" w:cs="Arial"/>
                <w:color w:val="000000"/>
                <w:sz w:val="18"/>
                <w:szCs w:val="18"/>
              </w:rPr>
              <w:t>101.0%</w:t>
            </w:r>
          </w:p>
        </w:tc>
        <w:tc>
          <w:tcPr>
            <w:tcW w:w="1322" w:type="dxa"/>
            <w:tcBorders>
              <w:top w:val="nil"/>
              <w:left w:val="single" w:sz="4" w:space="0" w:color="auto"/>
              <w:bottom w:val="nil"/>
              <w:right w:val="nil"/>
            </w:tcBorders>
            <w:shd w:val="clear" w:color="auto" w:fill="auto"/>
            <w:noWrap/>
            <w:vAlign w:val="center"/>
            <w:hideMark/>
          </w:tcPr>
          <w:p w14:paraId="6EF2BDD6"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7169C030" w14:textId="77777777" w:rsidR="00C446A6" w:rsidRDefault="00C446A6">
            <w:pPr>
              <w:jc w:val="center"/>
              <w:rPr>
                <w:rFonts w:ascii="Arial" w:hAnsi="Arial" w:cs="Arial"/>
                <w:color w:val="000000"/>
                <w:sz w:val="18"/>
                <w:szCs w:val="18"/>
              </w:rPr>
            </w:pPr>
            <w:r>
              <w:rPr>
                <w:rFonts w:ascii="Arial" w:hAnsi="Arial" w:cs="Arial"/>
                <w:color w:val="000000"/>
                <w:sz w:val="18"/>
                <w:szCs w:val="18"/>
              </w:rPr>
              <w:t>99.9%</w:t>
            </w:r>
          </w:p>
        </w:tc>
      </w:tr>
      <w:tr w:rsidR="00C446A6" w14:paraId="2D14F852" w14:textId="77777777" w:rsidTr="00C446A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AED32C" w14:textId="77777777" w:rsidR="00C446A6" w:rsidRDefault="00C446A6">
            <w:pPr>
              <w:jc w:val="center"/>
              <w:rPr>
                <w:rFonts w:ascii="Arial" w:hAnsi="Arial" w:cs="Arial"/>
                <w:color w:val="000000"/>
                <w:sz w:val="18"/>
                <w:szCs w:val="18"/>
              </w:rPr>
            </w:pPr>
            <w:r>
              <w:rPr>
                <w:rFonts w:ascii="Arial" w:hAnsi="Arial" w:cs="Arial"/>
                <w:color w:val="000000"/>
                <w:sz w:val="18"/>
                <w:szCs w:val="18"/>
              </w:rPr>
              <w:t>Class F</w:t>
            </w:r>
          </w:p>
        </w:tc>
        <w:tc>
          <w:tcPr>
            <w:tcW w:w="999" w:type="dxa"/>
            <w:tcBorders>
              <w:top w:val="nil"/>
              <w:left w:val="nil"/>
              <w:bottom w:val="nil"/>
              <w:right w:val="nil"/>
            </w:tcBorders>
            <w:shd w:val="clear" w:color="auto" w:fill="auto"/>
            <w:noWrap/>
            <w:vAlign w:val="center"/>
            <w:hideMark/>
          </w:tcPr>
          <w:p w14:paraId="69E82A48" w14:textId="77777777" w:rsidR="00C446A6" w:rsidRDefault="00C446A6">
            <w:pPr>
              <w:jc w:val="center"/>
              <w:rPr>
                <w:rFonts w:ascii="Arial" w:hAnsi="Arial" w:cs="Arial"/>
                <w:color w:val="000000"/>
                <w:sz w:val="18"/>
                <w:szCs w:val="18"/>
              </w:rPr>
            </w:pPr>
            <w:r>
              <w:rPr>
                <w:rFonts w:ascii="Arial" w:hAnsi="Arial" w:cs="Arial"/>
                <w:color w:val="000000"/>
                <w:sz w:val="18"/>
                <w:szCs w:val="18"/>
              </w:rPr>
              <w:t>0.03%</w:t>
            </w:r>
          </w:p>
        </w:tc>
        <w:tc>
          <w:tcPr>
            <w:tcW w:w="999" w:type="dxa"/>
            <w:tcBorders>
              <w:top w:val="nil"/>
              <w:left w:val="nil"/>
              <w:bottom w:val="nil"/>
              <w:right w:val="nil"/>
            </w:tcBorders>
            <w:shd w:val="clear" w:color="auto" w:fill="auto"/>
            <w:noWrap/>
            <w:vAlign w:val="center"/>
            <w:hideMark/>
          </w:tcPr>
          <w:p w14:paraId="0AAAF5A9" w14:textId="77777777" w:rsidR="00C446A6" w:rsidRDefault="00C446A6">
            <w:pPr>
              <w:jc w:val="center"/>
              <w:rPr>
                <w:rFonts w:ascii="Arial" w:hAnsi="Arial" w:cs="Arial"/>
                <w:color w:val="000000"/>
                <w:sz w:val="18"/>
                <w:szCs w:val="18"/>
              </w:rPr>
            </w:pPr>
            <w:r>
              <w:rPr>
                <w:rFonts w:ascii="Arial" w:hAnsi="Arial" w:cs="Arial"/>
                <w:color w:val="000000"/>
                <w:sz w:val="18"/>
                <w:szCs w:val="18"/>
              </w:rPr>
              <w:t>-0.17%</w:t>
            </w:r>
          </w:p>
        </w:tc>
        <w:tc>
          <w:tcPr>
            <w:tcW w:w="998" w:type="dxa"/>
            <w:tcBorders>
              <w:top w:val="nil"/>
              <w:left w:val="nil"/>
              <w:bottom w:val="nil"/>
              <w:right w:val="single" w:sz="4" w:space="0" w:color="auto"/>
            </w:tcBorders>
            <w:shd w:val="clear" w:color="auto" w:fill="auto"/>
            <w:noWrap/>
            <w:vAlign w:val="center"/>
            <w:hideMark/>
          </w:tcPr>
          <w:p w14:paraId="5B9EFE47" w14:textId="77777777" w:rsidR="00C446A6" w:rsidRDefault="00C446A6">
            <w:pPr>
              <w:jc w:val="center"/>
              <w:rPr>
                <w:rFonts w:ascii="Arial" w:hAnsi="Arial" w:cs="Arial"/>
                <w:color w:val="000000"/>
                <w:sz w:val="18"/>
                <w:szCs w:val="18"/>
              </w:rPr>
            </w:pPr>
            <w:r>
              <w:rPr>
                <w:rFonts w:ascii="Arial" w:hAnsi="Arial" w:cs="Arial"/>
                <w:color w:val="000000"/>
                <w:sz w:val="18"/>
                <w:szCs w:val="18"/>
              </w:rPr>
              <w:t>-0.06%</w:t>
            </w:r>
          </w:p>
        </w:tc>
        <w:tc>
          <w:tcPr>
            <w:tcW w:w="817" w:type="dxa"/>
            <w:tcBorders>
              <w:top w:val="nil"/>
              <w:left w:val="nil"/>
              <w:bottom w:val="nil"/>
              <w:right w:val="nil"/>
            </w:tcBorders>
            <w:shd w:val="clear" w:color="auto" w:fill="auto"/>
            <w:noWrap/>
            <w:vAlign w:val="center"/>
            <w:hideMark/>
          </w:tcPr>
          <w:p w14:paraId="7D8DD83C" w14:textId="77777777" w:rsidR="00C446A6" w:rsidRDefault="00C446A6">
            <w:pPr>
              <w:jc w:val="center"/>
              <w:rPr>
                <w:rFonts w:ascii="Arial" w:hAnsi="Arial" w:cs="Arial"/>
                <w:color w:val="000000"/>
                <w:sz w:val="18"/>
                <w:szCs w:val="18"/>
              </w:rPr>
            </w:pPr>
            <w:r>
              <w:rPr>
                <w:rFonts w:ascii="Arial" w:hAnsi="Arial" w:cs="Arial"/>
                <w:color w:val="000000"/>
                <w:sz w:val="18"/>
                <w:szCs w:val="18"/>
              </w:rPr>
              <w:t>99.3%</w:t>
            </w:r>
          </w:p>
        </w:tc>
        <w:tc>
          <w:tcPr>
            <w:tcW w:w="830" w:type="dxa"/>
            <w:tcBorders>
              <w:top w:val="nil"/>
              <w:left w:val="nil"/>
              <w:bottom w:val="nil"/>
              <w:right w:val="nil"/>
            </w:tcBorders>
            <w:shd w:val="clear" w:color="auto" w:fill="auto"/>
            <w:noWrap/>
            <w:vAlign w:val="center"/>
            <w:hideMark/>
          </w:tcPr>
          <w:p w14:paraId="45AD6BF5" w14:textId="77777777" w:rsidR="00C446A6" w:rsidRDefault="00C446A6">
            <w:pPr>
              <w:jc w:val="center"/>
              <w:rPr>
                <w:rFonts w:ascii="Arial" w:hAnsi="Arial" w:cs="Arial"/>
                <w:color w:val="000000"/>
                <w:sz w:val="18"/>
                <w:szCs w:val="18"/>
              </w:rPr>
            </w:pPr>
            <w:r>
              <w:rPr>
                <w:rFonts w:ascii="Arial" w:hAnsi="Arial" w:cs="Arial"/>
                <w:color w:val="000000"/>
                <w:sz w:val="18"/>
                <w:szCs w:val="18"/>
              </w:rPr>
              <w:t>99.8%</w:t>
            </w:r>
          </w:p>
        </w:tc>
        <w:tc>
          <w:tcPr>
            <w:tcW w:w="1322" w:type="dxa"/>
            <w:tcBorders>
              <w:top w:val="nil"/>
              <w:left w:val="single" w:sz="4" w:space="0" w:color="auto"/>
              <w:bottom w:val="nil"/>
              <w:right w:val="nil"/>
            </w:tcBorders>
            <w:shd w:val="clear" w:color="auto" w:fill="auto"/>
            <w:noWrap/>
            <w:vAlign w:val="center"/>
            <w:hideMark/>
          </w:tcPr>
          <w:p w14:paraId="29138114" w14:textId="77777777" w:rsidR="00C446A6" w:rsidRDefault="00C446A6">
            <w:pPr>
              <w:jc w:val="center"/>
              <w:rPr>
                <w:rFonts w:ascii="Arial" w:hAnsi="Arial" w:cs="Arial"/>
                <w:color w:val="000000"/>
                <w:sz w:val="18"/>
                <w:szCs w:val="18"/>
              </w:rPr>
            </w:pPr>
            <w:r>
              <w:rPr>
                <w:rFonts w:ascii="Arial" w:hAnsi="Arial" w:cs="Arial"/>
                <w:color w:val="000000"/>
                <w:sz w:val="18"/>
                <w:szCs w:val="18"/>
              </w:rPr>
              <w:t>100.3%</w:t>
            </w:r>
          </w:p>
        </w:tc>
        <w:tc>
          <w:tcPr>
            <w:tcW w:w="1335" w:type="dxa"/>
            <w:tcBorders>
              <w:top w:val="nil"/>
              <w:left w:val="nil"/>
              <w:bottom w:val="nil"/>
              <w:right w:val="single" w:sz="8" w:space="0" w:color="auto"/>
            </w:tcBorders>
            <w:shd w:val="clear" w:color="auto" w:fill="auto"/>
            <w:noWrap/>
            <w:vAlign w:val="center"/>
            <w:hideMark/>
          </w:tcPr>
          <w:p w14:paraId="6C4BA565" w14:textId="77777777" w:rsidR="00C446A6" w:rsidRDefault="00C446A6">
            <w:pPr>
              <w:jc w:val="center"/>
              <w:rPr>
                <w:rFonts w:ascii="Arial" w:hAnsi="Arial" w:cs="Arial"/>
                <w:color w:val="000000"/>
                <w:sz w:val="18"/>
                <w:szCs w:val="18"/>
              </w:rPr>
            </w:pPr>
            <w:r>
              <w:rPr>
                <w:rFonts w:ascii="Arial" w:hAnsi="Arial" w:cs="Arial"/>
                <w:color w:val="000000"/>
                <w:sz w:val="18"/>
                <w:szCs w:val="18"/>
              </w:rPr>
              <w:t>100.0%</w:t>
            </w:r>
          </w:p>
        </w:tc>
      </w:tr>
      <w:tr w:rsidR="00C446A6" w14:paraId="7DD2E95C" w14:textId="77777777" w:rsidTr="00C446A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873988" w14:textId="77777777" w:rsidR="00C446A6" w:rsidRDefault="00C446A6">
            <w:pPr>
              <w:jc w:val="center"/>
              <w:rPr>
                <w:rFonts w:ascii="Arial" w:hAnsi="Arial" w:cs="Arial"/>
                <w:color w:val="000000"/>
                <w:sz w:val="18"/>
                <w:szCs w:val="18"/>
              </w:rPr>
            </w:pPr>
            <w:r>
              <w:rPr>
                <w:rFonts w:ascii="Arial" w:hAnsi="Arial" w:cs="Arial"/>
                <w:color w:val="000000"/>
                <w:sz w:val="18"/>
                <w:szCs w:val="18"/>
              </w:rPr>
              <w:t>Class TGM</w:t>
            </w:r>
          </w:p>
        </w:tc>
        <w:tc>
          <w:tcPr>
            <w:tcW w:w="999" w:type="dxa"/>
            <w:tcBorders>
              <w:top w:val="nil"/>
              <w:left w:val="nil"/>
              <w:bottom w:val="single" w:sz="8" w:space="0" w:color="auto"/>
              <w:right w:val="nil"/>
            </w:tcBorders>
            <w:shd w:val="clear" w:color="auto" w:fill="auto"/>
            <w:noWrap/>
            <w:vAlign w:val="center"/>
            <w:hideMark/>
          </w:tcPr>
          <w:p w14:paraId="16B6E4C9"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999" w:type="dxa"/>
            <w:tcBorders>
              <w:top w:val="nil"/>
              <w:left w:val="nil"/>
              <w:bottom w:val="single" w:sz="8" w:space="0" w:color="auto"/>
              <w:right w:val="nil"/>
            </w:tcBorders>
            <w:shd w:val="clear" w:color="auto" w:fill="auto"/>
            <w:noWrap/>
            <w:vAlign w:val="center"/>
            <w:hideMark/>
          </w:tcPr>
          <w:p w14:paraId="0173A659"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998" w:type="dxa"/>
            <w:tcBorders>
              <w:top w:val="nil"/>
              <w:left w:val="nil"/>
              <w:bottom w:val="single" w:sz="8" w:space="0" w:color="auto"/>
              <w:right w:val="single" w:sz="4" w:space="0" w:color="auto"/>
            </w:tcBorders>
            <w:shd w:val="clear" w:color="auto" w:fill="auto"/>
            <w:noWrap/>
            <w:vAlign w:val="center"/>
            <w:hideMark/>
          </w:tcPr>
          <w:p w14:paraId="4CC16811" w14:textId="77777777" w:rsidR="00C446A6" w:rsidRDefault="00C446A6">
            <w:pPr>
              <w:jc w:val="center"/>
              <w:rPr>
                <w:rFonts w:ascii="Arial" w:hAnsi="Arial" w:cs="Arial"/>
                <w:color w:val="000000"/>
                <w:sz w:val="18"/>
                <w:szCs w:val="18"/>
              </w:rPr>
            </w:pPr>
            <w:r>
              <w:rPr>
                <w:rFonts w:ascii="Arial" w:hAnsi="Arial" w:cs="Arial"/>
                <w:color w:val="000000"/>
                <w:sz w:val="18"/>
                <w:szCs w:val="18"/>
              </w:rPr>
              <w:t>#VALUE!</w:t>
            </w:r>
          </w:p>
        </w:tc>
        <w:tc>
          <w:tcPr>
            <w:tcW w:w="817" w:type="dxa"/>
            <w:tcBorders>
              <w:top w:val="nil"/>
              <w:left w:val="nil"/>
              <w:bottom w:val="single" w:sz="8" w:space="0" w:color="auto"/>
              <w:right w:val="nil"/>
            </w:tcBorders>
            <w:shd w:val="clear" w:color="auto" w:fill="auto"/>
            <w:noWrap/>
            <w:vAlign w:val="center"/>
            <w:hideMark/>
          </w:tcPr>
          <w:p w14:paraId="32C235CF"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830" w:type="dxa"/>
            <w:tcBorders>
              <w:top w:val="nil"/>
              <w:left w:val="nil"/>
              <w:bottom w:val="single" w:sz="8" w:space="0" w:color="auto"/>
              <w:right w:val="nil"/>
            </w:tcBorders>
            <w:shd w:val="clear" w:color="auto" w:fill="auto"/>
            <w:noWrap/>
            <w:vAlign w:val="center"/>
            <w:hideMark/>
          </w:tcPr>
          <w:p w14:paraId="5F971F23"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1322" w:type="dxa"/>
            <w:tcBorders>
              <w:top w:val="nil"/>
              <w:left w:val="single" w:sz="4" w:space="0" w:color="auto"/>
              <w:bottom w:val="single" w:sz="8" w:space="0" w:color="auto"/>
              <w:right w:val="nil"/>
            </w:tcBorders>
            <w:shd w:val="clear" w:color="auto" w:fill="auto"/>
            <w:noWrap/>
            <w:vAlign w:val="center"/>
            <w:hideMark/>
          </w:tcPr>
          <w:p w14:paraId="439272DB"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c>
          <w:tcPr>
            <w:tcW w:w="1335" w:type="dxa"/>
            <w:tcBorders>
              <w:top w:val="nil"/>
              <w:left w:val="nil"/>
              <w:bottom w:val="single" w:sz="8" w:space="0" w:color="auto"/>
              <w:right w:val="single" w:sz="8" w:space="0" w:color="auto"/>
            </w:tcBorders>
            <w:shd w:val="clear" w:color="auto" w:fill="auto"/>
            <w:noWrap/>
            <w:vAlign w:val="center"/>
            <w:hideMark/>
          </w:tcPr>
          <w:p w14:paraId="644D2009" w14:textId="77777777" w:rsidR="00C446A6" w:rsidRDefault="00C446A6">
            <w:pPr>
              <w:jc w:val="center"/>
              <w:rPr>
                <w:rFonts w:ascii="Arial" w:hAnsi="Arial" w:cs="Arial"/>
                <w:color w:val="000000"/>
                <w:sz w:val="18"/>
                <w:szCs w:val="18"/>
              </w:rPr>
            </w:pPr>
            <w:r>
              <w:rPr>
                <w:rFonts w:ascii="Arial" w:hAnsi="Arial" w:cs="Arial"/>
                <w:color w:val="000000"/>
                <w:sz w:val="18"/>
                <w:szCs w:val="18"/>
              </w:rPr>
              <w:t>#DIV/0!</w:t>
            </w:r>
          </w:p>
        </w:tc>
      </w:tr>
    </w:tbl>
    <w:p w14:paraId="437548BD" w14:textId="77777777" w:rsidR="00D108FD" w:rsidRDefault="00D108FD" w:rsidP="00E95729"/>
    <w:p w14:paraId="5A273EDC" w14:textId="36AC0B51" w:rsidR="00D108FD" w:rsidRPr="004D4159" w:rsidRDefault="00D741AF" w:rsidP="00E95729">
      <w:r w:rsidRPr="00D741AF">
        <w:t>The experimental results of LDB are not yet available, as their simulations are still in progress.</w:t>
      </w:r>
    </w:p>
    <w:p w14:paraId="3822C763" w14:textId="5CB64B8C" w:rsidR="00E62D0E" w:rsidRDefault="00E62D0E" w:rsidP="00E62D0E">
      <w:pPr>
        <w:pStyle w:val="Heading1"/>
        <w:rPr>
          <w:lang w:val="en-CA"/>
        </w:rPr>
      </w:pPr>
      <w:r>
        <w:rPr>
          <w:lang w:val="en-CA"/>
        </w:rPr>
        <w:t>Conclusion</w:t>
      </w:r>
    </w:p>
    <w:p w14:paraId="53A591F6" w14:textId="05C9380E" w:rsidR="00E62D0E" w:rsidRPr="00CD57B7" w:rsidRDefault="006A0635" w:rsidP="005E57EE">
      <w:pPr>
        <w:ind w:firstLine="144"/>
      </w:pPr>
      <w:r w:rsidRPr="006A0635">
        <w:t xml:space="preserve">This contribution shows that the BD-Rate of chroma is improved by applying an annealing process to CCALF. We recommend that this proposal be </w:t>
      </w:r>
      <w:r w:rsidR="00CF2FFB">
        <w:t>considered</w:t>
      </w:r>
      <w:r w:rsidRPr="006A0635">
        <w:t xml:space="preserve"> to study in EE2.</w:t>
      </w:r>
    </w:p>
    <w:p w14:paraId="11DD7BA9" w14:textId="397BFF19" w:rsidR="00E62D0E" w:rsidRDefault="00E62D0E" w:rsidP="00E62D0E">
      <w:pPr>
        <w:pStyle w:val="Heading1"/>
        <w:rPr>
          <w:lang w:val="en-CA"/>
        </w:rPr>
      </w:pPr>
      <w:r>
        <w:rPr>
          <w:lang w:val="en-CA"/>
        </w:rPr>
        <w:t>References</w:t>
      </w:r>
    </w:p>
    <w:p w14:paraId="1539A21D" w14:textId="7550E049" w:rsidR="001F2594" w:rsidRPr="00FB542D" w:rsidRDefault="00FB542D" w:rsidP="009234A5">
      <w:pPr>
        <w:pStyle w:val="ListParagraph"/>
        <w:numPr>
          <w:ilvl w:val="0"/>
          <w:numId w:val="13"/>
        </w:numPr>
      </w:pPr>
      <w:bookmarkStart w:id="0" w:name="_Ref180416473"/>
      <w:bookmarkStart w:id="1" w:name="_Ref171064470"/>
      <w:r w:rsidRPr="00940D1E">
        <w:t>“</w:t>
      </w:r>
      <w:r w:rsidR="000A6EFA" w:rsidRPr="00B86E7A">
        <w:rPr>
          <w:bCs/>
          <w:szCs w:val="22"/>
          <w:lang w:val="en-CA"/>
        </w:rPr>
        <w:t>EE2-5.1: Adaptive Mantissa Precision for ALF Coefficients</w:t>
      </w:r>
      <w:r w:rsidRPr="00940D1E">
        <w:t xml:space="preserve">,” V. Shchukin, P. </w:t>
      </w:r>
      <w:proofErr w:type="spellStart"/>
      <w:r w:rsidRPr="00940D1E">
        <w:t>Wennersten</w:t>
      </w:r>
      <w:proofErr w:type="spellEnd"/>
      <w:r w:rsidRPr="00940D1E">
        <w:t xml:space="preserve">, J. </w:t>
      </w:r>
      <w:proofErr w:type="spellStart"/>
      <w:r w:rsidRPr="00940D1E">
        <w:t>Ström</w:t>
      </w:r>
      <w:proofErr w:type="spellEnd"/>
      <w:r w:rsidRPr="00940D1E">
        <w:t xml:space="preserve"> (Ericsson), JVET-A</w:t>
      </w:r>
      <w:r w:rsidR="000A6EFA">
        <w:t>J013</w:t>
      </w:r>
      <w:r w:rsidRPr="00940D1E">
        <w:t>8, 3</w:t>
      </w:r>
      <w:r w:rsidR="000A6EFA">
        <w:t>6</w:t>
      </w:r>
      <w:r w:rsidRPr="00940D1E">
        <w:t xml:space="preserve">th Meeting, </w:t>
      </w:r>
      <w:proofErr w:type="spellStart"/>
      <w:r w:rsidR="000A6EFA">
        <w:t>Kemer</w:t>
      </w:r>
      <w:proofErr w:type="spellEnd"/>
      <w:r w:rsidRPr="00940D1E">
        <w:t xml:space="preserve">, </w:t>
      </w:r>
      <w:r w:rsidR="000A6EFA">
        <w:t>TR</w:t>
      </w:r>
      <w:r w:rsidRPr="00940D1E">
        <w:t>, 1–</w:t>
      </w:r>
      <w:r w:rsidR="000A6EFA">
        <w:t>8</w:t>
      </w:r>
      <w:r w:rsidRPr="00940D1E">
        <w:t xml:space="preserve"> </w:t>
      </w:r>
      <w:r w:rsidR="000A6EFA">
        <w:t>November</w:t>
      </w:r>
      <w:r w:rsidRPr="00940D1E">
        <w:t xml:space="preserve"> 2024.</w:t>
      </w:r>
      <w:bookmarkEnd w:id="0"/>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95C985" w:rsidR="00342FF4" w:rsidRPr="005B217D" w:rsidRDefault="00B60993" w:rsidP="009234A5">
      <w:pPr>
        <w:rPr>
          <w:szCs w:val="22"/>
          <w:lang w:val="en-CA"/>
        </w:rPr>
      </w:pPr>
      <w:r>
        <w:rPr>
          <w:b/>
          <w:szCs w:val="22"/>
        </w:rPr>
        <w:t>Sharp</w:t>
      </w:r>
      <w:r w:rsidRPr="00A01439">
        <w:rPr>
          <w:b/>
          <w:szCs w:val="22"/>
        </w:rPr>
        <w:t xml:space="preserve"> </w:t>
      </w:r>
      <w:r>
        <w:rPr>
          <w:b/>
          <w:szCs w:val="22"/>
        </w:rPr>
        <w:t>Labs of America,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B4372" w14:textId="77777777" w:rsidR="00362690" w:rsidRDefault="00362690">
      <w:r>
        <w:separator/>
      </w:r>
    </w:p>
  </w:endnote>
  <w:endnote w:type="continuationSeparator" w:id="0">
    <w:p w14:paraId="38D4BD07" w14:textId="77777777" w:rsidR="00362690" w:rsidRDefault="0036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HackGen Console NF">
    <w:altName w:val="Yu Gothic"/>
    <w:panose1 w:val="020B0509020203020207"/>
    <w:charset w:val="80"/>
    <w:family w:val="modern"/>
    <w:pitch w:val="fixed"/>
    <w:sig w:usb0="E5000EFF" w:usb1="7ACFFDFF" w:usb2="0600001E" w:usb3="00000000" w:csb0="8012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B77C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070A">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D7041" w14:textId="77777777" w:rsidR="00362690" w:rsidRDefault="00362690">
      <w:r>
        <w:separator/>
      </w:r>
    </w:p>
  </w:footnote>
  <w:footnote w:type="continuationSeparator" w:id="0">
    <w:p w14:paraId="311CA485" w14:textId="77777777" w:rsidR="00362690" w:rsidRDefault="00362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AF6C6FB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5789B"/>
    <w:multiLevelType w:val="hybridMultilevel"/>
    <w:tmpl w:val="5BC8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8048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3051">
    <w:abstractNumId w:val="10"/>
  </w:num>
  <w:num w:numId="3" w16cid:durableId="1499929190">
    <w:abstractNumId w:val="8"/>
  </w:num>
  <w:num w:numId="4" w16cid:durableId="1661543097">
    <w:abstractNumId w:val="6"/>
  </w:num>
  <w:num w:numId="5" w16cid:durableId="1031226770">
    <w:abstractNumId w:val="7"/>
  </w:num>
  <w:num w:numId="6" w16cid:durableId="1162116190">
    <w:abstractNumId w:val="4"/>
  </w:num>
  <w:num w:numId="7" w16cid:durableId="648436784">
    <w:abstractNumId w:val="5"/>
  </w:num>
  <w:num w:numId="8" w16cid:durableId="1813063285">
    <w:abstractNumId w:val="4"/>
  </w:num>
  <w:num w:numId="9" w16cid:durableId="722101046">
    <w:abstractNumId w:val="1"/>
  </w:num>
  <w:num w:numId="10" w16cid:durableId="507599106">
    <w:abstractNumId w:val="3"/>
  </w:num>
  <w:num w:numId="11" w16cid:durableId="868955040">
    <w:abstractNumId w:val="2"/>
  </w:num>
  <w:num w:numId="12" w16cid:durableId="1489399593">
    <w:abstractNumId w:val="9"/>
  </w:num>
  <w:num w:numId="13" w16cid:durableId="16213787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397"/>
    <w:rsid w:val="000308A3"/>
    <w:rsid w:val="000458BC"/>
    <w:rsid w:val="000458BF"/>
    <w:rsid w:val="00045C41"/>
    <w:rsid w:val="00046C03"/>
    <w:rsid w:val="00065039"/>
    <w:rsid w:val="0007614F"/>
    <w:rsid w:val="00081398"/>
    <w:rsid w:val="00084393"/>
    <w:rsid w:val="00094479"/>
    <w:rsid w:val="000962AC"/>
    <w:rsid w:val="000A6EFA"/>
    <w:rsid w:val="000B0C0F"/>
    <w:rsid w:val="000B1C6B"/>
    <w:rsid w:val="000B4FF9"/>
    <w:rsid w:val="000C09AC"/>
    <w:rsid w:val="000C2BAA"/>
    <w:rsid w:val="000D7F28"/>
    <w:rsid w:val="000E00F3"/>
    <w:rsid w:val="000F158C"/>
    <w:rsid w:val="000F2148"/>
    <w:rsid w:val="00102F3D"/>
    <w:rsid w:val="00124E38"/>
    <w:rsid w:val="0012580B"/>
    <w:rsid w:val="0013094A"/>
    <w:rsid w:val="00131F90"/>
    <w:rsid w:val="0013458C"/>
    <w:rsid w:val="0013526E"/>
    <w:rsid w:val="00146152"/>
    <w:rsid w:val="00155526"/>
    <w:rsid w:val="0016191E"/>
    <w:rsid w:val="00163F09"/>
    <w:rsid w:val="00171371"/>
    <w:rsid w:val="00175A24"/>
    <w:rsid w:val="00187E58"/>
    <w:rsid w:val="00196247"/>
    <w:rsid w:val="001A297E"/>
    <w:rsid w:val="001A368E"/>
    <w:rsid w:val="001A37BC"/>
    <w:rsid w:val="001A7329"/>
    <w:rsid w:val="001A792F"/>
    <w:rsid w:val="001B4E28"/>
    <w:rsid w:val="001C3525"/>
    <w:rsid w:val="001C3AFB"/>
    <w:rsid w:val="001D07F0"/>
    <w:rsid w:val="001D1BD2"/>
    <w:rsid w:val="001E0248"/>
    <w:rsid w:val="001E02BE"/>
    <w:rsid w:val="001E3B37"/>
    <w:rsid w:val="001F2594"/>
    <w:rsid w:val="00200B9A"/>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C34"/>
    <w:rsid w:val="00291E36"/>
    <w:rsid w:val="00292257"/>
    <w:rsid w:val="002A54E0"/>
    <w:rsid w:val="002B1595"/>
    <w:rsid w:val="002B191D"/>
    <w:rsid w:val="002B2E83"/>
    <w:rsid w:val="002D0AF6"/>
    <w:rsid w:val="002D0F68"/>
    <w:rsid w:val="002D33BA"/>
    <w:rsid w:val="002F164D"/>
    <w:rsid w:val="003021BC"/>
    <w:rsid w:val="00306206"/>
    <w:rsid w:val="00317D85"/>
    <w:rsid w:val="00327C56"/>
    <w:rsid w:val="003315A1"/>
    <w:rsid w:val="003373EC"/>
    <w:rsid w:val="00342841"/>
    <w:rsid w:val="00342FF4"/>
    <w:rsid w:val="00344E5A"/>
    <w:rsid w:val="00346148"/>
    <w:rsid w:val="00360529"/>
    <w:rsid w:val="00362690"/>
    <w:rsid w:val="003669EA"/>
    <w:rsid w:val="003706CC"/>
    <w:rsid w:val="00377710"/>
    <w:rsid w:val="00392FE3"/>
    <w:rsid w:val="003A2D8E"/>
    <w:rsid w:val="003A7CE6"/>
    <w:rsid w:val="003C20E4"/>
    <w:rsid w:val="003C27EF"/>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C4BBC"/>
    <w:rsid w:val="004D405F"/>
    <w:rsid w:val="004D4159"/>
    <w:rsid w:val="004D7DF2"/>
    <w:rsid w:val="004E4F4F"/>
    <w:rsid w:val="004E6789"/>
    <w:rsid w:val="004F1816"/>
    <w:rsid w:val="004F61E3"/>
    <w:rsid w:val="00502E10"/>
    <w:rsid w:val="0050354E"/>
    <w:rsid w:val="0051015C"/>
    <w:rsid w:val="00514EDE"/>
    <w:rsid w:val="00516CF1"/>
    <w:rsid w:val="00531AE9"/>
    <w:rsid w:val="00536188"/>
    <w:rsid w:val="00550A66"/>
    <w:rsid w:val="00567EC7"/>
    <w:rsid w:val="00570013"/>
    <w:rsid w:val="005753EC"/>
    <w:rsid w:val="005801A2"/>
    <w:rsid w:val="005952A5"/>
    <w:rsid w:val="005A33A1"/>
    <w:rsid w:val="005B217D"/>
    <w:rsid w:val="005C385F"/>
    <w:rsid w:val="005C5D06"/>
    <w:rsid w:val="005C7C26"/>
    <w:rsid w:val="005D4020"/>
    <w:rsid w:val="005E1AC6"/>
    <w:rsid w:val="005E3F2B"/>
    <w:rsid w:val="005E57EE"/>
    <w:rsid w:val="005F6F1B"/>
    <w:rsid w:val="00615995"/>
    <w:rsid w:val="00616155"/>
    <w:rsid w:val="00624B33"/>
    <w:rsid w:val="0063041A"/>
    <w:rsid w:val="00630AA2"/>
    <w:rsid w:val="00631D8B"/>
    <w:rsid w:val="00646707"/>
    <w:rsid w:val="00657F7E"/>
    <w:rsid w:val="00662E58"/>
    <w:rsid w:val="006637F2"/>
    <w:rsid w:val="006642A5"/>
    <w:rsid w:val="00664DCF"/>
    <w:rsid w:val="006867C0"/>
    <w:rsid w:val="006A0635"/>
    <w:rsid w:val="006A0A83"/>
    <w:rsid w:val="006C5D39"/>
    <w:rsid w:val="006D6D9B"/>
    <w:rsid w:val="006E2810"/>
    <w:rsid w:val="006E5417"/>
    <w:rsid w:val="006F0794"/>
    <w:rsid w:val="006F7528"/>
    <w:rsid w:val="007023DE"/>
    <w:rsid w:val="00712F60"/>
    <w:rsid w:val="00720E3B"/>
    <w:rsid w:val="0074393F"/>
    <w:rsid w:val="00745F6B"/>
    <w:rsid w:val="0075175B"/>
    <w:rsid w:val="00753BCD"/>
    <w:rsid w:val="0075585E"/>
    <w:rsid w:val="00770571"/>
    <w:rsid w:val="007768FF"/>
    <w:rsid w:val="007824D3"/>
    <w:rsid w:val="00796EE3"/>
    <w:rsid w:val="007A7D29"/>
    <w:rsid w:val="007B18C2"/>
    <w:rsid w:val="007B4AB8"/>
    <w:rsid w:val="007D1181"/>
    <w:rsid w:val="007E01A3"/>
    <w:rsid w:val="007E19F9"/>
    <w:rsid w:val="007E34C8"/>
    <w:rsid w:val="007F1F8B"/>
    <w:rsid w:val="007F6205"/>
    <w:rsid w:val="007F67A1"/>
    <w:rsid w:val="00811C05"/>
    <w:rsid w:val="008206C8"/>
    <w:rsid w:val="00826196"/>
    <w:rsid w:val="0086070A"/>
    <w:rsid w:val="0086387C"/>
    <w:rsid w:val="00874A6C"/>
    <w:rsid w:val="00876C65"/>
    <w:rsid w:val="00882F72"/>
    <w:rsid w:val="00893DC4"/>
    <w:rsid w:val="008A3570"/>
    <w:rsid w:val="008A4B4C"/>
    <w:rsid w:val="008A6463"/>
    <w:rsid w:val="008A79CB"/>
    <w:rsid w:val="008C239F"/>
    <w:rsid w:val="008E480C"/>
    <w:rsid w:val="00906999"/>
    <w:rsid w:val="00907757"/>
    <w:rsid w:val="0091330D"/>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6ABC"/>
    <w:rsid w:val="009B02A1"/>
    <w:rsid w:val="009B3361"/>
    <w:rsid w:val="009B7F3F"/>
    <w:rsid w:val="009D7CE6"/>
    <w:rsid w:val="009E448E"/>
    <w:rsid w:val="009F496B"/>
    <w:rsid w:val="00A01439"/>
    <w:rsid w:val="00A02E61"/>
    <w:rsid w:val="00A05CFF"/>
    <w:rsid w:val="00A13048"/>
    <w:rsid w:val="00A41195"/>
    <w:rsid w:val="00A46843"/>
    <w:rsid w:val="00A56B97"/>
    <w:rsid w:val="00A6093D"/>
    <w:rsid w:val="00A72017"/>
    <w:rsid w:val="00A767DC"/>
    <w:rsid w:val="00A76A6D"/>
    <w:rsid w:val="00A83253"/>
    <w:rsid w:val="00A94E52"/>
    <w:rsid w:val="00A97BB7"/>
    <w:rsid w:val="00AA6E84"/>
    <w:rsid w:val="00AB1A1C"/>
    <w:rsid w:val="00AD05A8"/>
    <w:rsid w:val="00AE341B"/>
    <w:rsid w:val="00B01905"/>
    <w:rsid w:val="00B07CA7"/>
    <w:rsid w:val="00B1279A"/>
    <w:rsid w:val="00B1318F"/>
    <w:rsid w:val="00B3640F"/>
    <w:rsid w:val="00B4194A"/>
    <w:rsid w:val="00B41F2F"/>
    <w:rsid w:val="00B437E8"/>
    <w:rsid w:val="00B5222E"/>
    <w:rsid w:val="00B53179"/>
    <w:rsid w:val="00B532EA"/>
    <w:rsid w:val="00B57A23"/>
    <w:rsid w:val="00B600CD"/>
    <w:rsid w:val="00B60993"/>
    <w:rsid w:val="00B61C96"/>
    <w:rsid w:val="00B6445C"/>
    <w:rsid w:val="00B73A2A"/>
    <w:rsid w:val="00B75A51"/>
    <w:rsid w:val="00B827C6"/>
    <w:rsid w:val="00B86E7A"/>
    <w:rsid w:val="00B94B06"/>
    <w:rsid w:val="00B94C28"/>
    <w:rsid w:val="00BB773B"/>
    <w:rsid w:val="00BC10BA"/>
    <w:rsid w:val="00BC5AFD"/>
    <w:rsid w:val="00C00DDE"/>
    <w:rsid w:val="00C04F43"/>
    <w:rsid w:val="00C05271"/>
    <w:rsid w:val="00C0609D"/>
    <w:rsid w:val="00C06FE5"/>
    <w:rsid w:val="00C115AB"/>
    <w:rsid w:val="00C13CA3"/>
    <w:rsid w:val="00C175C1"/>
    <w:rsid w:val="00C26CCB"/>
    <w:rsid w:val="00C30249"/>
    <w:rsid w:val="00C3723B"/>
    <w:rsid w:val="00C42466"/>
    <w:rsid w:val="00C446A6"/>
    <w:rsid w:val="00C606C9"/>
    <w:rsid w:val="00C80288"/>
    <w:rsid w:val="00C836F0"/>
    <w:rsid w:val="00C84003"/>
    <w:rsid w:val="00C90650"/>
    <w:rsid w:val="00C97D78"/>
    <w:rsid w:val="00CC2AAE"/>
    <w:rsid w:val="00CC5A42"/>
    <w:rsid w:val="00CD0EAB"/>
    <w:rsid w:val="00CD57B7"/>
    <w:rsid w:val="00CE5E02"/>
    <w:rsid w:val="00CF2FFB"/>
    <w:rsid w:val="00CF34DB"/>
    <w:rsid w:val="00CF3917"/>
    <w:rsid w:val="00CF558F"/>
    <w:rsid w:val="00D010C0"/>
    <w:rsid w:val="00D073E2"/>
    <w:rsid w:val="00D108FD"/>
    <w:rsid w:val="00D1555A"/>
    <w:rsid w:val="00D446EC"/>
    <w:rsid w:val="00D51BF0"/>
    <w:rsid w:val="00D531DB"/>
    <w:rsid w:val="00D55942"/>
    <w:rsid w:val="00D741AF"/>
    <w:rsid w:val="00D807BF"/>
    <w:rsid w:val="00D82FCC"/>
    <w:rsid w:val="00DA17FC"/>
    <w:rsid w:val="00DA7887"/>
    <w:rsid w:val="00DB2C26"/>
    <w:rsid w:val="00DD02F4"/>
    <w:rsid w:val="00DD1A2A"/>
    <w:rsid w:val="00DD6622"/>
    <w:rsid w:val="00DE1C7C"/>
    <w:rsid w:val="00DE6B43"/>
    <w:rsid w:val="00DF3964"/>
    <w:rsid w:val="00E11923"/>
    <w:rsid w:val="00E262D4"/>
    <w:rsid w:val="00E36250"/>
    <w:rsid w:val="00E47F2D"/>
    <w:rsid w:val="00E54511"/>
    <w:rsid w:val="00E60EDC"/>
    <w:rsid w:val="00E61DAC"/>
    <w:rsid w:val="00E62D0E"/>
    <w:rsid w:val="00E72B80"/>
    <w:rsid w:val="00E75FE3"/>
    <w:rsid w:val="00E86C4C"/>
    <w:rsid w:val="00E907A3"/>
    <w:rsid w:val="00E95729"/>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42D"/>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7EE"/>
    <w:rPr>
      <w:rFonts w:eastAsia="Times New Roman"/>
      <w:sz w:val="24"/>
      <w:szCs w:val="24"/>
      <w:lang w:eastAsia="ja-JP"/>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Theme="minorEastAsia"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Theme="minorEastAsia"/>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Theme="minorEastAsia"/>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6ABC"/>
    <w:rPr>
      <w:color w:val="605E5C"/>
      <w:shd w:val="clear" w:color="auto" w:fill="E1DFDD"/>
    </w:rPr>
  </w:style>
  <w:style w:type="paragraph" w:styleId="ListParagraph">
    <w:name w:val="List Paragraph"/>
    <w:basedOn w:val="Normal"/>
    <w:uiPriority w:val="7"/>
    <w:qFormat/>
    <w:rsid w:val="00B131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Theme="minorEastAsia"/>
      <w:sz w:val="22"/>
      <w:szCs w:val="20"/>
      <w:lang w:eastAsia="en-US"/>
    </w:rPr>
  </w:style>
  <w:style w:type="character" w:styleId="PlaceholderText">
    <w:name w:val="Placeholder Text"/>
    <w:basedOn w:val="DefaultParagraphFont"/>
    <w:uiPriority w:val="99"/>
    <w:semiHidden/>
    <w:rsid w:val="003C27EF"/>
    <w:rPr>
      <w:color w:val="666666"/>
    </w:rPr>
  </w:style>
  <w:style w:type="paragraph" w:styleId="Revision">
    <w:name w:val="Revision"/>
    <w:hidden/>
    <w:uiPriority w:val="99"/>
    <w:semiHidden/>
    <w:rsid w:val="00DF3964"/>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5975142">
      <w:bodyDiv w:val="1"/>
      <w:marLeft w:val="0"/>
      <w:marRight w:val="0"/>
      <w:marTop w:val="0"/>
      <w:marBottom w:val="0"/>
      <w:divBdr>
        <w:top w:val="none" w:sz="0" w:space="0" w:color="auto"/>
        <w:left w:val="none" w:sz="0" w:space="0" w:color="auto"/>
        <w:bottom w:val="none" w:sz="0" w:space="0" w:color="auto"/>
        <w:right w:val="none" w:sz="0" w:space="0" w:color="auto"/>
      </w:divBdr>
    </w:div>
    <w:div w:id="1540049333">
      <w:bodyDiv w:val="1"/>
      <w:marLeft w:val="0"/>
      <w:marRight w:val="0"/>
      <w:marTop w:val="0"/>
      <w:marBottom w:val="0"/>
      <w:divBdr>
        <w:top w:val="none" w:sz="0" w:space="0" w:color="auto"/>
        <w:left w:val="none" w:sz="0" w:space="0" w:color="auto"/>
        <w:bottom w:val="none" w:sz="0" w:space="0" w:color="auto"/>
        <w:right w:val="none" w:sz="0" w:space="0" w:color="auto"/>
      </w:divBdr>
    </w:div>
    <w:div w:id="1661423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5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kad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Takada, Keiichiro</cp:lastModifiedBy>
  <cp:revision>45</cp:revision>
  <cp:lastPrinted>1899-12-31T22:59:04Z</cp:lastPrinted>
  <dcterms:created xsi:type="dcterms:W3CDTF">2020-01-29T12:34:00Z</dcterms:created>
  <dcterms:modified xsi:type="dcterms:W3CDTF">2024-11-03T06:32:00Z</dcterms:modified>
</cp:coreProperties>
</file>