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B90D9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5BA174F6">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68F0094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44722C5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76773E">
              <w:rPr>
                <w:lang w:val="en-CA"/>
              </w:rPr>
              <w:t>23</w:t>
            </w:r>
            <w:r w:rsidR="00F83F00">
              <w:rPr>
                <w:lang w:val="en-CA"/>
              </w:rPr>
              <w:t>2</w:t>
            </w:r>
            <w:r w:rsidR="006A0E5C" w:rsidRPr="006A0E5C">
              <w:rPr>
                <w:lang w:val="en-CA"/>
              </w:rPr>
              <w:t>-</w:t>
            </w:r>
            <w:r w:rsidR="00997E38" w:rsidRPr="006A0E5C">
              <w:rPr>
                <w:lang w:val="en-CA"/>
              </w:rPr>
              <w:t>v</w:t>
            </w:r>
            <w:r w:rsidR="00286B8C">
              <w:rPr>
                <w:lang w:val="en-CA"/>
              </w:rPr>
              <w:t>2</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362"/>
        <w:gridCol w:w="992"/>
        <w:gridCol w:w="3548"/>
      </w:tblGrid>
      <w:tr w:rsidR="00E61DAC" w:rsidRPr="005B217D" w14:paraId="188D2B50" w14:textId="77777777" w:rsidTr="00EA58D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662B44" w:rsidR="00E61DAC" w:rsidRPr="005B217D" w:rsidRDefault="00EA58D9" w:rsidP="009D7CE6">
            <w:pPr>
              <w:spacing w:before="60" w:after="60"/>
              <w:rPr>
                <w:b/>
                <w:szCs w:val="22"/>
                <w:lang w:val="en-CA"/>
              </w:rPr>
            </w:pPr>
            <w:r>
              <w:rPr>
                <w:b/>
                <w:szCs w:val="22"/>
                <w:lang w:val="en-CA"/>
              </w:rPr>
              <w:t xml:space="preserve">AHG8: Combination tests with postfilter </w:t>
            </w:r>
          </w:p>
        </w:tc>
      </w:tr>
      <w:tr w:rsidR="00E61DAC" w:rsidRPr="005B217D" w14:paraId="3D8B01B2" w14:textId="77777777" w:rsidTr="00EA58D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B35AAB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EA58D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167B1D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EA58D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49D81240" w14:textId="78C63894" w:rsidR="00E61DAC" w:rsidRPr="005B217D" w:rsidRDefault="00EA58D9">
            <w:pPr>
              <w:spacing w:before="60" w:after="60"/>
              <w:rPr>
                <w:szCs w:val="22"/>
                <w:lang w:val="en-CA"/>
              </w:rPr>
            </w:pPr>
            <w:r>
              <w:rPr>
                <w:szCs w:val="22"/>
                <w:lang w:val="en-CA"/>
              </w:rPr>
              <w:t>Christopher Hollmann</w:t>
            </w:r>
            <w:r w:rsidR="001A53D5">
              <w:rPr>
                <w:szCs w:val="22"/>
                <w:lang w:val="en-CA"/>
              </w:rPr>
              <w:t xml:space="preserve">, </w:t>
            </w:r>
            <w:r w:rsidR="00CD3AA7">
              <w:rPr>
                <w:szCs w:val="22"/>
                <w:lang w:val="en-CA"/>
              </w:rPr>
              <w:t xml:space="preserve">Lukasz Litwic, </w:t>
            </w:r>
            <w:r w:rsidR="009525F2">
              <w:rPr>
                <w:szCs w:val="22"/>
                <w:lang w:val="en-CA"/>
              </w:rPr>
              <w:t xml:space="preserve">Kenneth Andersson, </w:t>
            </w:r>
            <w:r w:rsidR="00CD3AA7">
              <w:rPr>
                <w:szCs w:val="22"/>
                <w:lang w:val="en-CA"/>
              </w:rPr>
              <w:t>Per Wennersten and Jacob Ström</w:t>
            </w:r>
          </w:p>
        </w:tc>
        <w:tc>
          <w:tcPr>
            <w:tcW w:w="992" w:type="dxa"/>
          </w:tcPr>
          <w:p w14:paraId="0140ECA2" w14:textId="48292756"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548" w:type="dxa"/>
          </w:tcPr>
          <w:p w14:paraId="32C2ABFD" w14:textId="3C29AD5F" w:rsidR="00E61DAC" w:rsidRPr="005B217D" w:rsidRDefault="00CD3AA7" w:rsidP="00564DEC">
            <w:pPr>
              <w:spacing w:before="60" w:after="60"/>
              <w:jc w:val="left"/>
              <w:rPr>
                <w:szCs w:val="22"/>
                <w:lang w:val="en-CA"/>
              </w:rPr>
            </w:pPr>
            <w:r>
              <w:rPr>
                <w:szCs w:val="22"/>
                <w:lang w:val="en-CA"/>
              </w:rPr>
              <w:t>{</w:t>
            </w:r>
            <w:r w:rsidR="00EA58D9">
              <w:rPr>
                <w:szCs w:val="22"/>
                <w:lang w:val="en-CA"/>
              </w:rPr>
              <w:t>christopher.hollmann</w:t>
            </w:r>
            <w:r>
              <w:rPr>
                <w:szCs w:val="22"/>
                <w:lang w:val="en-CA"/>
              </w:rPr>
              <w:t xml:space="preserve">, lukasz.litwic, </w:t>
            </w:r>
            <w:r w:rsidR="00D3131B">
              <w:rPr>
                <w:szCs w:val="22"/>
                <w:lang w:val="en-CA"/>
              </w:rPr>
              <w:t xml:space="preserve">kenneth.r.andersson, </w:t>
            </w:r>
            <w:r>
              <w:rPr>
                <w:szCs w:val="22"/>
                <w:lang w:val="en-CA"/>
              </w:rPr>
              <w:t>per.wennersten,</w:t>
            </w:r>
            <w:r w:rsidR="00D3131B">
              <w:rPr>
                <w:szCs w:val="22"/>
                <w:lang w:val="en-CA"/>
              </w:rPr>
              <w:t xml:space="preserve"> </w:t>
            </w:r>
            <w:r>
              <w:rPr>
                <w:szCs w:val="22"/>
                <w:lang w:val="en-CA"/>
              </w:rPr>
              <w:t>jacob.strom</w:t>
            </w:r>
            <w:r>
              <w:rPr>
                <w:szCs w:val="22"/>
              </w:rPr>
              <w:t xml:space="preserve">} </w:t>
            </w:r>
            <w:r w:rsidR="00EA58D9">
              <w:rPr>
                <w:szCs w:val="22"/>
                <w:lang w:val="en-CA"/>
              </w:rPr>
              <w:t>@ericsson.com</w:t>
            </w:r>
          </w:p>
        </w:tc>
      </w:tr>
      <w:tr w:rsidR="00E61DAC" w:rsidRPr="005B217D" w14:paraId="49AFAA61" w14:textId="77777777" w:rsidTr="00EA58D9">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1A2C844" w:rsidR="00E61DAC" w:rsidRPr="005B217D" w:rsidRDefault="00EA58D9">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D43C044" w:rsidR="00263398" w:rsidRDefault="00076FCA" w:rsidP="009234A5">
      <w:pPr>
        <w:rPr>
          <w:lang w:val="en-CA"/>
        </w:rPr>
      </w:pPr>
      <w:r>
        <w:rPr>
          <w:lang w:val="en-CA"/>
        </w:rPr>
        <w:t>In this contribution results</w:t>
      </w:r>
      <w:r w:rsidR="00710F6F">
        <w:rPr>
          <w:lang w:val="en-CA"/>
        </w:rPr>
        <w:t xml:space="preserve"> for tests combining two different tools</w:t>
      </w:r>
      <w:r w:rsidR="00E32199">
        <w:rPr>
          <w:lang w:val="en-CA"/>
        </w:rPr>
        <w:t xml:space="preserve"> with the </w:t>
      </w:r>
      <w:r w:rsidR="00196A24">
        <w:rPr>
          <w:lang w:val="en-CA"/>
        </w:rPr>
        <w:t>neural network postfilter</w:t>
      </w:r>
      <w:r w:rsidR="00991889">
        <w:rPr>
          <w:lang w:val="en-CA"/>
        </w:rPr>
        <w:t xml:space="preserve"> </w:t>
      </w:r>
      <w:r w:rsidR="00780A18">
        <w:rPr>
          <w:lang w:val="en-CA"/>
        </w:rPr>
        <w:t>originally proposed in JVET-AG0212</w:t>
      </w:r>
      <w:r w:rsidR="000E62A8">
        <w:rPr>
          <w:lang w:val="en-CA"/>
        </w:rPr>
        <w:t xml:space="preserve"> are reported. These two tools are the region of interest-based adaptive QP</w:t>
      </w:r>
      <w:r w:rsidR="00D42421">
        <w:rPr>
          <w:lang w:val="en-CA"/>
        </w:rPr>
        <w:t xml:space="preserve"> method from JVET-AB0275 and the reduced resolution coding from JVET-AH0130</w:t>
      </w:r>
      <w:r w:rsidR="002E42B8">
        <w:rPr>
          <w:lang w:val="en-CA"/>
        </w:rPr>
        <w:t xml:space="preserve">. </w:t>
      </w:r>
      <w:r w:rsidR="00CD3AA7">
        <w:rPr>
          <w:lang w:val="en-CA"/>
        </w:rPr>
        <w:t>It is claimed that t</w:t>
      </w:r>
      <w:r w:rsidR="002E42B8">
        <w:rPr>
          <w:lang w:val="en-CA"/>
        </w:rPr>
        <w:t>he results indicate that in most cases the tools work orthogonal to each other</w:t>
      </w:r>
      <w:r w:rsidR="006C6C51">
        <w:rPr>
          <w:lang w:val="en-CA"/>
        </w:rPr>
        <w:t>,</w:t>
      </w:r>
      <w:r w:rsidR="002E42B8">
        <w:rPr>
          <w:lang w:val="en-CA"/>
        </w:rPr>
        <w:t xml:space="preserve"> and the combination provides a benefit over using just one </w:t>
      </w:r>
      <w:r w:rsidR="004C4395">
        <w:rPr>
          <w:lang w:val="en-CA"/>
        </w:rPr>
        <w:t>of them.</w:t>
      </w:r>
    </w:p>
    <w:p w14:paraId="7D2AC1F0" w14:textId="5A509A31" w:rsidR="00745F6B" w:rsidRPr="005B217D" w:rsidRDefault="00745F6B" w:rsidP="00E11923">
      <w:pPr>
        <w:pStyle w:val="Heading1"/>
        <w:rPr>
          <w:lang w:val="en-CA"/>
        </w:rPr>
      </w:pPr>
      <w:r w:rsidRPr="005B217D">
        <w:rPr>
          <w:lang w:val="en-CA"/>
        </w:rPr>
        <w:t>Introduction</w:t>
      </w:r>
    </w:p>
    <w:p w14:paraId="1539A21D" w14:textId="54125567" w:rsidR="001F2594" w:rsidRDefault="00EA58D9" w:rsidP="009234A5">
      <w:pPr>
        <w:rPr>
          <w:szCs w:val="22"/>
          <w:lang w:val="en-CA"/>
        </w:rPr>
      </w:pPr>
      <w:r>
        <w:rPr>
          <w:szCs w:val="22"/>
          <w:lang w:val="en-CA"/>
        </w:rPr>
        <w:t>JVET has over the last years been working on a technical report</w:t>
      </w:r>
      <w:r w:rsidR="007E68CE">
        <w:rPr>
          <w:szCs w:val="22"/>
          <w:lang w:val="en-CA"/>
        </w:rPr>
        <w:t xml:space="preserve"> (TR)</w:t>
      </w:r>
      <w:r>
        <w:rPr>
          <w:szCs w:val="22"/>
          <w:lang w:val="en-CA"/>
        </w:rPr>
        <w:t xml:space="preserve"> on the topic of coding video for machine consumption. The latest version is available in JVET-AI2030 </w:t>
      </w:r>
      <w:sdt>
        <w:sdtPr>
          <w:rPr>
            <w:szCs w:val="22"/>
            <w:lang w:val="en-CA"/>
          </w:rPr>
          <w:id w:val="-1548443092"/>
          <w:citation/>
        </w:sdtPr>
        <w:sdtEndPr/>
        <w:sdtContent>
          <w:r>
            <w:rPr>
              <w:szCs w:val="22"/>
              <w:lang w:val="en-CA"/>
            </w:rPr>
            <w:fldChar w:fldCharType="begin"/>
          </w:r>
          <w:r>
            <w:rPr>
              <w:szCs w:val="22"/>
            </w:rPr>
            <w:instrText xml:space="preserve"> CITATION Hol244 \l 1033 </w:instrText>
          </w:r>
          <w:r>
            <w:rPr>
              <w:szCs w:val="22"/>
              <w:lang w:val="en-CA"/>
            </w:rPr>
            <w:fldChar w:fldCharType="separate"/>
          </w:r>
          <w:r w:rsidR="00CA3CC9" w:rsidRPr="00CA3CC9">
            <w:rPr>
              <w:noProof/>
              <w:szCs w:val="22"/>
            </w:rPr>
            <w:t>[1]</w:t>
          </w:r>
          <w:r>
            <w:rPr>
              <w:szCs w:val="22"/>
              <w:lang w:val="en-CA"/>
            </w:rPr>
            <w:fldChar w:fldCharType="end"/>
          </w:r>
        </w:sdtContent>
      </w:sdt>
      <w:r>
        <w:rPr>
          <w:szCs w:val="22"/>
          <w:lang w:val="en-CA"/>
        </w:rPr>
        <w:t>. One topic that has been discussed several times over the course of the preparation of the report is the combination of different technologies that are described in the report.</w:t>
      </w:r>
    </w:p>
    <w:p w14:paraId="70B03734" w14:textId="2BFCCB27" w:rsidR="00EA58D9" w:rsidRDefault="00EA58D9" w:rsidP="009234A5">
      <w:pPr>
        <w:rPr>
          <w:szCs w:val="22"/>
          <w:lang w:val="en-CA"/>
        </w:rPr>
      </w:pPr>
      <w:r>
        <w:rPr>
          <w:szCs w:val="22"/>
          <w:lang w:val="en-CA"/>
        </w:rPr>
        <w:t>Various contributions have presented results of combined methods, such as</w:t>
      </w:r>
      <w:r w:rsidR="007E68CE">
        <w:rPr>
          <w:szCs w:val="22"/>
          <w:lang w:val="en-CA"/>
        </w:rPr>
        <w:t>:</w:t>
      </w:r>
    </w:p>
    <w:p w14:paraId="55BB4120" w14:textId="5EFC1398" w:rsidR="007E68CE" w:rsidRDefault="007E68CE" w:rsidP="007E68CE">
      <w:pPr>
        <w:pStyle w:val="ListParagraph"/>
        <w:numPr>
          <w:ilvl w:val="0"/>
          <w:numId w:val="12"/>
        </w:numPr>
        <w:rPr>
          <w:szCs w:val="22"/>
          <w:lang w:val="en-CA"/>
        </w:rPr>
      </w:pPr>
      <w:r>
        <w:rPr>
          <w:szCs w:val="22"/>
          <w:lang w:val="en-CA"/>
        </w:rPr>
        <w:t>JVET-AB0275</w:t>
      </w:r>
      <w:r w:rsidR="001F730C">
        <w:rPr>
          <w:szCs w:val="22"/>
          <w:lang w:val="en-CA"/>
        </w:rPr>
        <w:t> </w:t>
      </w:r>
      <w:sdt>
        <w:sdtPr>
          <w:rPr>
            <w:szCs w:val="22"/>
            <w:lang w:val="en-CA"/>
          </w:rPr>
          <w:id w:val="-105115967"/>
          <w:citation/>
        </w:sdtPr>
        <w:sdtEndPr/>
        <w:sdtContent>
          <w:r w:rsidR="001F730C">
            <w:rPr>
              <w:szCs w:val="22"/>
              <w:lang w:val="en-CA"/>
            </w:rPr>
            <w:fldChar w:fldCharType="begin"/>
          </w:r>
          <w:r w:rsidR="001F730C">
            <w:rPr>
              <w:szCs w:val="22"/>
            </w:rPr>
            <w:instrText xml:space="preserve"> CITATION Hol221 \l 1033 </w:instrText>
          </w:r>
          <w:r w:rsidR="001F730C">
            <w:rPr>
              <w:szCs w:val="22"/>
              <w:lang w:val="en-CA"/>
            </w:rPr>
            <w:fldChar w:fldCharType="separate"/>
          </w:r>
          <w:r w:rsidR="00CA3CC9" w:rsidRPr="00CA3CC9">
            <w:rPr>
              <w:noProof/>
              <w:szCs w:val="22"/>
            </w:rPr>
            <w:t>[2]</w:t>
          </w:r>
          <w:r w:rsidR="001F730C">
            <w:rPr>
              <w:szCs w:val="22"/>
              <w:lang w:val="en-CA"/>
            </w:rPr>
            <w:fldChar w:fldCharType="end"/>
          </w:r>
        </w:sdtContent>
      </w:sdt>
      <w:r>
        <w:rPr>
          <w:szCs w:val="22"/>
          <w:lang w:val="en-CA"/>
        </w:rPr>
        <w:t>: adaptive QP and increased QP offsets for temporal layers</w:t>
      </w:r>
    </w:p>
    <w:p w14:paraId="2615965F" w14:textId="0DF111B3" w:rsidR="007E68CE" w:rsidRDefault="007E68CE" w:rsidP="007E68CE">
      <w:pPr>
        <w:pStyle w:val="ListParagraph"/>
        <w:numPr>
          <w:ilvl w:val="0"/>
          <w:numId w:val="12"/>
        </w:numPr>
        <w:rPr>
          <w:szCs w:val="22"/>
          <w:lang w:val="en-CA"/>
        </w:rPr>
      </w:pPr>
      <w:r>
        <w:rPr>
          <w:szCs w:val="22"/>
          <w:lang w:val="en-CA"/>
        </w:rPr>
        <w:t>JVET-AE0081</w:t>
      </w:r>
      <w:r w:rsidR="001F730C">
        <w:rPr>
          <w:szCs w:val="22"/>
          <w:lang w:val="en-CA"/>
        </w:rPr>
        <w:t> </w:t>
      </w:r>
      <w:sdt>
        <w:sdtPr>
          <w:rPr>
            <w:szCs w:val="22"/>
            <w:lang w:val="en-CA"/>
          </w:rPr>
          <w:id w:val="-616135543"/>
          <w:citation/>
        </w:sdtPr>
        <w:sdtEndPr/>
        <w:sdtContent>
          <w:r w:rsidR="001F730C">
            <w:rPr>
              <w:szCs w:val="22"/>
              <w:lang w:val="en-CA"/>
            </w:rPr>
            <w:fldChar w:fldCharType="begin"/>
          </w:r>
          <w:r w:rsidR="001F730C">
            <w:rPr>
              <w:szCs w:val="22"/>
            </w:rPr>
            <w:instrText xml:space="preserve"> CITATION Kim231 \l 1033 </w:instrText>
          </w:r>
          <w:r w:rsidR="001F730C">
            <w:rPr>
              <w:szCs w:val="22"/>
              <w:lang w:val="en-CA"/>
            </w:rPr>
            <w:fldChar w:fldCharType="separate"/>
          </w:r>
          <w:r w:rsidR="00CA3CC9" w:rsidRPr="00CA3CC9">
            <w:rPr>
              <w:noProof/>
              <w:szCs w:val="22"/>
            </w:rPr>
            <w:t>[3]</w:t>
          </w:r>
          <w:r w:rsidR="001F730C">
            <w:rPr>
              <w:szCs w:val="22"/>
              <w:lang w:val="en-CA"/>
            </w:rPr>
            <w:fldChar w:fldCharType="end"/>
          </w:r>
        </w:sdtContent>
      </w:sdt>
      <w:r>
        <w:rPr>
          <w:szCs w:val="22"/>
          <w:lang w:val="en-CA"/>
        </w:rPr>
        <w:t>: de-noising filter</w:t>
      </w:r>
      <w:r w:rsidRPr="007E68CE">
        <w:rPr>
          <w:szCs w:val="22"/>
          <w:lang w:val="en-CA"/>
        </w:rPr>
        <w:t xml:space="preserve"> </w:t>
      </w:r>
      <w:r>
        <w:rPr>
          <w:szCs w:val="22"/>
          <w:lang w:val="en-CA"/>
        </w:rPr>
        <w:t>and increased QP offsets for temporal layers</w:t>
      </w:r>
    </w:p>
    <w:p w14:paraId="443AD6CB" w14:textId="24F3C2AF" w:rsidR="007E68CE" w:rsidRDefault="007E68CE" w:rsidP="007E68CE">
      <w:pPr>
        <w:pStyle w:val="ListParagraph"/>
        <w:numPr>
          <w:ilvl w:val="0"/>
          <w:numId w:val="12"/>
        </w:numPr>
        <w:rPr>
          <w:szCs w:val="22"/>
          <w:lang w:val="en-CA"/>
        </w:rPr>
      </w:pPr>
      <w:r>
        <w:rPr>
          <w:szCs w:val="22"/>
          <w:lang w:val="en-CA"/>
        </w:rPr>
        <w:t>JVET-AH0157</w:t>
      </w:r>
      <w:r w:rsidR="001F730C">
        <w:rPr>
          <w:szCs w:val="22"/>
          <w:lang w:val="en-CA"/>
        </w:rPr>
        <w:t> </w:t>
      </w:r>
      <w:sdt>
        <w:sdtPr>
          <w:rPr>
            <w:szCs w:val="22"/>
            <w:lang w:val="en-CA"/>
          </w:rPr>
          <w:id w:val="-1919783560"/>
          <w:citation/>
        </w:sdtPr>
        <w:sdtEndPr/>
        <w:sdtContent>
          <w:r w:rsidR="001F730C">
            <w:rPr>
              <w:szCs w:val="22"/>
              <w:lang w:val="en-CA"/>
            </w:rPr>
            <w:fldChar w:fldCharType="begin"/>
          </w:r>
          <w:r w:rsidR="001F730C">
            <w:rPr>
              <w:szCs w:val="22"/>
            </w:rPr>
            <w:instrText xml:space="preserve"> CITATION Wan241 \l 1033 </w:instrText>
          </w:r>
          <w:r w:rsidR="001F730C">
            <w:rPr>
              <w:szCs w:val="22"/>
              <w:lang w:val="en-CA"/>
            </w:rPr>
            <w:fldChar w:fldCharType="separate"/>
          </w:r>
          <w:r w:rsidR="00CA3CC9" w:rsidRPr="00CA3CC9">
            <w:rPr>
              <w:noProof/>
              <w:szCs w:val="22"/>
            </w:rPr>
            <w:t>[4]</w:t>
          </w:r>
          <w:r w:rsidR="001F730C">
            <w:rPr>
              <w:szCs w:val="22"/>
              <w:lang w:val="en-CA"/>
            </w:rPr>
            <w:fldChar w:fldCharType="end"/>
          </w:r>
        </w:sdtContent>
      </w:sdt>
      <w:r>
        <w:rPr>
          <w:szCs w:val="22"/>
          <w:lang w:val="en-CA"/>
        </w:rPr>
        <w:t>: pre-processing and neural network postfilter</w:t>
      </w:r>
    </w:p>
    <w:p w14:paraId="1263648D" w14:textId="10F8D171" w:rsidR="007E68CE" w:rsidRDefault="007E68CE" w:rsidP="007E68CE">
      <w:pPr>
        <w:pStyle w:val="ListParagraph"/>
        <w:numPr>
          <w:ilvl w:val="0"/>
          <w:numId w:val="12"/>
        </w:numPr>
        <w:rPr>
          <w:szCs w:val="22"/>
          <w:lang w:val="en-CA"/>
        </w:rPr>
      </w:pPr>
      <w:r>
        <w:rPr>
          <w:szCs w:val="22"/>
          <w:lang w:val="en-CA"/>
        </w:rPr>
        <w:t>JVET-AI0144</w:t>
      </w:r>
      <w:r w:rsidR="001F730C">
        <w:rPr>
          <w:szCs w:val="22"/>
          <w:lang w:val="en-CA"/>
        </w:rPr>
        <w:t> </w:t>
      </w:r>
      <w:sdt>
        <w:sdtPr>
          <w:rPr>
            <w:szCs w:val="22"/>
            <w:lang w:val="en-CA"/>
          </w:rPr>
          <w:id w:val="-1448380180"/>
          <w:citation/>
        </w:sdtPr>
        <w:sdtEndPr/>
        <w:sdtContent>
          <w:r w:rsidR="001F730C">
            <w:rPr>
              <w:szCs w:val="22"/>
              <w:lang w:val="en-CA"/>
            </w:rPr>
            <w:fldChar w:fldCharType="begin"/>
          </w:r>
          <w:r w:rsidR="001F730C">
            <w:rPr>
              <w:szCs w:val="22"/>
            </w:rPr>
            <w:instrText xml:space="preserve"> CITATION Kea24 \l 1033 </w:instrText>
          </w:r>
          <w:r w:rsidR="001F730C">
            <w:rPr>
              <w:szCs w:val="22"/>
              <w:lang w:val="en-CA"/>
            </w:rPr>
            <w:fldChar w:fldCharType="separate"/>
          </w:r>
          <w:r w:rsidR="00CA3CC9" w:rsidRPr="00CA3CC9">
            <w:rPr>
              <w:noProof/>
              <w:szCs w:val="22"/>
            </w:rPr>
            <w:t>[5]</w:t>
          </w:r>
          <w:r w:rsidR="001F730C">
            <w:rPr>
              <w:szCs w:val="22"/>
              <w:lang w:val="en-CA"/>
            </w:rPr>
            <w:fldChar w:fldCharType="end"/>
          </w:r>
        </w:sdtContent>
      </w:sdt>
      <w:r>
        <w:rPr>
          <w:szCs w:val="22"/>
          <w:lang w:val="en-CA"/>
        </w:rPr>
        <w:t>: conversion to 4:4:4 and reduced resolution coding</w:t>
      </w:r>
    </w:p>
    <w:p w14:paraId="53ED7E91" w14:textId="2B9B01A5" w:rsidR="007E68CE" w:rsidRDefault="007E68CE" w:rsidP="007E68CE">
      <w:pPr>
        <w:rPr>
          <w:szCs w:val="22"/>
          <w:lang w:val="en-CA"/>
        </w:rPr>
      </w:pPr>
      <w:r>
        <w:rPr>
          <w:szCs w:val="22"/>
          <w:lang w:val="en-CA"/>
        </w:rPr>
        <w:t>In this contribution, the neural network-based postfilter</w:t>
      </w:r>
      <w:r w:rsidR="00C56733">
        <w:rPr>
          <w:szCs w:val="22"/>
          <w:lang w:val="en-CA"/>
        </w:rPr>
        <w:t xml:space="preserve"> (NNPF)</w:t>
      </w:r>
      <w:r>
        <w:rPr>
          <w:szCs w:val="22"/>
          <w:lang w:val="en-CA"/>
        </w:rPr>
        <w:t xml:space="preserve"> that has been proposed for inclusion in the TR firstly in JVET-AG0212</w:t>
      </w:r>
      <w:r w:rsidR="001F730C">
        <w:rPr>
          <w:szCs w:val="22"/>
          <w:lang w:val="en-CA"/>
        </w:rPr>
        <w:t> </w:t>
      </w:r>
      <w:sdt>
        <w:sdtPr>
          <w:rPr>
            <w:szCs w:val="22"/>
            <w:lang w:val="en-CA"/>
          </w:rPr>
          <w:id w:val="946116672"/>
          <w:citation/>
        </w:sdtPr>
        <w:sdtEndPr/>
        <w:sdtContent>
          <w:r w:rsidR="001F730C">
            <w:rPr>
              <w:szCs w:val="22"/>
              <w:lang w:val="en-CA"/>
            </w:rPr>
            <w:fldChar w:fldCharType="begin"/>
          </w:r>
          <w:r w:rsidR="001F730C">
            <w:rPr>
              <w:szCs w:val="22"/>
            </w:rPr>
            <w:instrText xml:space="preserve"> CITATION LiB24 \l 1033 </w:instrText>
          </w:r>
          <w:r w:rsidR="001F730C">
            <w:rPr>
              <w:szCs w:val="22"/>
              <w:lang w:val="en-CA"/>
            </w:rPr>
            <w:fldChar w:fldCharType="separate"/>
          </w:r>
          <w:r w:rsidR="00CA3CC9" w:rsidRPr="00CA3CC9">
            <w:rPr>
              <w:noProof/>
              <w:szCs w:val="22"/>
            </w:rPr>
            <w:t>[6]</w:t>
          </w:r>
          <w:r w:rsidR="001F730C">
            <w:rPr>
              <w:szCs w:val="22"/>
              <w:lang w:val="en-CA"/>
            </w:rPr>
            <w:fldChar w:fldCharType="end"/>
          </w:r>
        </w:sdtContent>
      </w:sdt>
      <w:r>
        <w:rPr>
          <w:szCs w:val="22"/>
          <w:lang w:val="en-CA"/>
        </w:rPr>
        <w:t xml:space="preserve"> has been tested in combination with two other tools: Region of Interest-based adaptive QP (ROIaQP) and reduced resolution coding</w:t>
      </w:r>
      <w:r w:rsidR="001B568A">
        <w:rPr>
          <w:szCs w:val="22"/>
          <w:lang w:val="en-CA"/>
        </w:rPr>
        <w:t xml:space="preserve"> (RRC)</w:t>
      </w:r>
      <w:r>
        <w:rPr>
          <w:szCs w:val="22"/>
          <w:lang w:val="en-CA"/>
        </w:rPr>
        <w:t>. The former method has been described in JVET-AB0275</w:t>
      </w:r>
      <w:r w:rsidR="001F730C">
        <w:rPr>
          <w:szCs w:val="22"/>
          <w:lang w:val="en-CA"/>
        </w:rPr>
        <w:t> </w:t>
      </w:r>
      <w:sdt>
        <w:sdtPr>
          <w:rPr>
            <w:szCs w:val="22"/>
            <w:lang w:val="en-CA"/>
          </w:rPr>
          <w:id w:val="-332757881"/>
          <w:citation/>
        </w:sdtPr>
        <w:sdtEndPr/>
        <w:sdtContent>
          <w:r w:rsidR="001F730C">
            <w:rPr>
              <w:szCs w:val="22"/>
              <w:lang w:val="en-CA"/>
            </w:rPr>
            <w:fldChar w:fldCharType="begin"/>
          </w:r>
          <w:r w:rsidR="001F730C">
            <w:rPr>
              <w:szCs w:val="22"/>
            </w:rPr>
            <w:instrText xml:space="preserve"> CITATION Hol221 \l 1033 </w:instrText>
          </w:r>
          <w:r w:rsidR="001F730C">
            <w:rPr>
              <w:szCs w:val="22"/>
              <w:lang w:val="en-CA"/>
            </w:rPr>
            <w:fldChar w:fldCharType="separate"/>
          </w:r>
          <w:r w:rsidR="00CA3CC9" w:rsidRPr="00CA3CC9">
            <w:rPr>
              <w:noProof/>
              <w:szCs w:val="22"/>
            </w:rPr>
            <w:t>[2]</w:t>
          </w:r>
          <w:r w:rsidR="001F730C">
            <w:rPr>
              <w:szCs w:val="22"/>
              <w:lang w:val="en-CA"/>
            </w:rPr>
            <w:fldChar w:fldCharType="end"/>
          </w:r>
        </w:sdtContent>
      </w:sdt>
      <w:r>
        <w:rPr>
          <w:szCs w:val="22"/>
          <w:lang w:val="en-CA"/>
        </w:rPr>
        <w:t>, whereas results for the latter one were presented in JVET-AH0130</w:t>
      </w:r>
      <w:r w:rsidR="001F730C">
        <w:rPr>
          <w:szCs w:val="22"/>
          <w:lang w:val="en-CA"/>
        </w:rPr>
        <w:t> </w:t>
      </w:r>
      <w:sdt>
        <w:sdtPr>
          <w:rPr>
            <w:szCs w:val="22"/>
            <w:lang w:val="en-CA"/>
          </w:rPr>
          <w:id w:val="-1200238220"/>
          <w:citation/>
        </w:sdtPr>
        <w:sdtEndPr/>
        <w:sdtContent>
          <w:r w:rsidR="001F730C">
            <w:rPr>
              <w:szCs w:val="22"/>
              <w:lang w:val="en-CA"/>
            </w:rPr>
            <w:fldChar w:fldCharType="begin"/>
          </w:r>
          <w:r w:rsidR="001F730C">
            <w:rPr>
              <w:szCs w:val="22"/>
            </w:rPr>
            <w:instrText xml:space="preserve"> CITATION Hol242 \l 1033 </w:instrText>
          </w:r>
          <w:r w:rsidR="001F730C">
            <w:rPr>
              <w:szCs w:val="22"/>
              <w:lang w:val="en-CA"/>
            </w:rPr>
            <w:fldChar w:fldCharType="separate"/>
          </w:r>
          <w:r w:rsidR="00CA3CC9" w:rsidRPr="00CA3CC9">
            <w:rPr>
              <w:noProof/>
              <w:szCs w:val="22"/>
            </w:rPr>
            <w:t>[7]</w:t>
          </w:r>
          <w:r w:rsidR="001F730C">
            <w:rPr>
              <w:szCs w:val="22"/>
              <w:lang w:val="en-CA"/>
            </w:rPr>
            <w:fldChar w:fldCharType="end"/>
          </w:r>
        </w:sdtContent>
      </w:sdt>
      <w:r>
        <w:rPr>
          <w:szCs w:val="22"/>
          <w:lang w:val="en-CA"/>
        </w:rPr>
        <w:t>.</w:t>
      </w:r>
    </w:p>
    <w:p w14:paraId="2F298E61" w14:textId="3D9ABD0F" w:rsidR="001F730C" w:rsidRDefault="001B568A" w:rsidP="001B568A">
      <w:pPr>
        <w:pStyle w:val="Heading1"/>
        <w:rPr>
          <w:lang w:val="en-CA"/>
        </w:rPr>
      </w:pPr>
      <w:r>
        <w:rPr>
          <w:lang w:val="en-CA"/>
        </w:rPr>
        <w:t>Results for combination tests</w:t>
      </w:r>
    </w:p>
    <w:p w14:paraId="193B869B" w14:textId="27F2F26B" w:rsidR="001B568A" w:rsidRDefault="001B568A" w:rsidP="001B568A">
      <w:pPr>
        <w:pStyle w:val="Heading2"/>
        <w:rPr>
          <w:lang w:val="en-CA"/>
        </w:rPr>
      </w:pPr>
      <w:r>
        <w:rPr>
          <w:lang w:val="en-CA"/>
        </w:rPr>
        <w:t>ROIaQP and NNPF</w:t>
      </w:r>
    </w:p>
    <w:p w14:paraId="7D0127EF" w14:textId="3DBFF8BC" w:rsidR="00BC4027" w:rsidRDefault="00BC4027" w:rsidP="00BC4027">
      <w:pPr>
        <w:rPr>
          <w:lang w:val="en-CA"/>
        </w:rPr>
      </w:pPr>
      <w:r>
        <w:rPr>
          <w:lang w:val="en-CA"/>
        </w:rPr>
        <w:t xml:space="preserve">In the first test we present results for the combination of ROIaQP and the NNPF. More detailed descriptions can be found in the respective contributions. Results for each method by itself and the combination can be found in </w:t>
      </w:r>
      <w:r w:rsidR="00E86CF7">
        <w:rPr>
          <w:lang w:val="en-CA"/>
        </w:rPr>
        <w:fldChar w:fldCharType="begin"/>
      </w:r>
      <w:r w:rsidR="00E86CF7">
        <w:rPr>
          <w:lang w:val="en-CA"/>
        </w:rPr>
        <w:instrText xml:space="preserve"> REF _Ref179818866 \h </w:instrText>
      </w:r>
      <w:r w:rsidR="00E86CF7">
        <w:rPr>
          <w:lang w:val="en-CA"/>
        </w:rPr>
      </w:r>
      <w:r w:rsidR="00E86CF7">
        <w:rPr>
          <w:lang w:val="en-CA"/>
        </w:rPr>
        <w:fldChar w:fldCharType="separate"/>
      </w:r>
      <w:r w:rsidR="00E86CF7">
        <w:t xml:space="preserve">Table </w:t>
      </w:r>
      <w:r w:rsidR="00E86CF7">
        <w:rPr>
          <w:noProof/>
        </w:rPr>
        <w:t>1</w:t>
      </w:r>
      <w:r w:rsidR="00E86CF7">
        <w:rPr>
          <w:lang w:val="en-CA"/>
        </w:rPr>
        <w:fldChar w:fldCharType="end"/>
      </w:r>
      <w:r>
        <w:rPr>
          <w:lang w:val="en-CA"/>
        </w:rPr>
        <w:t xml:space="preserve">. All tests were </w:t>
      </w:r>
      <w:r w:rsidR="00E86CF7">
        <w:rPr>
          <w:lang w:val="en-CA"/>
        </w:rPr>
        <w:t>r</w:t>
      </w:r>
      <w:r>
        <w:rPr>
          <w:lang w:val="en-CA"/>
        </w:rPr>
        <w:t xml:space="preserve">un under the random access configuration described in the common test conditions (CTC) </w:t>
      </w:r>
      <w:sdt>
        <w:sdtPr>
          <w:rPr>
            <w:lang w:val="en-CA"/>
          </w:rPr>
          <w:id w:val="-1166164626"/>
          <w:citation/>
        </w:sdtPr>
        <w:sdtEndPr/>
        <w:sdtContent>
          <w:r>
            <w:rPr>
              <w:lang w:val="en-CA"/>
            </w:rPr>
            <w:fldChar w:fldCharType="begin"/>
          </w:r>
          <w:r>
            <w:instrText xml:space="preserve"> CITATION Liu241 \l 1033 </w:instrText>
          </w:r>
          <w:r>
            <w:rPr>
              <w:lang w:val="en-CA"/>
            </w:rPr>
            <w:fldChar w:fldCharType="separate"/>
          </w:r>
          <w:r w:rsidR="00CA3CC9">
            <w:rPr>
              <w:noProof/>
            </w:rPr>
            <w:t>[8]</w:t>
          </w:r>
          <w:r>
            <w:rPr>
              <w:lang w:val="en-CA"/>
            </w:rPr>
            <w:fldChar w:fldCharType="end"/>
          </w:r>
        </w:sdtContent>
      </w:sdt>
      <w:r>
        <w:rPr>
          <w:lang w:val="en-CA"/>
        </w:rPr>
        <w:t>.</w:t>
      </w:r>
    </w:p>
    <w:p w14:paraId="3F9B4536" w14:textId="77777777" w:rsidR="00BC4027" w:rsidRDefault="00BC4027" w:rsidP="00BC4027">
      <w:pPr>
        <w:rPr>
          <w:lang w:val="en-CA"/>
        </w:rPr>
      </w:pPr>
    </w:p>
    <w:p w14:paraId="61CADDE3" w14:textId="79ECDA09" w:rsidR="00BC4027" w:rsidRDefault="00BC4027" w:rsidP="00BC4027">
      <w:pPr>
        <w:pStyle w:val="Caption"/>
        <w:keepNext/>
      </w:pPr>
      <w:bookmarkStart w:id="0" w:name="_Ref179818866"/>
      <w:r>
        <w:lastRenderedPageBreak/>
        <w:t xml:space="preserve">Table </w:t>
      </w:r>
      <w:r>
        <w:fldChar w:fldCharType="begin"/>
      </w:r>
      <w:r>
        <w:instrText xml:space="preserve"> SEQ Table \* ARABIC </w:instrText>
      </w:r>
      <w:r>
        <w:fldChar w:fldCharType="separate"/>
      </w:r>
      <w:r w:rsidR="00CA3CC9">
        <w:rPr>
          <w:noProof/>
        </w:rPr>
        <w:t>1</w:t>
      </w:r>
      <w:r>
        <w:fldChar w:fldCharType="end"/>
      </w:r>
      <w:bookmarkEnd w:id="0"/>
      <w:r>
        <w:t>.</w:t>
      </w:r>
      <w:r>
        <w:rPr>
          <w:noProof/>
        </w:rPr>
        <w:t xml:space="preserve"> Results for combination of ROIaQP and NNPF</w:t>
      </w:r>
    </w:p>
    <w:tbl>
      <w:tblPr>
        <w:tblStyle w:val="TableGrid"/>
        <w:tblW w:w="0" w:type="auto"/>
        <w:tblLook w:val="04A0" w:firstRow="1" w:lastRow="0" w:firstColumn="1" w:lastColumn="0" w:noHBand="0" w:noVBand="1"/>
      </w:tblPr>
      <w:tblGrid>
        <w:gridCol w:w="2326"/>
        <w:gridCol w:w="2326"/>
        <w:gridCol w:w="2326"/>
        <w:gridCol w:w="2326"/>
      </w:tblGrid>
      <w:tr w:rsidR="00E86CF7" w14:paraId="0A374D3B" w14:textId="77777777" w:rsidTr="00027D6A">
        <w:tc>
          <w:tcPr>
            <w:tcW w:w="2326" w:type="dxa"/>
          </w:tcPr>
          <w:p w14:paraId="26315AA6" w14:textId="0BCEFF11" w:rsidR="00E86CF7" w:rsidRDefault="00E86CF7" w:rsidP="00564DEC">
            <w:pPr>
              <w:keepNext/>
              <w:rPr>
                <w:lang w:val="en-CA"/>
              </w:rPr>
            </w:pPr>
            <w:r>
              <w:rPr>
                <w:lang w:val="en-CA"/>
              </w:rPr>
              <w:t>Dataset</w:t>
            </w:r>
          </w:p>
        </w:tc>
        <w:tc>
          <w:tcPr>
            <w:tcW w:w="2326" w:type="dxa"/>
          </w:tcPr>
          <w:p w14:paraId="35310D21" w14:textId="15A475A1" w:rsidR="00E86CF7" w:rsidRDefault="00E86CF7" w:rsidP="00E86CF7">
            <w:pPr>
              <w:rPr>
                <w:lang w:val="en-CA"/>
              </w:rPr>
            </w:pPr>
            <w:r>
              <w:rPr>
                <w:lang w:val="en-CA"/>
              </w:rPr>
              <w:t>Only NNPF</w:t>
            </w:r>
          </w:p>
        </w:tc>
        <w:tc>
          <w:tcPr>
            <w:tcW w:w="2326" w:type="dxa"/>
          </w:tcPr>
          <w:p w14:paraId="4E6F5943" w14:textId="17DDDB41" w:rsidR="00E86CF7" w:rsidRDefault="00E86CF7" w:rsidP="00E86CF7">
            <w:pPr>
              <w:rPr>
                <w:lang w:val="en-CA"/>
              </w:rPr>
            </w:pPr>
            <w:r>
              <w:rPr>
                <w:lang w:val="en-CA"/>
              </w:rPr>
              <w:t>Only ROIaQP</w:t>
            </w:r>
          </w:p>
        </w:tc>
        <w:tc>
          <w:tcPr>
            <w:tcW w:w="2326" w:type="dxa"/>
          </w:tcPr>
          <w:p w14:paraId="09728A7B" w14:textId="2AFC51CE" w:rsidR="00E86CF7" w:rsidRDefault="00E86CF7" w:rsidP="00E86CF7">
            <w:pPr>
              <w:rPr>
                <w:lang w:val="en-CA"/>
              </w:rPr>
            </w:pPr>
            <w:r>
              <w:rPr>
                <w:lang w:val="en-CA"/>
              </w:rPr>
              <w:t>ROIaQP + NNPF</w:t>
            </w:r>
          </w:p>
        </w:tc>
      </w:tr>
      <w:tr w:rsidR="00E86CF7" w14:paraId="5DCAAA83" w14:textId="77777777" w:rsidTr="00027D6A">
        <w:tc>
          <w:tcPr>
            <w:tcW w:w="2326" w:type="dxa"/>
          </w:tcPr>
          <w:p w14:paraId="069A7AEC" w14:textId="3538BADA" w:rsidR="00E86CF7" w:rsidRDefault="00E86CF7" w:rsidP="00564DEC">
            <w:pPr>
              <w:keepNext/>
              <w:rPr>
                <w:lang w:val="en-CA"/>
              </w:rPr>
            </w:pPr>
            <w:r>
              <w:rPr>
                <w:lang w:val="en-CA"/>
              </w:rPr>
              <w:t>SFU-HW</w:t>
            </w:r>
          </w:p>
        </w:tc>
        <w:tc>
          <w:tcPr>
            <w:tcW w:w="2326" w:type="dxa"/>
          </w:tcPr>
          <w:p w14:paraId="7C1104AD" w14:textId="61415C4E" w:rsidR="00E86CF7" w:rsidRDefault="00E86CF7" w:rsidP="00E86CF7">
            <w:pPr>
              <w:jc w:val="right"/>
              <w:rPr>
                <w:lang w:val="en-CA"/>
              </w:rPr>
            </w:pPr>
            <w:r>
              <w:rPr>
                <w:lang w:val="en-CA"/>
              </w:rPr>
              <w:t>−24.7%</w:t>
            </w:r>
          </w:p>
        </w:tc>
        <w:tc>
          <w:tcPr>
            <w:tcW w:w="2326" w:type="dxa"/>
          </w:tcPr>
          <w:p w14:paraId="6F6A62D5" w14:textId="0D07B756" w:rsidR="00E86CF7" w:rsidRDefault="00E86CF7" w:rsidP="00E86CF7">
            <w:pPr>
              <w:jc w:val="right"/>
              <w:rPr>
                <w:lang w:val="en-CA"/>
              </w:rPr>
            </w:pPr>
            <w:r>
              <w:rPr>
                <w:lang w:val="en-CA"/>
              </w:rPr>
              <w:t>−5.7%</w:t>
            </w:r>
          </w:p>
        </w:tc>
        <w:tc>
          <w:tcPr>
            <w:tcW w:w="2326" w:type="dxa"/>
          </w:tcPr>
          <w:p w14:paraId="47853EE5" w14:textId="08EE08F4" w:rsidR="00E86CF7" w:rsidRDefault="00E86CF7" w:rsidP="00E86CF7">
            <w:pPr>
              <w:jc w:val="right"/>
              <w:rPr>
                <w:lang w:val="en-CA"/>
              </w:rPr>
            </w:pPr>
            <w:r>
              <w:rPr>
                <w:lang w:val="en-CA"/>
              </w:rPr>
              <w:t>−30.0%</w:t>
            </w:r>
          </w:p>
        </w:tc>
      </w:tr>
      <w:tr w:rsidR="00E86CF7" w14:paraId="4CB2FC8D" w14:textId="77777777" w:rsidTr="00027D6A">
        <w:tc>
          <w:tcPr>
            <w:tcW w:w="2326" w:type="dxa"/>
          </w:tcPr>
          <w:p w14:paraId="42FC3CD4" w14:textId="6E165022" w:rsidR="00E86CF7" w:rsidRDefault="00E86CF7" w:rsidP="00564DEC">
            <w:pPr>
              <w:keepNext/>
              <w:rPr>
                <w:lang w:val="en-CA"/>
              </w:rPr>
            </w:pPr>
            <w:r>
              <w:rPr>
                <w:lang w:val="en-CA"/>
              </w:rPr>
              <w:t>TVD</w:t>
            </w:r>
          </w:p>
        </w:tc>
        <w:tc>
          <w:tcPr>
            <w:tcW w:w="2326" w:type="dxa"/>
          </w:tcPr>
          <w:p w14:paraId="1A126BB7" w14:textId="237F0CBB" w:rsidR="00E86CF7" w:rsidRDefault="00E86CF7" w:rsidP="00E86CF7">
            <w:pPr>
              <w:jc w:val="right"/>
              <w:rPr>
                <w:lang w:val="en-CA"/>
              </w:rPr>
            </w:pPr>
            <w:r>
              <w:rPr>
                <w:lang w:val="en-CA"/>
              </w:rPr>
              <w:t>−26.8%</w:t>
            </w:r>
          </w:p>
        </w:tc>
        <w:tc>
          <w:tcPr>
            <w:tcW w:w="2326" w:type="dxa"/>
          </w:tcPr>
          <w:p w14:paraId="61B677AA" w14:textId="1523D0EA" w:rsidR="00E86CF7" w:rsidRDefault="00E86CF7" w:rsidP="00E86CF7">
            <w:pPr>
              <w:jc w:val="right"/>
              <w:rPr>
                <w:lang w:val="en-CA"/>
              </w:rPr>
            </w:pPr>
            <w:r>
              <w:rPr>
                <w:lang w:val="en-CA"/>
              </w:rPr>
              <w:t>−20.3%</w:t>
            </w:r>
          </w:p>
        </w:tc>
        <w:tc>
          <w:tcPr>
            <w:tcW w:w="2326" w:type="dxa"/>
          </w:tcPr>
          <w:p w14:paraId="645FDD20" w14:textId="7D929B9B" w:rsidR="00E86CF7" w:rsidRDefault="00E86CF7" w:rsidP="00E86CF7">
            <w:pPr>
              <w:jc w:val="right"/>
              <w:rPr>
                <w:lang w:val="en-CA"/>
              </w:rPr>
            </w:pPr>
            <w:r>
              <w:rPr>
                <w:lang w:val="en-CA"/>
              </w:rPr>
              <w:t>−42.5%</w:t>
            </w:r>
          </w:p>
        </w:tc>
      </w:tr>
      <w:tr w:rsidR="00E86CF7" w14:paraId="3D1D3F95" w14:textId="77777777" w:rsidTr="00027D6A">
        <w:tc>
          <w:tcPr>
            <w:tcW w:w="2326" w:type="dxa"/>
          </w:tcPr>
          <w:p w14:paraId="098F8498" w14:textId="1056A61E" w:rsidR="00E86CF7" w:rsidRDefault="00E86CF7" w:rsidP="00E86CF7">
            <w:pPr>
              <w:rPr>
                <w:lang w:val="en-CA"/>
              </w:rPr>
            </w:pPr>
            <w:r>
              <w:rPr>
                <w:lang w:val="en-CA"/>
              </w:rPr>
              <w:t>Panda</w:t>
            </w:r>
            <w:r w:rsidR="0094162B">
              <w:rPr>
                <w:lang w:val="en-CA"/>
              </w:rPr>
              <w:t>Set</w:t>
            </w:r>
          </w:p>
        </w:tc>
        <w:tc>
          <w:tcPr>
            <w:tcW w:w="2326" w:type="dxa"/>
          </w:tcPr>
          <w:p w14:paraId="3D8DF852" w14:textId="5C182717" w:rsidR="00E86CF7" w:rsidRDefault="00E86CF7" w:rsidP="00E86CF7">
            <w:pPr>
              <w:jc w:val="right"/>
              <w:rPr>
                <w:lang w:val="en-CA"/>
              </w:rPr>
            </w:pPr>
            <w:r>
              <w:rPr>
                <w:lang w:val="en-CA"/>
              </w:rPr>
              <w:t>−32.4%</w:t>
            </w:r>
          </w:p>
        </w:tc>
        <w:tc>
          <w:tcPr>
            <w:tcW w:w="2326" w:type="dxa"/>
          </w:tcPr>
          <w:p w14:paraId="61DE66C0" w14:textId="1B26E0E2" w:rsidR="00E86CF7" w:rsidRDefault="00E86CF7" w:rsidP="00E86CF7">
            <w:pPr>
              <w:jc w:val="right"/>
              <w:rPr>
                <w:lang w:val="en-CA"/>
              </w:rPr>
            </w:pPr>
            <w:r>
              <w:rPr>
                <w:lang w:val="en-CA"/>
              </w:rPr>
              <w:t>0.0%</w:t>
            </w:r>
          </w:p>
        </w:tc>
        <w:tc>
          <w:tcPr>
            <w:tcW w:w="2326" w:type="dxa"/>
          </w:tcPr>
          <w:p w14:paraId="4CD90839" w14:textId="36D833BE" w:rsidR="00E86CF7" w:rsidRDefault="00E86CF7" w:rsidP="00E86CF7">
            <w:pPr>
              <w:jc w:val="right"/>
              <w:rPr>
                <w:lang w:val="en-CA"/>
              </w:rPr>
            </w:pPr>
            <w:r>
              <w:rPr>
                <w:lang w:val="en-CA"/>
              </w:rPr>
              <w:t>−33.2%</w:t>
            </w:r>
          </w:p>
        </w:tc>
      </w:tr>
    </w:tbl>
    <w:p w14:paraId="1935D9AB" w14:textId="480757A9" w:rsidR="00BC4027" w:rsidRPr="00BC4027" w:rsidRDefault="00C62CCD" w:rsidP="00BC4027">
      <w:pPr>
        <w:rPr>
          <w:lang w:val="en-CA"/>
        </w:rPr>
      </w:pPr>
      <w:r>
        <w:rPr>
          <w:lang w:val="en-CA"/>
        </w:rPr>
        <w:t xml:space="preserve">As the results show, both methods provide a compression benefit </w:t>
      </w:r>
      <w:r w:rsidR="005A190B">
        <w:rPr>
          <w:lang w:val="en-CA"/>
        </w:rPr>
        <w:t>for video coding for machines applications. This benefit can be improved by combining these two methods</w:t>
      </w:r>
      <w:r w:rsidR="00C62B5E">
        <w:rPr>
          <w:lang w:val="en-CA"/>
        </w:rPr>
        <w:t>. For all three datasets the combination provides better results than taking only one of the methods.</w:t>
      </w:r>
    </w:p>
    <w:p w14:paraId="0BFB8E45" w14:textId="6B459CE9" w:rsidR="001B568A" w:rsidRDefault="001B568A" w:rsidP="001B568A">
      <w:pPr>
        <w:pStyle w:val="Heading2"/>
        <w:rPr>
          <w:lang w:val="en-CA"/>
        </w:rPr>
      </w:pPr>
      <w:r>
        <w:rPr>
          <w:lang w:val="en-CA"/>
        </w:rPr>
        <w:t>RRC and NNPF</w:t>
      </w:r>
    </w:p>
    <w:p w14:paraId="6BF272F7" w14:textId="62058334" w:rsidR="00BC4027" w:rsidRDefault="00BC4027" w:rsidP="00BC4027">
      <w:pPr>
        <w:rPr>
          <w:lang w:val="en-CA"/>
        </w:rPr>
      </w:pPr>
      <w:r>
        <w:rPr>
          <w:lang w:val="en-CA"/>
        </w:rPr>
        <w:t xml:space="preserve">The second test combines encoding sequences in reduced resolution while scaling with the reference picture resampling (RPR) filters available in the VTM software. Two different </w:t>
      </w:r>
      <w:r w:rsidR="001A53D5">
        <w:rPr>
          <w:lang w:val="en-CA"/>
        </w:rPr>
        <w:t xml:space="preserve">scaling factors were tested, 1.25x and 1.5x. Results are summarized in </w:t>
      </w:r>
      <w:r w:rsidR="00E86CF7">
        <w:rPr>
          <w:lang w:val="en-CA"/>
        </w:rPr>
        <w:fldChar w:fldCharType="begin"/>
      </w:r>
      <w:r w:rsidR="00E86CF7">
        <w:rPr>
          <w:lang w:val="en-CA"/>
        </w:rPr>
        <w:instrText xml:space="preserve"> REF _Ref179818879 \h </w:instrText>
      </w:r>
      <w:r w:rsidR="00E86CF7">
        <w:rPr>
          <w:lang w:val="en-CA"/>
        </w:rPr>
      </w:r>
      <w:r w:rsidR="00E86CF7">
        <w:rPr>
          <w:lang w:val="en-CA"/>
        </w:rPr>
        <w:fldChar w:fldCharType="separate"/>
      </w:r>
      <w:r w:rsidR="00E86CF7">
        <w:t xml:space="preserve">Table </w:t>
      </w:r>
      <w:r w:rsidR="00E86CF7">
        <w:rPr>
          <w:noProof/>
        </w:rPr>
        <w:t>2</w:t>
      </w:r>
      <w:r w:rsidR="00E86CF7">
        <w:rPr>
          <w:lang w:val="en-CA"/>
        </w:rPr>
        <w:fldChar w:fldCharType="end"/>
      </w:r>
      <w:r w:rsidR="001A53D5">
        <w:rPr>
          <w:lang w:val="en-CA"/>
        </w:rPr>
        <w:t>. Similar to the previous test, results were obtained in random access configuration with settings according to the CTC.</w:t>
      </w:r>
    </w:p>
    <w:p w14:paraId="2280D013" w14:textId="77777777" w:rsidR="00CA3CC9" w:rsidRDefault="00CA3CC9" w:rsidP="00BC4027">
      <w:pPr>
        <w:rPr>
          <w:lang w:val="en-CA"/>
        </w:rPr>
      </w:pPr>
    </w:p>
    <w:p w14:paraId="3F534119" w14:textId="1F7F80C6" w:rsidR="00CA3CC9" w:rsidRDefault="00CA3CC9" w:rsidP="00CA3CC9">
      <w:pPr>
        <w:pStyle w:val="Caption"/>
        <w:keepNext/>
      </w:pPr>
      <w:bookmarkStart w:id="1" w:name="_Ref179818879"/>
      <w:r>
        <w:t xml:space="preserve">Table </w:t>
      </w:r>
      <w:r>
        <w:fldChar w:fldCharType="begin"/>
      </w:r>
      <w:r>
        <w:instrText xml:space="preserve"> SEQ Table \* ARABIC </w:instrText>
      </w:r>
      <w:r>
        <w:fldChar w:fldCharType="separate"/>
      </w:r>
      <w:r>
        <w:rPr>
          <w:noProof/>
        </w:rPr>
        <w:t>2</w:t>
      </w:r>
      <w:r>
        <w:fldChar w:fldCharType="end"/>
      </w:r>
      <w:bookmarkEnd w:id="1"/>
      <w:r>
        <w:t>.</w:t>
      </w:r>
      <w:r>
        <w:rPr>
          <w:noProof/>
        </w:rPr>
        <w:t xml:space="preserve"> Results for combination of RRC and NNPF</w:t>
      </w:r>
    </w:p>
    <w:tbl>
      <w:tblPr>
        <w:tblStyle w:val="TableGrid"/>
        <w:tblW w:w="0" w:type="auto"/>
        <w:tblLook w:val="04A0" w:firstRow="1" w:lastRow="0" w:firstColumn="1" w:lastColumn="0" w:noHBand="0" w:noVBand="1"/>
      </w:tblPr>
      <w:tblGrid>
        <w:gridCol w:w="1635"/>
        <w:gridCol w:w="1613"/>
        <w:gridCol w:w="1598"/>
        <w:gridCol w:w="1486"/>
        <w:gridCol w:w="1486"/>
        <w:gridCol w:w="1486"/>
      </w:tblGrid>
      <w:tr w:rsidR="001A53D5" w14:paraId="05B5BC0C" w14:textId="77777777" w:rsidTr="001A53D5">
        <w:tc>
          <w:tcPr>
            <w:tcW w:w="1635" w:type="dxa"/>
          </w:tcPr>
          <w:p w14:paraId="271B7F94" w14:textId="663DF61A" w:rsidR="001A53D5" w:rsidRDefault="001A53D5" w:rsidP="00BC4027">
            <w:pPr>
              <w:rPr>
                <w:lang w:val="en-CA"/>
              </w:rPr>
            </w:pPr>
            <w:r>
              <w:rPr>
                <w:lang w:val="en-CA"/>
              </w:rPr>
              <w:t>Dataset</w:t>
            </w:r>
          </w:p>
        </w:tc>
        <w:tc>
          <w:tcPr>
            <w:tcW w:w="1613" w:type="dxa"/>
          </w:tcPr>
          <w:p w14:paraId="64FA10FA" w14:textId="57CDAEBA" w:rsidR="001A53D5" w:rsidRDefault="001A53D5" w:rsidP="00BC4027">
            <w:pPr>
              <w:rPr>
                <w:lang w:val="en-CA"/>
              </w:rPr>
            </w:pPr>
            <w:r>
              <w:rPr>
                <w:lang w:val="en-CA"/>
              </w:rPr>
              <w:t>NNPF</w:t>
            </w:r>
          </w:p>
        </w:tc>
        <w:tc>
          <w:tcPr>
            <w:tcW w:w="1598" w:type="dxa"/>
          </w:tcPr>
          <w:p w14:paraId="686A3A35" w14:textId="688FAF73" w:rsidR="001A53D5" w:rsidRDefault="001A53D5" w:rsidP="00BC4027">
            <w:pPr>
              <w:rPr>
                <w:lang w:val="en-CA"/>
              </w:rPr>
            </w:pPr>
            <w:r>
              <w:rPr>
                <w:lang w:val="en-CA"/>
              </w:rPr>
              <w:t>RRC 1.25x</w:t>
            </w:r>
          </w:p>
        </w:tc>
        <w:tc>
          <w:tcPr>
            <w:tcW w:w="1486" w:type="dxa"/>
          </w:tcPr>
          <w:p w14:paraId="4E47F8F7" w14:textId="70C701F5" w:rsidR="001A53D5" w:rsidRDefault="001A53D5" w:rsidP="00BC4027">
            <w:pPr>
              <w:rPr>
                <w:lang w:val="en-CA"/>
              </w:rPr>
            </w:pPr>
            <w:r>
              <w:rPr>
                <w:lang w:val="en-CA"/>
              </w:rPr>
              <w:t>RRC 1.25x + NNPF</w:t>
            </w:r>
          </w:p>
        </w:tc>
        <w:tc>
          <w:tcPr>
            <w:tcW w:w="1486" w:type="dxa"/>
          </w:tcPr>
          <w:p w14:paraId="230D23E0" w14:textId="4048A68A" w:rsidR="001A53D5" w:rsidRDefault="001A53D5" w:rsidP="00BC4027">
            <w:pPr>
              <w:rPr>
                <w:lang w:val="en-CA"/>
              </w:rPr>
            </w:pPr>
            <w:r>
              <w:rPr>
                <w:lang w:val="en-CA"/>
              </w:rPr>
              <w:t>RRC 1.5x</w:t>
            </w:r>
          </w:p>
        </w:tc>
        <w:tc>
          <w:tcPr>
            <w:tcW w:w="1486" w:type="dxa"/>
          </w:tcPr>
          <w:p w14:paraId="3A270348" w14:textId="44E8DAB7" w:rsidR="001A53D5" w:rsidRDefault="001A53D5" w:rsidP="00BC4027">
            <w:pPr>
              <w:rPr>
                <w:lang w:val="en-CA"/>
              </w:rPr>
            </w:pPr>
            <w:r>
              <w:rPr>
                <w:lang w:val="en-CA"/>
              </w:rPr>
              <w:t>RRC 1.5x + NNPF</w:t>
            </w:r>
          </w:p>
        </w:tc>
      </w:tr>
      <w:tr w:rsidR="001A53D5" w14:paraId="781EFD4F" w14:textId="77777777" w:rsidTr="001A53D5">
        <w:tc>
          <w:tcPr>
            <w:tcW w:w="1635" w:type="dxa"/>
          </w:tcPr>
          <w:p w14:paraId="27FBD880" w14:textId="46E09684" w:rsidR="001A53D5" w:rsidRDefault="001A53D5" w:rsidP="00BC4027">
            <w:pPr>
              <w:rPr>
                <w:lang w:val="en-CA"/>
              </w:rPr>
            </w:pPr>
            <w:r>
              <w:rPr>
                <w:lang w:val="en-CA"/>
              </w:rPr>
              <w:t>SFU-HW</w:t>
            </w:r>
          </w:p>
        </w:tc>
        <w:tc>
          <w:tcPr>
            <w:tcW w:w="1613" w:type="dxa"/>
          </w:tcPr>
          <w:p w14:paraId="03AD6C90" w14:textId="5270EB3D" w:rsidR="001A53D5" w:rsidRDefault="00BE0DC1" w:rsidP="00BE0DC1">
            <w:pPr>
              <w:jc w:val="right"/>
              <w:rPr>
                <w:lang w:val="en-CA"/>
              </w:rPr>
            </w:pPr>
            <w:r>
              <w:rPr>
                <w:lang w:val="en-CA"/>
              </w:rPr>
              <w:t>−24.7%</w:t>
            </w:r>
          </w:p>
        </w:tc>
        <w:tc>
          <w:tcPr>
            <w:tcW w:w="1598" w:type="dxa"/>
          </w:tcPr>
          <w:p w14:paraId="2F2A7D6C" w14:textId="21A968E6" w:rsidR="001A53D5" w:rsidRDefault="00BE0DC1" w:rsidP="00BE0DC1">
            <w:pPr>
              <w:jc w:val="right"/>
              <w:rPr>
                <w:lang w:val="en-CA"/>
              </w:rPr>
            </w:pPr>
            <w:r>
              <w:rPr>
                <w:lang w:val="en-CA"/>
              </w:rPr>
              <w:t>−4.1%</w:t>
            </w:r>
          </w:p>
        </w:tc>
        <w:tc>
          <w:tcPr>
            <w:tcW w:w="1486" w:type="dxa"/>
          </w:tcPr>
          <w:p w14:paraId="0C1A590D" w14:textId="17FD964C" w:rsidR="001A53D5" w:rsidRDefault="00BE0DC1" w:rsidP="00BE0DC1">
            <w:pPr>
              <w:jc w:val="right"/>
              <w:rPr>
                <w:lang w:val="en-CA"/>
              </w:rPr>
            </w:pPr>
            <w:r>
              <w:rPr>
                <w:lang w:val="en-CA"/>
              </w:rPr>
              <w:t>−26.7%</w:t>
            </w:r>
          </w:p>
        </w:tc>
        <w:tc>
          <w:tcPr>
            <w:tcW w:w="1486" w:type="dxa"/>
          </w:tcPr>
          <w:p w14:paraId="3399AE0D" w14:textId="024C0E0B" w:rsidR="001A53D5" w:rsidRDefault="00BE0DC1" w:rsidP="00BE0DC1">
            <w:pPr>
              <w:jc w:val="right"/>
              <w:rPr>
                <w:lang w:val="en-CA"/>
              </w:rPr>
            </w:pPr>
            <w:r>
              <w:rPr>
                <w:lang w:val="en-CA"/>
              </w:rPr>
              <w:t>−2.1%</w:t>
            </w:r>
          </w:p>
        </w:tc>
        <w:tc>
          <w:tcPr>
            <w:tcW w:w="1486" w:type="dxa"/>
          </w:tcPr>
          <w:p w14:paraId="69D6FFC4" w14:textId="744DE103" w:rsidR="001A53D5" w:rsidRDefault="00BE0DC1" w:rsidP="00BE0DC1">
            <w:pPr>
              <w:jc w:val="right"/>
              <w:rPr>
                <w:lang w:val="en-CA"/>
              </w:rPr>
            </w:pPr>
            <w:r>
              <w:rPr>
                <w:lang w:val="en-CA"/>
              </w:rPr>
              <w:t>−20.3%</w:t>
            </w:r>
          </w:p>
        </w:tc>
      </w:tr>
      <w:tr w:rsidR="001A53D5" w14:paraId="149568A4" w14:textId="77777777" w:rsidTr="001A53D5">
        <w:tc>
          <w:tcPr>
            <w:tcW w:w="1635" w:type="dxa"/>
          </w:tcPr>
          <w:p w14:paraId="57E8AA3F" w14:textId="7EACE249" w:rsidR="001A53D5" w:rsidRDefault="001A53D5" w:rsidP="00BC4027">
            <w:pPr>
              <w:rPr>
                <w:lang w:val="en-CA"/>
              </w:rPr>
            </w:pPr>
            <w:r>
              <w:rPr>
                <w:lang w:val="en-CA"/>
              </w:rPr>
              <w:t>TVD</w:t>
            </w:r>
          </w:p>
        </w:tc>
        <w:tc>
          <w:tcPr>
            <w:tcW w:w="1613" w:type="dxa"/>
          </w:tcPr>
          <w:p w14:paraId="13D8181E" w14:textId="1A727FE6" w:rsidR="001A53D5" w:rsidRDefault="00BE0DC1" w:rsidP="00BE0DC1">
            <w:pPr>
              <w:jc w:val="right"/>
              <w:rPr>
                <w:lang w:val="en-CA"/>
              </w:rPr>
            </w:pPr>
            <w:r>
              <w:rPr>
                <w:lang w:val="en-CA"/>
              </w:rPr>
              <w:t>−26.8%</w:t>
            </w:r>
          </w:p>
        </w:tc>
        <w:tc>
          <w:tcPr>
            <w:tcW w:w="1598" w:type="dxa"/>
          </w:tcPr>
          <w:p w14:paraId="6421F995" w14:textId="0A6BE15D" w:rsidR="001A53D5" w:rsidRDefault="00BE0DC1" w:rsidP="00BE0DC1">
            <w:pPr>
              <w:jc w:val="right"/>
              <w:rPr>
                <w:lang w:val="en-CA"/>
              </w:rPr>
            </w:pPr>
            <w:r>
              <w:rPr>
                <w:lang w:val="en-CA"/>
              </w:rPr>
              <w:t>−4.0%</w:t>
            </w:r>
          </w:p>
        </w:tc>
        <w:tc>
          <w:tcPr>
            <w:tcW w:w="1486" w:type="dxa"/>
          </w:tcPr>
          <w:p w14:paraId="0670BC4C" w14:textId="1B03194C" w:rsidR="001A53D5" w:rsidRDefault="00BE0DC1" w:rsidP="00BE0DC1">
            <w:pPr>
              <w:jc w:val="right"/>
              <w:rPr>
                <w:lang w:val="en-CA"/>
              </w:rPr>
            </w:pPr>
            <w:r>
              <w:rPr>
                <w:lang w:val="en-CA"/>
              </w:rPr>
              <w:t>−38.6%</w:t>
            </w:r>
          </w:p>
        </w:tc>
        <w:tc>
          <w:tcPr>
            <w:tcW w:w="1486" w:type="dxa"/>
          </w:tcPr>
          <w:p w14:paraId="6AD937C7" w14:textId="3054092B" w:rsidR="001A53D5" w:rsidRDefault="00BE0DC1" w:rsidP="00BE0DC1">
            <w:pPr>
              <w:jc w:val="right"/>
              <w:rPr>
                <w:lang w:val="en-CA"/>
              </w:rPr>
            </w:pPr>
            <w:r>
              <w:rPr>
                <w:lang w:val="en-CA"/>
              </w:rPr>
              <w:t>−4.1%</w:t>
            </w:r>
          </w:p>
        </w:tc>
        <w:tc>
          <w:tcPr>
            <w:tcW w:w="1486" w:type="dxa"/>
          </w:tcPr>
          <w:p w14:paraId="2DF46A0E" w14:textId="0030C412" w:rsidR="001A53D5" w:rsidRDefault="00BE0DC1" w:rsidP="00BE0DC1">
            <w:pPr>
              <w:jc w:val="right"/>
              <w:rPr>
                <w:lang w:val="en-CA"/>
              </w:rPr>
            </w:pPr>
            <w:r>
              <w:rPr>
                <w:lang w:val="en-CA"/>
              </w:rPr>
              <w:t>−35.6%</w:t>
            </w:r>
          </w:p>
        </w:tc>
      </w:tr>
      <w:tr w:rsidR="001A53D5" w14:paraId="5F41EA0F" w14:textId="77777777" w:rsidTr="001A53D5">
        <w:tc>
          <w:tcPr>
            <w:tcW w:w="1635" w:type="dxa"/>
          </w:tcPr>
          <w:p w14:paraId="42DC0EFB" w14:textId="03F2C06C" w:rsidR="001A53D5" w:rsidRDefault="001A53D5" w:rsidP="00BC4027">
            <w:pPr>
              <w:rPr>
                <w:lang w:val="en-CA"/>
              </w:rPr>
            </w:pPr>
            <w:r>
              <w:rPr>
                <w:lang w:val="en-CA"/>
              </w:rPr>
              <w:t>Panda</w:t>
            </w:r>
            <w:r w:rsidR="0094162B">
              <w:rPr>
                <w:lang w:val="en-CA"/>
              </w:rPr>
              <w:t>Set</w:t>
            </w:r>
          </w:p>
        </w:tc>
        <w:tc>
          <w:tcPr>
            <w:tcW w:w="1613" w:type="dxa"/>
          </w:tcPr>
          <w:p w14:paraId="0F377DE4" w14:textId="1CFAEF4B" w:rsidR="001A53D5" w:rsidRDefault="00BE0DC1" w:rsidP="00BE0DC1">
            <w:pPr>
              <w:jc w:val="right"/>
              <w:rPr>
                <w:lang w:val="en-CA"/>
              </w:rPr>
            </w:pPr>
            <w:r>
              <w:rPr>
                <w:lang w:val="en-CA"/>
              </w:rPr>
              <w:t>−32.4%</w:t>
            </w:r>
          </w:p>
        </w:tc>
        <w:tc>
          <w:tcPr>
            <w:tcW w:w="1598" w:type="dxa"/>
          </w:tcPr>
          <w:p w14:paraId="5EE54AF9" w14:textId="5432CA8B" w:rsidR="001A53D5" w:rsidRDefault="00BE0DC1" w:rsidP="00BE0DC1">
            <w:pPr>
              <w:jc w:val="right"/>
              <w:rPr>
                <w:lang w:val="en-CA"/>
              </w:rPr>
            </w:pPr>
            <w:r>
              <w:rPr>
                <w:lang w:val="en-CA"/>
              </w:rPr>
              <w:t>−1.0%</w:t>
            </w:r>
          </w:p>
        </w:tc>
        <w:tc>
          <w:tcPr>
            <w:tcW w:w="1486" w:type="dxa"/>
          </w:tcPr>
          <w:p w14:paraId="1D7A26AC" w14:textId="483D98A1" w:rsidR="001A53D5" w:rsidRDefault="00BE0DC1" w:rsidP="00BE0DC1">
            <w:pPr>
              <w:jc w:val="right"/>
              <w:rPr>
                <w:lang w:val="en-CA"/>
              </w:rPr>
            </w:pPr>
            <w:r>
              <w:rPr>
                <w:lang w:val="en-CA"/>
              </w:rPr>
              <w:t>−32.8%</w:t>
            </w:r>
          </w:p>
        </w:tc>
        <w:tc>
          <w:tcPr>
            <w:tcW w:w="1486" w:type="dxa"/>
          </w:tcPr>
          <w:p w14:paraId="1E97232E" w14:textId="0CF9808C" w:rsidR="001A53D5" w:rsidRDefault="00BE0DC1" w:rsidP="00BE0DC1">
            <w:pPr>
              <w:jc w:val="right"/>
              <w:rPr>
                <w:lang w:val="en-CA"/>
              </w:rPr>
            </w:pPr>
            <w:r>
              <w:rPr>
                <w:lang w:val="en-CA"/>
              </w:rPr>
              <w:t>−3.7%</w:t>
            </w:r>
          </w:p>
        </w:tc>
        <w:tc>
          <w:tcPr>
            <w:tcW w:w="1486" w:type="dxa"/>
          </w:tcPr>
          <w:p w14:paraId="722A63C1" w14:textId="5910F09A" w:rsidR="001A53D5" w:rsidRDefault="00BE0DC1" w:rsidP="00BE0DC1">
            <w:pPr>
              <w:jc w:val="right"/>
              <w:rPr>
                <w:lang w:val="en-CA"/>
              </w:rPr>
            </w:pPr>
            <w:r>
              <w:rPr>
                <w:lang w:val="en-CA"/>
              </w:rPr>
              <w:t>−29.0%</w:t>
            </w:r>
          </w:p>
        </w:tc>
      </w:tr>
    </w:tbl>
    <w:p w14:paraId="690017E9" w14:textId="0CDA1A2C" w:rsidR="001A53D5" w:rsidRPr="00BC4027" w:rsidRDefault="00A83716" w:rsidP="00BC4027">
      <w:pPr>
        <w:rPr>
          <w:lang w:val="en-CA"/>
        </w:rPr>
      </w:pPr>
      <w:r>
        <w:rPr>
          <w:lang w:val="en-CA"/>
        </w:rPr>
        <w:t xml:space="preserve">For RRC the results are not as clear as for the ROIaQP case. </w:t>
      </w:r>
      <w:r w:rsidR="007D0F62">
        <w:rPr>
          <w:lang w:val="en-CA"/>
        </w:rPr>
        <w:t>W</w:t>
      </w:r>
      <w:r>
        <w:rPr>
          <w:lang w:val="en-CA"/>
        </w:rPr>
        <w:t xml:space="preserve">hen looking at </w:t>
      </w:r>
      <w:r w:rsidR="00131526">
        <w:rPr>
          <w:lang w:val="en-CA"/>
        </w:rPr>
        <w:t>scaling factor 1.25x the combination of NNPF and RRC gives an additional benefit</w:t>
      </w:r>
      <w:r w:rsidR="0077068D">
        <w:rPr>
          <w:lang w:val="en-CA"/>
        </w:rPr>
        <w:t xml:space="preserve"> for all three datasets. </w:t>
      </w:r>
      <w:r w:rsidR="007D0F62">
        <w:rPr>
          <w:lang w:val="en-CA"/>
        </w:rPr>
        <w:t>However, f</w:t>
      </w:r>
      <w:r w:rsidR="0077068D">
        <w:rPr>
          <w:lang w:val="en-CA"/>
        </w:rPr>
        <w:t>or scaling factor 1.5x</w:t>
      </w:r>
      <w:r w:rsidR="0094162B">
        <w:rPr>
          <w:lang w:val="en-CA"/>
        </w:rPr>
        <w:t xml:space="preserve"> only TVD benefits from the combination. For both SFU-HW and PandaSet </w:t>
      </w:r>
      <w:r w:rsidR="003A7F61">
        <w:rPr>
          <w:lang w:val="en-CA"/>
        </w:rPr>
        <w:t>the combination gives a lower benefit than using only the NNPF</w:t>
      </w:r>
      <w:r w:rsidR="00726408">
        <w:rPr>
          <w:lang w:val="en-CA"/>
        </w:rPr>
        <w:t>, despite using only RRC</w:t>
      </w:r>
      <w:r w:rsidR="004114B6">
        <w:rPr>
          <w:lang w:val="en-CA"/>
        </w:rPr>
        <w:t xml:space="preserve"> gives a benefit compared to the reference (VTM in its default configuration</w:t>
      </w:r>
      <w:r w:rsidR="008B6D9E">
        <w:rPr>
          <w:lang w:val="en-CA"/>
        </w:rPr>
        <w:t>)</w:t>
      </w:r>
      <w:r w:rsidR="004114B6">
        <w:rPr>
          <w:lang w:val="en-CA"/>
        </w:rPr>
        <w:t>.</w:t>
      </w:r>
    </w:p>
    <w:p w14:paraId="770E1468" w14:textId="0CE25249" w:rsidR="001B568A" w:rsidRDefault="001B568A" w:rsidP="001B568A">
      <w:pPr>
        <w:pStyle w:val="Heading1"/>
        <w:rPr>
          <w:lang w:val="en-CA"/>
        </w:rPr>
      </w:pPr>
      <w:r>
        <w:rPr>
          <w:lang w:val="en-CA"/>
        </w:rPr>
        <w:t>Discussion</w:t>
      </w:r>
    </w:p>
    <w:p w14:paraId="680D8BB9" w14:textId="448E6EAE" w:rsidR="006C0BCC" w:rsidRDefault="00607BC5" w:rsidP="006C6C51">
      <w:pPr>
        <w:rPr>
          <w:lang w:val="en-CA"/>
        </w:rPr>
      </w:pPr>
      <w:r>
        <w:rPr>
          <w:lang w:val="en-CA"/>
        </w:rPr>
        <w:t>In this contribution we have tested two different combination</w:t>
      </w:r>
      <w:r w:rsidR="007D0F62">
        <w:rPr>
          <w:lang w:val="en-CA"/>
        </w:rPr>
        <w:t xml:space="preserve">s of methods that </w:t>
      </w:r>
      <w:r w:rsidR="00881A26">
        <w:rPr>
          <w:lang w:val="en-CA"/>
        </w:rPr>
        <w:t xml:space="preserve">are either described in the TR on </w:t>
      </w:r>
      <w:r w:rsidR="007A210D">
        <w:rPr>
          <w:lang w:val="en-CA"/>
        </w:rPr>
        <w:t>VCM or proposed to be added.</w:t>
      </w:r>
      <w:r w:rsidR="007A616D">
        <w:rPr>
          <w:lang w:val="en-CA"/>
        </w:rPr>
        <w:t xml:space="preserve"> The combined results show that the compression efficiency can be improved </w:t>
      </w:r>
      <w:r w:rsidR="00EC08E9">
        <w:rPr>
          <w:lang w:val="en-CA"/>
        </w:rPr>
        <w:t xml:space="preserve">by combining </w:t>
      </w:r>
      <w:r w:rsidR="00DF285F">
        <w:rPr>
          <w:lang w:val="en-CA"/>
        </w:rPr>
        <w:t xml:space="preserve">the evaluated methods. </w:t>
      </w:r>
    </w:p>
    <w:p w14:paraId="18931C37" w14:textId="6B57F9EF" w:rsidR="00180A32" w:rsidRPr="00607BC5" w:rsidRDefault="00180A32" w:rsidP="006C6C51">
      <w:pPr>
        <w:rPr>
          <w:lang w:val="en-CA"/>
        </w:rPr>
      </w:pPr>
      <w:r>
        <w:rPr>
          <w:lang w:val="en-CA"/>
        </w:rPr>
        <w:t>If it is decided to add a section or clause on combinations of technologies to the TR, it is proposed to include the</w:t>
      </w:r>
      <w:r w:rsidR="00493D00">
        <w:rPr>
          <w:lang w:val="en-CA"/>
        </w:rPr>
        <w:t xml:space="preserve"> combinations tested in this contribution to that section or clause.</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5BF4993" w:rsidR="00342FF4" w:rsidRPr="005B217D" w:rsidRDefault="007E68CE" w:rsidP="009234A5">
      <w:pPr>
        <w:rPr>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dt>
      <w:sdtPr>
        <w:rPr>
          <w:rFonts w:cs="Times New Roman"/>
          <w:b w:val="0"/>
          <w:bCs w:val="0"/>
          <w:kern w:val="0"/>
          <w:sz w:val="22"/>
          <w:szCs w:val="20"/>
        </w:rPr>
        <w:id w:val="569769390"/>
        <w:docPartObj>
          <w:docPartGallery w:val="Bibliographies"/>
          <w:docPartUnique/>
        </w:docPartObj>
      </w:sdtPr>
      <w:sdtEndPr/>
      <w:sdtContent>
        <w:p w14:paraId="584B0DC9" w14:textId="11F8CDC5" w:rsidR="007E68CE" w:rsidRDefault="007E68CE">
          <w:pPr>
            <w:pStyle w:val="Heading1"/>
          </w:pPr>
          <w:r>
            <w:t>References</w:t>
          </w:r>
        </w:p>
        <w:sdt>
          <w:sdtPr>
            <w:id w:val="-573587230"/>
            <w:bibliography/>
          </w:sdtPr>
          <w:sdtEndPr/>
          <w:sdtContent>
            <w:p w14:paraId="10AAFB2B" w14:textId="77777777" w:rsidR="00CA3CC9" w:rsidRDefault="007E68CE">
              <w:pPr>
                <w:rPr>
                  <w:noProof/>
                  <w:sz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2"/>
              </w:tblGrid>
              <w:tr w:rsidR="00CA3CC9" w14:paraId="24F3C15E" w14:textId="77777777">
                <w:trPr>
                  <w:divId w:val="820318360"/>
                  <w:tblCellSpacing w:w="15" w:type="dxa"/>
                </w:trPr>
                <w:tc>
                  <w:tcPr>
                    <w:tcW w:w="50" w:type="pct"/>
                    <w:hideMark/>
                  </w:tcPr>
                  <w:p w14:paraId="27EFE9DF" w14:textId="6FFE7A69" w:rsidR="00CA3CC9" w:rsidRDefault="00CA3CC9">
                    <w:pPr>
                      <w:pStyle w:val="Bibliography"/>
                      <w:rPr>
                        <w:noProof/>
                        <w:sz w:val="24"/>
                        <w:szCs w:val="24"/>
                      </w:rPr>
                    </w:pPr>
                    <w:r>
                      <w:rPr>
                        <w:noProof/>
                      </w:rPr>
                      <w:lastRenderedPageBreak/>
                      <w:t xml:space="preserve">[1] </w:t>
                    </w:r>
                  </w:p>
                </w:tc>
                <w:tc>
                  <w:tcPr>
                    <w:tcW w:w="0" w:type="auto"/>
                    <w:hideMark/>
                  </w:tcPr>
                  <w:p w14:paraId="39EBC510" w14:textId="77777777" w:rsidR="00CA3CC9" w:rsidRDefault="00CA3CC9">
                    <w:pPr>
                      <w:pStyle w:val="Bibliography"/>
                      <w:rPr>
                        <w:noProof/>
                      </w:rPr>
                    </w:pPr>
                    <w:r>
                      <w:rPr>
                        <w:noProof/>
                      </w:rPr>
                      <w:t>C. Hollmann, J. Chen and S. Liu, "Optimization of encoders and receiving systems for machine analysis of coded video content (draft 6)," JVET-AI2030, Sapporo, JP, July 2024.</w:t>
                    </w:r>
                  </w:p>
                </w:tc>
              </w:tr>
              <w:tr w:rsidR="00CA3CC9" w14:paraId="36C7DD80" w14:textId="77777777">
                <w:trPr>
                  <w:divId w:val="820318360"/>
                  <w:tblCellSpacing w:w="15" w:type="dxa"/>
                </w:trPr>
                <w:tc>
                  <w:tcPr>
                    <w:tcW w:w="50" w:type="pct"/>
                    <w:hideMark/>
                  </w:tcPr>
                  <w:p w14:paraId="364E02B9" w14:textId="77777777" w:rsidR="00CA3CC9" w:rsidRDefault="00CA3CC9">
                    <w:pPr>
                      <w:pStyle w:val="Bibliography"/>
                      <w:rPr>
                        <w:noProof/>
                      </w:rPr>
                    </w:pPr>
                    <w:r>
                      <w:rPr>
                        <w:noProof/>
                      </w:rPr>
                      <w:t xml:space="preserve">[2] </w:t>
                    </w:r>
                  </w:p>
                </w:tc>
                <w:tc>
                  <w:tcPr>
                    <w:tcW w:w="0" w:type="auto"/>
                    <w:hideMark/>
                  </w:tcPr>
                  <w:p w14:paraId="69CB494C" w14:textId="77777777" w:rsidR="00CA3CC9" w:rsidRDefault="00CA3CC9">
                    <w:pPr>
                      <w:pStyle w:val="Bibliography"/>
                      <w:rPr>
                        <w:noProof/>
                      </w:rPr>
                    </w:pPr>
                    <w:r>
                      <w:rPr>
                        <w:noProof/>
                      </w:rPr>
                      <w:t>C. Hollmann, J. Ström, P. Wennersten, L. Litwic, R. Sjöberg and M. Damghanian, "Information about Ericsson’s response to the CfP for Video Coding for Machines," JVET-AB0275, Mainz, DE, October 2022.</w:t>
                    </w:r>
                  </w:p>
                </w:tc>
              </w:tr>
              <w:tr w:rsidR="00CA3CC9" w14:paraId="4763F90B" w14:textId="77777777">
                <w:trPr>
                  <w:divId w:val="820318360"/>
                  <w:tblCellSpacing w:w="15" w:type="dxa"/>
                </w:trPr>
                <w:tc>
                  <w:tcPr>
                    <w:tcW w:w="50" w:type="pct"/>
                    <w:hideMark/>
                  </w:tcPr>
                  <w:p w14:paraId="2C8938C4" w14:textId="77777777" w:rsidR="00CA3CC9" w:rsidRDefault="00CA3CC9">
                    <w:pPr>
                      <w:pStyle w:val="Bibliography"/>
                      <w:rPr>
                        <w:noProof/>
                      </w:rPr>
                    </w:pPr>
                    <w:r>
                      <w:rPr>
                        <w:noProof/>
                      </w:rPr>
                      <w:t xml:space="preserve">[3] </w:t>
                    </w:r>
                  </w:p>
                </w:tc>
                <w:tc>
                  <w:tcPr>
                    <w:tcW w:w="0" w:type="auto"/>
                    <w:hideMark/>
                  </w:tcPr>
                  <w:p w14:paraId="275372B3" w14:textId="77777777" w:rsidR="00CA3CC9" w:rsidRDefault="00CA3CC9">
                    <w:pPr>
                      <w:pStyle w:val="Bibliography"/>
                      <w:rPr>
                        <w:noProof/>
                      </w:rPr>
                    </w:pPr>
                    <w:r>
                      <w:rPr>
                        <w:noProof/>
                      </w:rPr>
                      <w:t>C. Kim, D. Gwak and J. Lim, "[AHG8] De-noising filter as pre-processing for machine task," JVET-AE0081, Geneva, CH, July 2023.</w:t>
                    </w:r>
                  </w:p>
                </w:tc>
              </w:tr>
              <w:tr w:rsidR="00CA3CC9" w14:paraId="0D546D3D" w14:textId="77777777">
                <w:trPr>
                  <w:divId w:val="820318360"/>
                  <w:tblCellSpacing w:w="15" w:type="dxa"/>
                </w:trPr>
                <w:tc>
                  <w:tcPr>
                    <w:tcW w:w="50" w:type="pct"/>
                    <w:hideMark/>
                  </w:tcPr>
                  <w:p w14:paraId="615607CA" w14:textId="77777777" w:rsidR="00CA3CC9" w:rsidRDefault="00CA3CC9">
                    <w:pPr>
                      <w:pStyle w:val="Bibliography"/>
                      <w:rPr>
                        <w:noProof/>
                      </w:rPr>
                    </w:pPr>
                    <w:r>
                      <w:rPr>
                        <w:noProof/>
                      </w:rPr>
                      <w:t xml:space="preserve">[4] </w:t>
                    </w:r>
                  </w:p>
                </w:tc>
                <w:tc>
                  <w:tcPr>
                    <w:tcW w:w="0" w:type="auto"/>
                    <w:hideMark/>
                  </w:tcPr>
                  <w:p w14:paraId="3C75C6B2" w14:textId="77777777" w:rsidR="00CA3CC9" w:rsidRDefault="00CA3CC9">
                    <w:pPr>
                      <w:pStyle w:val="Bibliography"/>
                      <w:rPr>
                        <w:noProof/>
                      </w:rPr>
                    </w:pPr>
                    <w:r>
                      <w:rPr>
                        <w:noProof/>
                      </w:rPr>
                      <w:t>S. Wang, B. Li, J. Chen and Y. Ye, "AHG8: On combined pre-processing and post-processing for machine vision," JVET-AH0157, Rennes, FR, April 2024.</w:t>
                    </w:r>
                  </w:p>
                </w:tc>
              </w:tr>
              <w:tr w:rsidR="00CA3CC9" w14:paraId="6640E673" w14:textId="77777777">
                <w:trPr>
                  <w:divId w:val="820318360"/>
                  <w:tblCellSpacing w:w="15" w:type="dxa"/>
                </w:trPr>
                <w:tc>
                  <w:tcPr>
                    <w:tcW w:w="50" w:type="pct"/>
                    <w:hideMark/>
                  </w:tcPr>
                  <w:p w14:paraId="7AEF7714" w14:textId="77777777" w:rsidR="00CA3CC9" w:rsidRDefault="00CA3CC9">
                    <w:pPr>
                      <w:pStyle w:val="Bibliography"/>
                      <w:rPr>
                        <w:noProof/>
                      </w:rPr>
                    </w:pPr>
                    <w:r>
                      <w:rPr>
                        <w:noProof/>
                      </w:rPr>
                      <w:t xml:space="preserve">[5] </w:t>
                    </w:r>
                  </w:p>
                </w:tc>
                <w:tc>
                  <w:tcPr>
                    <w:tcW w:w="0" w:type="auto"/>
                    <w:hideMark/>
                  </w:tcPr>
                  <w:p w14:paraId="4FB823C4" w14:textId="77777777" w:rsidR="00CA3CC9" w:rsidRDefault="00CA3CC9">
                    <w:pPr>
                      <w:pStyle w:val="Bibliography"/>
                      <w:rPr>
                        <w:noProof/>
                      </w:rPr>
                    </w:pPr>
                    <w:r>
                      <w:rPr>
                        <w:noProof/>
                      </w:rPr>
                      <w:t>S. Keating, "AHG8: 444 processing for VCM," JVET-AI0144, Sapporo, JP, July 2024.</w:t>
                    </w:r>
                  </w:p>
                </w:tc>
              </w:tr>
              <w:tr w:rsidR="00CA3CC9" w14:paraId="47E369DC" w14:textId="77777777">
                <w:trPr>
                  <w:divId w:val="820318360"/>
                  <w:tblCellSpacing w:w="15" w:type="dxa"/>
                </w:trPr>
                <w:tc>
                  <w:tcPr>
                    <w:tcW w:w="50" w:type="pct"/>
                    <w:hideMark/>
                  </w:tcPr>
                  <w:p w14:paraId="62D5B838" w14:textId="77777777" w:rsidR="00CA3CC9" w:rsidRDefault="00CA3CC9">
                    <w:pPr>
                      <w:pStyle w:val="Bibliography"/>
                      <w:rPr>
                        <w:noProof/>
                      </w:rPr>
                    </w:pPr>
                    <w:r>
                      <w:rPr>
                        <w:noProof/>
                      </w:rPr>
                      <w:t xml:space="preserve">[6] </w:t>
                    </w:r>
                  </w:p>
                </w:tc>
                <w:tc>
                  <w:tcPr>
                    <w:tcW w:w="0" w:type="auto"/>
                    <w:hideMark/>
                  </w:tcPr>
                  <w:p w14:paraId="3C093282" w14:textId="77777777" w:rsidR="00CA3CC9" w:rsidRDefault="00CA3CC9">
                    <w:pPr>
                      <w:pStyle w:val="Bibliography"/>
                      <w:rPr>
                        <w:noProof/>
                      </w:rPr>
                    </w:pPr>
                    <w:r>
                      <w:rPr>
                        <w:noProof/>
                      </w:rPr>
                      <w:t>B. Li, S. Wang, J. Chen, Y. Ye and S. Wang, "AHG8: A post-processing algorithm for machine consumption," JVET-AG0212, Online, January 2024.</w:t>
                    </w:r>
                  </w:p>
                </w:tc>
              </w:tr>
              <w:tr w:rsidR="00CA3CC9" w14:paraId="5A8A55B3" w14:textId="77777777">
                <w:trPr>
                  <w:divId w:val="820318360"/>
                  <w:tblCellSpacing w:w="15" w:type="dxa"/>
                </w:trPr>
                <w:tc>
                  <w:tcPr>
                    <w:tcW w:w="50" w:type="pct"/>
                    <w:hideMark/>
                  </w:tcPr>
                  <w:p w14:paraId="7A610572" w14:textId="77777777" w:rsidR="00CA3CC9" w:rsidRDefault="00CA3CC9">
                    <w:pPr>
                      <w:pStyle w:val="Bibliography"/>
                      <w:rPr>
                        <w:noProof/>
                      </w:rPr>
                    </w:pPr>
                    <w:r>
                      <w:rPr>
                        <w:noProof/>
                      </w:rPr>
                      <w:t xml:space="preserve">[7] </w:t>
                    </w:r>
                  </w:p>
                </w:tc>
                <w:tc>
                  <w:tcPr>
                    <w:tcW w:w="0" w:type="auto"/>
                    <w:hideMark/>
                  </w:tcPr>
                  <w:p w14:paraId="771ACF29" w14:textId="77777777" w:rsidR="00CA3CC9" w:rsidRDefault="00CA3CC9">
                    <w:pPr>
                      <w:pStyle w:val="Bibliography"/>
                      <w:rPr>
                        <w:noProof/>
                      </w:rPr>
                    </w:pPr>
                    <w:r>
                      <w:rPr>
                        <w:noProof/>
                      </w:rPr>
                      <w:t>C. Hollmann, J. Ström, P. Wennersten and K. Andersson, "AHG8: RPR for machine consumption," JVET-AH0130, Rennes, FR, April 2024.</w:t>
                    </w:r>
                  </w:p>
                </w:tc>
              </w:tr>
              <w:tr w:rsidR="00CA3CC9" w14:paraId="7D0BDF7D" w14:textId="77777777">
                <w:trPr>
                  <w:divId w:val="820318360"/>
                  <w:tblCellSpacing w:w="15" w:type="dxa"/>
                </w:trPr>
                <w:tc>
                  <w:tcPr>
                    <w:tcW w:w="50" w:type="pct"/>
                    <w:hideMark/>
                  </w:tcPr>
                  <w:p w14:paraId="08068CF9" w14:textId="77777777" w:rsidR="00CA3CC9" w:rsidRDefault="00CA3CC9">
                    <w:pPr>
                      <w:pStyle w:val="Bibliography"/>
                      <w:rPr>
                        <w:noProof/>
                      </w:rPr>
                    </w:pPr>
                    <w:r>
                      <w:rPr>
                        <w:noProof/>
                      </w:rPr>
                      <w:t xml:space="preserve">[8] </w:t>
                    </w:r>
                  </w:p>
                </w:tc>
                <w:tc>
                  <w:tcPr>
                    <w:tcW w:w="0" w:type="auto"/>
                    <w:hideMark/>
                  </w:tcPr>
                  <w:p w14:paraId="7E5AD0DE" w14:textId="77777777" w:rsidR="00CA3CC9" w:rsidRDefault="00CA3CC9">
                    <w:pPr>
                      <w:pStyle w:val="Bibliography"/>
                      <w:rPr>
                        <w:noProof/>
                      </w:rPr>
                    </w:pPr>
                    <w:r>
                      <w:rPr>
                        <w:noProof/>
                      </w:rPr>
                      <w:t>S. Liu and C. Hollmann, "Common test conditions for optimization of encoders and receiving systems for machine analysis of coded video content," JVET-AI2031, Sapporo, JP, July 2024.</w:t>
                    </w:r>
                  </w:p>
                </w:tc>
              </w:tr>
            </w:tbl>
            <w:p w14:paraId="4B89AE94" w14:textId="77777777" w:rsidR="00CA3CC9" w:rsidRDefault="00CA3CC9">
              <w:pPr>
                <w:divId w:val="820318360"/>
                <w:rPr>
                  <w:noProof/>
                </w:rPr>
              </w:pPr>
            </w:p>
            <w:p w14:paraId="525CBD2C" w14:textId="39F89F01" w:rsidR="007E68CE" w:rsidRDefault="007E68CE">
              <w:r>
                <w:rPr>
                  <w:b/>
                  <w:bCs/>
                  <w:noProof/>
                </w:rPr>
                <w:fldChar w:fldCharType="end"/>
              </w:r>
            </w:p>
          </w:sdtContent>
        </w:sdt>
      </w:sdtContent>
    </w:sdt>
    <w:p w14:paraId="32EAF635" w14:textId="77777777" w:rsidR="007F1F8B" w:rsidRPr="005B217D" w:rsidRDefault="007F1F8B" w:rsidP="009234A5">
      <w:pPr>
        <w:rPr>
          <w:szCs w:val="22"/>
          <w:lang w:val="en-CA"/>
        </w:rPr>
      </w:pPr>
    </w:p>
    <w:sectPr w:rsidR="007F1F8B" w:rsidRPr="005B217D" w:rsidSect="00925CE2">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216B1" w14:textId="77777777" w:rsidR="00ED7ACF" w:rsidRDefault="00ED7ACF">
      <w:r>
        <w:separator/>
      </w:r>
    </w:p>
  </w:endnote>
  <w:endnote w:type="continuationSeparator" w:id="0">
    <w:p w14:paraId="0F9F3553" w14:textId="77777777" w:rsidR="00ED7ACF" w:rsidRDefault="00ED7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DED4C4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86B8C">
      <w:rPr>
        <w:rStyle w:val="PageNumber"/>
        <w:noProof/>
      </w:rPr>
      <w:t>2024-10-24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37AC8" w14:textId="77777777" w:rsidR="00ED7ACF" w:rsidRDefault="00ED7ACF">
      <w:r>
        <w:separator/>
      </w:r>
    </w:p>
  </w:footnote>
  <w:footnote w:type="continuationSeparator" w:id="0">
    <w:p w14:paraId="76E2FA39" w14:textId="77777777" w:rsidR="00ED7ACF" w:rsidRDefault="00ED7A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78570D9"/>
    <w:multiLevelType w:val="hybridMultilevel"/>
    <w:tmpl w:val="57CCC756"/>
    <w:lvl w:ilvl="0" w:tplc="814E023E">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9"/>
  </w:num>
  <w:num w:numId="3" w16cid:durableId="1816335174">
    <w:abstractNumId w:val="8"/>
  </w:num>
  <w:num w:numId="4" w16cid:durableId="262999261">
    <w:abstractNumId w:val="6"/>
  </w:num>
  <w:num w:numId="5" w16cid:durableId="159319687">
    <w:abstractNumId w:val="7"/>
  </w:num>
  <w:num w:numId="6" w16cid:durableId="1751344597">
    <w:abstractNumId w:val="4"/>
  </w:num>
  <w:num w:numId="7" w16cid:durableId="665130176">
    <w:abstractNumId w:val="5"/>
  </w:num>
  <w:num w:numId="8" w16cid:durableId="2031494827">
    <w:abstractNumId w:val="4"/>
  </w:num>
  <w:num w:numId="9" w16cid:durableId="691881121">
    <w:abstractNumId w:val="1"/>
  </w:num>
  <w:num w:numId="10" w16cid:durableId="766585744">
    <w:abstractNumId w:val="3"/>
  </w:num>
  <w:num w:numId="11" w16cid:durableId="242110151">
    <w:abstractNumId w:val="2"/>
  </w:num>
  <w:num w:numId="12" w16cid:durableId="93286226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5B1"/>
    <w:rsid w:val="00013D0F"/>
    <w:rsid w:val="000308A3"/>
    <w:rsid w:val="0004543A"/>
    <w:rsid w:val="000458BC"/>
    <w:rsid w:val="00045C41"/>
    <w:rsid w:val="00046C03"/>
    <w:rsid w:val="00065039"/>
    <w:rsid w:val="0007614F"/>
    <w:rsid w:val="00076FCA"/>
    <w:rsid w:val="00081398"/>
    <w:rsid w:val="00084393"/>
    <w:rsid w:val="000865E1"/>
    <w:rsid w:val="00092AF4"/>
    <w:rsid w:val="00094479"/>
    <w:rsid w:val="000962AC"/>
    <w:rsid w:val="000A153D"/>
    <w:rsid w:val="000B0C0F"/>
    <w:rsid w:val="000B1C6B"/>
    <w:rsid w:val="000B4142"/>
    <w:rsid w:val="000B4189"/>
    <w:rsid w:val="000B4FF9"/>
    <w:rsid w:val="000C09AC"/>
    <w:rsid w:val="000C228D"/>
    <w:rsid w:val="000C2BAA"/>
    <w:rsid w:val="000C5F4C"/>
    <w:rsid w:val="000E00F3"/>
    <w:rsid w:val="000E62A8"/>
    <w:rsid w:val="000F158C"/>
    <w:rsid w:val="00102F3D"/>
    <w:rsid w:val="00124E38"/>
    <w:rsid w:val="0012580B"/>
    <w:rsid w:val="00131526"/>
    <w:rsid w:val="00131F90"/>
    <w:rsid w:val="0013458C"/>
    <w:rsid w:val="0013526E"/>
    <w:rsid w:val="00146152"/>
    <w:rsid w:val="00155526"/>
    <w:rsid w:val="00171371"/>
    <w:rsid w:val="00175A24"/>
    <w:rsid w:val="00180A32"/>
    <w:rsid w:val="00187E58"/>
    <w:rsid w:val="00196A24"/>
    <w:rsid w:val="001A297E"/>
    <w:rsid w:val="001A368E"/>
    <w:rsid w:val="001A53D5"/>
    <w:rsid w:val="001A7329"/>
    <w:rsid w:val="001A792F"/>
    <w:rsid w:val="001B4E28"/>
    <w:rsid w:val="001B568A"/>
    <w:rsid w:val="001C3525"/>
    <w:rsid w:val="001C3AFB"/>
    <w:rsid w:val="001D07F0"/>
    <w:rsid w:val="001D1BD2"/>
    <w:rsid w:val="001E0248"/>
    <w:rsid w:val="001E02BE"/>
    <w:rsid w:val="001E346C"/>
    <w:rsid w:val="001E3B37"/>
    <w:rsid w:val="001F2594"/>
    <w:rsid w:val="001F6A5E"/>
    <w:rsid w:val="001F730C"/>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4CD7"/>
    <w:rsid w:val="00266F06"/>
    <w:rsid w:val="00275BCF"/>
    <w:rsid w:val="00280613"/>
    <w:rsid w:val="00286B8C"/>
    <w:rsid w:val="00291E36"/>
    <w:rsid w:val="00292257"/>
    <w:rsid w:val="002A54E0"/>
    <w:rsid w:val="002B1595"/>
    <w:rsid w:val="002B191D"/>
    <w:rsid w:val="002B2E83"/>
    <w:rsid w:val="002D0AF6"/>
    <w:rsid w:val="002E42B8"/>
    <w:rsid w:val="002F164D"/>
    <w:rsid w:val="003021BC"/>
    <w:rsid w:val="00306206"/>
    <w:rsid w:val="00317D85"/>
    <w:rsid w:val="00327C56"/>
    <w:rsid w:val="003315A1"/>
    <w:rsid w:val="003373EC"/>
    <w:rsid w:val="00342FF4"/>
    <w:rsid w:val="00344E5A"/>
    <w:rsid w:val="00346148"/>
    <w:rsid w:val="003669EA"/>
    <w:rsid w:val="003706CC"/>
    <w:rsid w:val="00372F88"/>
    <w:rsid w:val="00377710"/>
    <w:rsid w:val="003A25F5"/>
    <w:rsid w:val="003A2BA4"/>
    <w:rsid w:val="003A2D8E"/>
    <w:rsid w:val="003A5DCF"/>
    <w:rsid w:val="003A7CE6"/>
    <w:rsid w:val="003A7F61"/>
    <w:rsid w:val="003C20E4"/>
    <w:rsid w:val="003D6342"/>
    <w:rsid w:val="003D73C0"/>
    <w:rsid w:val="003E6F90"/>
    <w:rsid w:val="003E73ED"/>
    <w:rsid w:val="003F5D0F"/>
    <w:rsid w:val="003F66C7"/>
    <w:rsid w:val="004114B6"/>
    <w:rsid w:val="00412D99"/>
    <w:rsid w:val="00414101"/>
    <w:rsid w:val="004219CF"/>
    <w:rsid w:val="004234F0"/>
    <w:rsid w:val="00427EEC"/>
    <w:rsid w:val="00433DDB"/>
    <w:rsid w:val="00435A29"/>
    <w:rsid w:val="00437619"/>
    <w:rsid w:val="004642E1"/>
    <w:rsid w:val="00465A1E"/>
    <w:rsid w:val="0046797E"/>
    <w:rsid w:val="00493D00"/>
    <w:rsid w:val="0049445A"/>
    <w:rsid w:val="004957D9"/>
    <w:rsid w:val="004A2A63"/>
    <w:rsid w:val="004B210C"/>
    <w:rsid w:val="004B6170"/>
    <w:rsid w:val="004C4395"/>
    <w:rsid w:val="004D00DE"/>
    <w:rsid w:val="004D405F"/>
    <w:rsid w:val="004E4F4F"/>
    <w:rsid w:val="004E6789"/>
    <w:rsid w:val="004F61E3"/>
    <w:rsid w:val="00502E10"/>
    <w:rsid w:val="0050354E"/>
    <w:rsid w:val="0051015C"/>
    <w:rsid w:val="00516CF1"/>
    <w:rsid w:val="00531AE9"/>
    <w:rsid w:val="00536188"/>
    <w:rsid w:val="00550A66"/>
    <w:rsid w:val="00564DEC"/>
    <w:rsid w:val="00567EC7"/>
    <w:rsid w:val="00570013"/>
    <w:rsid w:val="005753EC"/>
    <w:rsid w:val="005801A2"/>
    <w:rsid w:val="005952A5"/>
    <w:rsid w:val="005A190B"/>
    <w:rsid w:val="005A33A1"/>
    <w:rsid w:val="005B217D"/>
    <w:rsid w:val="005C0332"/>
    <w:rsid w:val="005C385F"/>
    <w:rsid w:val="005C7C26"/>
    <w:rsid w:val="005E1AC6"/>
    <w:rsid w:val="005E3F2B"/>
    <w:rsid w:val="005F6F1B"/>
    <w:rsid w:val="006038BC"/>
    <w:rsid w:val="00607BC5"/>
    <w:rsid w:val="00615995"/>
    <w:rsid w:val="00616155"/>
    <w:rsid w:val="00624B33"/>
    <w:rsid w:val="0063041A"/>
    <w:rsid w:val="00630AA2"/>
    <w:rsid w:val="00631127"/>
    <w:rsid w:val="00631D8B"/>
    <w:rsid w:val="00646707"/>
    <w:rsid w:val="00657F7E"/>
    <w:rsid w:val="00662E58"/>
    <w:rsid w:val="006637F2"/>
    <w:rsid w:val="006642A5"/>
    <w:rsid w:val="00664DCF"/>
    <w:rsid w:val="006A0E5C"/>
    <w:rsid w:val="006A48E6"/>
    <w:rsid w:val="006C0BCC"/>
    <w:rsid w:val="006C5D39"/>
    <w:rsid w:val="006C6C51"/>
    <w:rsid w:val="006C6F00"/>
    <w:rsid w:val="006D6D9B"/>
    <w:rsid w:val="006D7E54"/>
    <w:rsid w:val="006E2810"/>
    <w:rsid w:val="006E5417"/>
    <w:rsid w:val="006F0794"/>
    <w:rsid w:val="006F2822"/>
    <w:rsid w:val="006F6E01"/>
    <w:rsid w:val="006F7528"/>
    <w:rsid w:val="007023DE"/>
    <w:rsid w:val="00710F6F"/>
    <w:rsid w:val="00712F60"/>
    <w:rsid w:val="00717444"/>
    <w:rsid w:val="00720E3B"/>
    <w:rsid w:val="00723071"/>
    <w:rsid w:val="00726408"/>
    <w:rsid w:val="0073249C"/>
    <w:rsid w:val="00735925"/>
    <w:rsid w:val="0074393F"/>
    <w:rsid w:val="00745F6B"/>
    <w:rsid w:val="0075175B"/>
    <w:rsid w:val="00754F77"/>
    <w:rsid w:val="0075585E"/>
    <w:rsid w:val="0076773E"/>
    <w:rsid w:val="00770571"/>
    <w:rsid w:val="0077068D"/>
    <w:rsid w:val="007768FF"/>
    <w:rsid w:val="00777075"/>
    <w:rsid w:val="00780A18"/>
    <w:rsid w:val="007824D3"/>
    <w:rsid w:val="00793801"/>
    <w:rsid w:val="00796EE3"/>
    <w:rsid w:val="007A210D"/>
    <w:rsid w:val="007A616D"/>
    <w:rsid w:val="007A7D29"/>
    <w:rsid w:val="007B4AB8"/>
    <w:rsid w:val="007C081C"/>
    <w:rsid w:val="007D0F62"/>
    <w:rsid w:val="007D1181"/>
    <w:rsid w:val="007E01A3"/>
    <w:rsid w:val="007E68CE"/>
    <w:rsid w:val="007F1F8B"/>
    <w:rsid w:val="007F6205"/>
    <w:rsid w:val="007F67A1"/>
    <w:rsid w:val="00801A7B"/>
    <w:rsid w:val="00811C05"/>
    <w:rsid w:val="008206C8"/>
    <w:rsid w:val="0086387C"/>
    <w:rsid w:val="00874A6C"/>
    <w:rsid w:val="00876C65"/>
    <w:rsid w:val="00881A26"/>
    <w:rsid w:val="00882F72"/>
    <w:rsid w:val="0089128A"/>
    <w:rsid w:val="00893DC4"/>
    <w:rsid w:val="008A147E"/>
    <w:rsid w:val="008A42F1"/>
    <w:rsid w:val="008A4B4C"/>
    <w:rsid w:val="008B6D9E"/>
    <w:rsid w:val="008C239F"/>
    <w:rsid w:val="008E480C"/>
    <w:rsid w:val="00907757"/>
    <w:rsid w:val="009212B0"/>
    <w:rsid w:val="00921FA1"/>
    <w:rsid w:val="009234A5"/>
    <w:rsid w:val="00925CE2"/>
    <w:rsid w:val="00933453"/>
    <w:rsid w:val="009336F7"/>
    <w:rsid w:val="0093636C"/>
    <w:rsid w:val="009374A7"/>
    <w:rsid w:val="00937F03"/>
    <w:rsid w:val="0094162B"/>
    <w:rsid w:val="009525F2"/>
    <w:rsid w:val="00955F6D"/>
    <w:rsid w:val="00977C16"/>
    <w:rsid w:val="00982C06"/>
    <w:rsid w:val="0098551D"/>
    <w:rsid w:val="00985DCB"/>
    <w:rsid w:val="00991889"/>
    <w:rsid w:val="0099518F"/>
    <w:rsid w:val="00997E38"/>
    <w:rsid w:val="009A46C4"/>
    <w:rsid w:val="009A523D"/>
    <w:rsid w:val="009A5761"/>
    <w:rsid w:val="009B02A1"/>
    <w:rsid w:val="009B3361"/>
    <w:rsid w:val="009B7F3F"/>
    <w:rsid w:val="009C50CE"/>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83716"/>
    <w:rsid w:val="00AA6E84"/>
    <w:rsid w:val="00AB1A1C"/>
    <w:rsid w:val="00AB4721"/>
    <w:rsid w:val="00AB7405"/>
    <w:rsid w:val="00AD05A8"/>
    <w:rsid w:val="00AE341B"/>
    <w:rsid w:val="00AE4EA0"/>
    <w:rsid w:val="00AF51C5"/>
    <w:rsid w:val="00AF7F43"/>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0483"/>
    <w:rsid w:val="00BC10BA"/>
    <w:rsid w:val="00BC4027"/>
    <w:rsid w:val="00BC5AFD"/>
    <w:rsid w:val="00BE0DC1"/>
    <w:rsid w:val="00C00DDE"/>
    <w:rsid w:val="00C0464B"/>
    <w:rsid w:val="00C04F43"/>
    <w:rsid w:val="00C05271"/>
    <w:rsid w:val="00C0609D"/>
    <w:rsid w:val="00C115AB"/>
    <w:rsid w:val="00C11670"/>
    <w:rsid w:val="00C26CCB"/>
    <w:rsid w:val="00C30249"/>
    <w:rsid w:val="00C35F74"/>
    <w:rsid w:val="00C3723B"/>
    <w:rsid w:val="00C42466"/>
    <w:rsid w:val="00C56733"/>
    <w:rsid w:val="00C606C9"/>
    <w:rsid w:val="00C62B5E"/>
    <w:rsid w:val="00C62CCD"/>
    <w:rsid w:val="00C80288"/>
    <w:rsid w:val="00C836F0"/>
    <w:rsid w:val="00C84003"/>
    <w:rsid w:val="00C85C49"/>
    <w:rsid w:val="00C90650"/>
    <w:rsid w:val="00C97D78"/>
    <w:rsid w:val="00CA3CC9"/>
    <w:rsid w:val="00CC2AAE"/>
    <w:rsid w:val="00CC5A42"/>
    <w:rsid w:val="00CD0EAB"/>
    <w:rsid w:val="00CD3AA7"/>
    <w:rsid w:val="00CE5E02"/>
    <w:rsid w:val="00CF34DB"/>
    <w:rsid w:val="00CF3917"/>
    <w:rsid w:val="00CF558F"/>
    <w:rsid w:val="00D010C0"/>
    <w:rsid w:val="00D06B8B"/>
    <w:rsid w:val="00D073E2"/>
    <w:rsid w:val="00D1511D"/>
    <w:rsid w:val="00D1555A"/>
    <w:rsid w:val="00D30CF9"/>
    <w:rsid w:val="00D3131B"/>
    <w:rsid w:val="00D42421"/>
    <w:rsid w:val="00D436E3"/>
    <w:rsid w:val="00D446EC"/>
    <w:rsid w:val="00D51BF0"/>
    <w:rsid w:val="00D531DB"/>
    <w:rsid w:val="00D55942"/>
    <w:rsid w:val="00D61B3D"/>
    <w:rsid w:val="00D807BF"/>
    <w:rsid w:val="00D82FCC"/>
    <w:rsid w:val="00DA17FC"/>
    <w:rsid w:val="00DA7887"/>
    <w:rsid w:val="00DB2C26"/>
    <w:rsid w:val="00DB45C3"/>
    <w:rsid w:val="00DB72FA"/>
    <w:rsid w:val="00DD02F4"/>
    <w:rsid w:val="00DD6622"/>
    <w:rsid w:val="00DE1C7C"/>
    <w:rsid w:val="00DE6B43"/>
    <w:rsid w:val="00DF285F"/>
    <w:rsid w:val="00E041C6"/>
    <w:rsid w:val="00E11923"/>
    <w:rsid w:val="00E207D8"/>
    <w:rsid w:val="00E262D4"/>
    <w:rsid w:val="00E32199"/>
    <w:rsid w:val="00E36250"/>
    <w:rsid w:val="00E36841"/>
    <w:rsid w:val="00E47F2D"/>
    <w:rsid w:val="00E54511"/>
    <w:rsid w:val="00E60EDC"/>
    <w:rsid w:val="00E61DAC"/>
    <w:rsid w:val="00E72B80"/>
    <w:rsid w:val="00E75FE3"/>
    <w:rsid w:val="00E86C4C"/>
    <w:rsid w:val="00E86CF7"/>
    <w:rsid w:val="00E907A3"/>
    <w:rsid w:val="00EA58D9"/>
    <w:rsid w:val="00EA5AE0"/>
    <w:rsid w:val="00EB56E1"/>
    <w:rsid w:val="00EB7AB1"/>
    <w:rsid w:val="00EB7E96"/>
    <w:rsid w:val="00EC08E9"/>
    <w:rsid w:val="00EC32BD"/>
    <w:rsid w:val="00ED536F"/>
    <w:rsid w:val="00ED7ACF"/>
    <w:rsid w:val="00EE7CD8"/>
    <w:rsid w:val="00EF37F6"/>
    <w:rsid w:val="00EF48CC"/>
    <w:rsid w:val="00F00801"/>
    <w:rsid w:val="00F2488D"/>
    <w:rsid w:val="00F33972"/>
    <w:rsid w:val="00F519D5"/>
    <w:rsid w:val="00F601A0"/>
    <w:rsid w:val="00F712E9"/>
    <w:rsid w:val="00F73032"/>
    <w:rsid w:val="00F82AD3"/>
    <w:rsid w:val="00F83F00"/>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EA58D9"/>
    <w:rPr>
      <w:color w:val="605E5C"/>
      <w:shd w:val="clear" w:color="auto" w:fill="E1DFDD"/>
    </w:rPr>
  </w:style>
  <w:style w:type="paragraph" w:styleId="ListParagraph">
    <w:name w:val="List Paragraph"/>
    <w:basedOn w:val="Normal"/>
    <w:uiPriority w:val="34"/>
    <w:qFormat/>
    <w:rsid w:val="007E68CE"/>
    <w:pPr>
      <w:ind w:left="720"/>
      <w:contextualSpacing/>
    </w:pPr>
  </w:style>
  <w:style w:type="character" w:customStyle="1" w:styleId="Heading1Char">
    <w:name w:val="Heading 1 Char"/>
    <w:basedOn w:val="DefaultParagraphFont"/>
    <w:link w:val="Heading1"/>
    <w:uiPriority w:val="9"/>
    <w:rsid w:val="007E68CE"/>
    <w:rPr>
      <w:rFonts w:cs="Arial"/>
      <w:b/>
      <w:bCs/>
      <w:kern w:val="32"/>
      <w:sz w:val="32"/>
      <w:szCs w:val="32"/>
    </w:rPr>
  </w:style>
  <w:style w:type="paragraph" w:styleId="Bibliography">
    <w:name w:val="Bibliography"/>
    <w:basedOn w:val="Normal"/>
    <w:next w:val="Normal"/>
    <w:uiPriority w:val="37"/>
    <w:unhideWhenUsed/>
    <w:rsid w:val="007E68CE"/>
  </w:style>
  <w:style w:type="table" w:styleId="TableGrid">
    <w:name w:val="Table Grid"/>
    <w:basedOn w:val="TableNormal"/>
    <w:rsid w:val="00BC40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BC4027"/>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02158">
      <w:bodyDiv w:val="1"/>
      <w:marLeft w:val="0"/>
      <w:marRight w:val="0"/>
      <w:marTop w:val="0"/>
      <w:marBottom w:val="0"/>
      <w:divBdr>
        <w:top w:val="none" w:sz="0" w:space="0" w:color="auto"/>
        <w:left w:val="none" w:sz="0" w:space="0" w:color="auto"/>
        <w:bottom w:val="none" w:sz="0" w:space="0" w:color="auto"/>
        <w:right w:val="none" w:sz="0" w:space="0" w:color="auto"/>
      </w:divBdr>
    </w:div>
    <w:div w:id="388964283">
      <w:bodyDiv w:val="1"/>
      <w:marLeft w:val="0"/>
      <w:marRight w:val="0"/>
      <w:marTop w:val="0"/>
      <w:marBottom w:val="0"/>
      <w:divBdr>
        <w:top w:val="none" w:sz="0" w:space="0" w:color="auto"/>
        <w:left w:val="none" w:sz="0" w:space="0" w:color="auto"/>
        <w:bottom w:val="none" w:sz="0" w:space="0" w:color="auto"/>
        <w:right w:val="none" w:sz="0" w:space="0" w:color="auto"/>
      </w:divBdr>
    </w:div>
    <w:div w:id="590966222">
      <w:bodyDiv w:val="1"/>
      <w:marLeft w:val="0"/>
      <w:marRight w:val="0"/>
      <w:marTop w:val="0"/>
      <w:marBottom w:val="0"/>
      <w:divBdr>
        <w:top w:val="none" w:sz="0" w:space="0" w:color="auto"/>
        <w:left w:val="none" w:sz="0" w:space="0" w:color="auto"/>
        <w:bottom w:val="none" w:sz="0" w:space="0" w:color="auto"/>
        <w:right w:val="none" w:sz="0" w:space="0" w:color="auto"/>
      </w:divBdr>
    </w:div>
    <w:div w:id="613827632">
      <w:bodyDiv w:val="1"/>
      <w:marLeft w:val="0"/>
      <w:marRight w:val="0"/>
      <w:marTop w:val="0"/>
      <w:marBottom w:val="0"/>
      <w:divBdr>
        <w:top w:val="none" w:sz="0" w:space="0" w:color="auto"/>
        <w:left w:val="none" w:sz="0" w:space="0" w:color="auto"/>
        <w:bottom w:val="none" w:sz="0" w:space="0" w:color="auto"/>
        <w:right w:val="none" w:sz="0" w:space="0" w:color="auto"/>
      </w:divBdr>
    </w:div>
    <w:div w:id="620646844">
      <w:bodyDiv w:val="1"/>
      <w:marLeft w:val="0"/>
      <w:marRight w:val="0"/>
      <w:marTop w:val="0"/>
      <w:marBottom w:val="0"/>
      <w:divBdr>
        <w:top w:val="none" w:sz="0" w:space="0" w:color="auto"/>
        <w:left w:val="none" w:sz="0" w:space="0" w:color="auto"/>
        <w:bottom w:val="none" w:sz="0" w:space="0" w:color="auto"/>
        <w:right w:val="none" w:sz="0" w:space="0" w:color="auto"/>
      </w:divBdr>
    </w:div>
    <w:div w:id="652637948">
      <w:bodyDiv w:val="1"/>
      <w:marLeft w:val="0"/>
      <w:marRight w:val="0"/>
      <w:marTop w:val="0"/>
      <w:marBottom w:val="0"/>
      <w:divBdr>
        <w:top w:val="none" w:sz="0" w:space="0" w:color="auto"/>
        <w:left w:val="none" w:sz="0" w:space="0" w:color="auto"/>
        <w:bottom w:val="none" w:sz="0" w:space="0" w:color="auto"/>
        <w:right w:val="none" w:sz="0" w:space="0" w:color="auto"/>
      </w:divBdr>
    </w:div>
    <w:div w:id="721369433">
      <w:bodyDiv w:val="1"/>
      <w:marLeft w:val="0"/>
      <w:marRight w:val="0"/>
      <w:marTop w:val="0"/>
      <w:marBottom w:val="0"/>
      <w:divBdr>
        <w:top w:val="none" w:sz="0" w:space="0" w:color="auto"/>
        <w:left w:val="none" w:sz="0" w:space="0" w:color="auto"/>
        <w:bottom w:val="none" w:sz="0" w:space="0" w:color="auto"/>
        <w:right w:val="none" w:sz="0" w:space="0" w:color="auto"/>
      </w:divBdr>
    </w:div>
    <w:div w:id="751581220">
      <w:bodyDiv w:val="1"/>
      <w:marLeft w:val="0"/>
      <w:marRight w:val="0"/>
      <w:marTop w:val="0"/>
      <w:marBottom w:val="0"/>
      <w:divBdr>
        <w:top w:val="none" w:sz="0" w:space="0" w:color="auto"/>
        <w:left w:val="none" w:sz="0" w:space="0" w:color="auto"/>
        <w:bottom w:val="none" w:sz="0" w:space="0" w:color="auto"/>
        <w:right w:val="none" w:sz="0" w:space="0" w:color="auto"/>
      </w:divBdr>
    </w:div>
    <w:div w:id="761146905">
      <w:bodyDiv w:val="1"/>
      <w:marLeft w:val="0"/>
      <w:marRight w:val="0"/>
      <w:marTop w:val="0"/>
      <w:marBottom w:val="0"/>
      <w:divBdr>
        <w:top w:val="none" w:sz="0" w:space="0" w:color="auto"/>
        <w:left w:val="none" w:sz="0" w:space="0" w:color="auto"/>
        <w:bottom w:val="none" w:sz="0" w:space="0" w:color="auto"/>
        <w:right w:val="none" w:sz="0" w:space="0" w:color="auto"/>
      </w:divBdr>
    </w:div>
    <w:div w:id="786235861">
      <w:bodyDiv w:val="1"/>
      <w:marLeft w:val="0"/>
      <w:marRight w:val="0"/>
      <w:marTop w:val="0"/>
      <w:marBottom w:val="0"/>
      <w:divBdr>
        <w:top w:val="none" w:sz="0" w:space="0" w:color="auto"/>
        <w:left w:val="none" w:sz="0" w:space="0" w:color="auto"/>
        <w:bottom w:val="none" w:sz="0" w:space="0" w:color="auto"/>
        <w:right w:val="none" w:sz="0" w:space="0" w:color="auto"/>
      </w:divBdr>
    </w:div>
    <w:div w:id="820318360">
      <w:bodyDiv w:val="1"/>
      <w:marLeft w:val="0"/>
      <w:marRight w:val="0"/>
      <w:marTop w:val="0"/>
      <w:marBottom w:val="0"/>
      <w:divBdr>
        <w:top w:val="none" w:sz="0" w:space="0" w:color="auto"/>
        <w:left w:val="none" w:sz="0" w:space="0" w:color="auto"/>
        <w:bottom w:val="none" w:sz="0" w:space="0" w:color="auto"/>
        <w:right w:val="none" w:sz="0" w:space="0" w:color="auto"/>
      </w:divBdr>
    </w:div>
    <w:div w:id="982613321">
      <w:bodyDiv w:val="1"/>
      <w:marLeft w:val="0"/>
      <w:marRight w:val="0"/>
      <w:marTop w:val="0"/>
      <w:marBottom w:val="0"/>
      <w:divBdr>
        <w:top w:val="none" w:sz="0" w:space="0" w:color="auto"/>
        <w:left w:val="none" w:sz="0" w:space="0" w:color="auto"/>
        <w:bottom w:val="none" w:sz="0" w:space="0" w:color="auto"/>
        <w:right w:val="none" w:sz="0" w:space="0" w:color="auto"/>
      </w:divBdr>
    </w:div>
    <w:div w:id="1038553002">
      <w:bodyDiv w:val="1"/>
      <w:marLeft w:val="0"/>
      <w:marRight w:val="0"/>
      <w:marTop w:val="0"/>
      <w:marBottom w:val="0"/>
      <w:divBdr>
        <w:top w:val="none" w:sz="0" w:space="0" w:color="auto"/>
        <w:left w:val="none" w:sz="0" w:space="0" w:color="auto"/>
        <w:bottom w:val="none" w:sz="0" w:space="0" w:color="auto"/>
        <w:right w:val="none" w:sz="0" w:space="0" w:color="auto"/>
      </w:divBdr>
    </w:div>
    <w:div w:id="1094981632">
      <w:bodyDiv w:val="1"/>
      <w:marLeft w:val="0"/>
      <w:marRight w:val="0"/>
      <w:marTop w:val="0"/>
      <w:marBottom w:val="0"/>
      <w:divBdr>
        <w:top w:val="none" w:sz="0" w:space="0" w:color="auto"/>
        <w:left w:val="none" w:sz="0" w:space="0" w:color="auto"/>
        <w:bottom w:val="none" w:sz="0" w:space="0" w:color="auto"/>
        <w:right w:val="none" w:sz="0" w:space="0" w:color="auto"/>
      </w:divBdr>
    </w:div>
    <w:div w:id="1125346912">
      <w:bodyDiv w:val="1"/>
      <w:marLeft w:val="0"/>
      <w:marRight w:val="0"/>
      <w:marTop w:val="0"/>
      <w:marBottom w:val="0"/>
      <w:divBdr>
        <w:top w:val="none" w:sz="0" w:space="0" w:color="auto"/>
        <w:left w:val="none" w:sz="0" w:space="0" w:color="auto"/>
        <w:bottom w:val="none" w:sz="0" w:space="0" w:color="auto"/>
        <w:right w:val="none" w:sz="0" w:space="0" w:color="auto"/>
      </w:divBdr>
    </w:div>
    <w:div w:id="1153988331">
      <w:bodyDiv w:val="1"/>
      <w:marLeft w:val="0"/>
      <w:marRight w:val="0"/>
      <w:marTop w:val="0"/>
      <w:marBottom w:val="0"/>
      <w:divBdr>
        <w:top w:val="none" w:sz="0" w:space="0" w:color="auto"/>
        <w:left w:val="none" w:sz="0" w:space="0" w:color="auto"/>
        <w:bottom w:val="none" w:sz="0" w:space="0" w:color="auto"/>
        <w:right w:val="none" w:sz="0" w:space="0" w:color="auto"/>
      </w:divBdr>
    </w:div>
    <w:div w:id="1206942962">
      <w:bodyDiv w:val="1"/>
      <w:marLeft w:val="0"/>
      <w:marRight w:val="0"/>
      <w:marTop w:val="0"/>
      <w:marBottom w:val="0"/>
      <w:divBdr>
        <w:top w:val="none" w:sz="0" w:space="0" w:color="auto"/>
        <w:left w:val="none" w:sz="0" w:space="0" w:color="auto"/>
        <w:bottom w:val="none" w:sz="0" w:space="0" w:color="auto"/>
        <w:right w:val="none" w:sz="0" w:space="0" w:color="auto"/>
      </w:divBdr>
    </w:div>
    <w:div w:id="1228229217">
      <w:bodyDiv w:val="1"/>
      <w:marLeft w:val="0"/>
      <w:marRight w:val="0"/>
      <w:marTop w:val="0"/>
      <w:marBottom w:val="0"/>
      <w:divBdr>
        <w:top w:val="none" w:sz="0" w:space="0" w:color="auto"/>
        <w:left w:val="none" w:sz="0" w:space="0" w:color="auto"/>
        <w:bottom w:val="none" w:sz="0" w:space="0" w:color="auto"/>
        <w:right w:val="none" w:sz="0" w:space="0" w:color="auto"/>
      </w:divBdr>
    </w:div>
    <w:div w:id="1335375458">
      <w:bodyDiv w:val="1"/>
      <w:marLeft w:val="0"/>
      <w:marRight w:val="0"/>
      <w:marTop w:val="0"/>
      <w:marBottom w:val="0"/>
      <w:divBdr>
        <w:top w:val="none" w:sz="0" w:space="0" w:color="auto"/>
        <w:left w:val="none" w:sz="0" w:space="0" w:color="auto"/>
        <w:bottom w:val="none" w:sz="0" w:space="0" w:color="auto"/>
        <w:right w:val="none" w:sz="0" w:space="0" w:color="auto"/>
      </w:divBdr>
    </w:div>
    <w:div w:id="1448311852">
      <w:bodyDiv w:val="1"/>
      <w:marLeft w:val="0"/>
      <w:marRight w:val="0"/>
      <w:marTop w:val="0"/>
      <w:marBottom w:val="0"/>
      <w:divBdr>
        <w:top w:val="none" w:sz="0" w:space="0" w:color="auto"/>
        <w:left w:val="none" w:sz="0" w:space="0" w:color="auto"/>
        <w:bottom w:val="none" w:sz="0" w:space="0" w:color="auto"/>
        <w:right w:val="none" w:sz="0" w:space="0" w:color="auto"/>
      </w:divBdr>
    </w:div>
    <w:div w:id="1479299020">
      <w:bodyDiv w:val="1"/>
      <w:marLeft w:val="0"/>
      <w:marRight w:val="0"/>
      <w:marTop w:val="0"/>
      <w:marBottom w:val="0"/>
      <w:divBdr>
        <w:top w:val="none" w:sz="0" w:space="0" w:color="auto"/>
        <w:left w:val="none" w:sz="0" w:space="0" w:color="auto"/>
        <w:bottom w:val="none" w:sz="0" w:space="0" w:color="auto"/>
        <w:right w:val="none" w:sz="0" w:space="0" w:color="auto"/>
      </w:divBdr>
    </w:div>
    <w:div w:id="1514958804">
      <w:bodyDiv w:val="1"/>
      <w:marLeft w:val="0"/>
      <w:marRight w:val="0"/>
      <w:marTop w:val="0"/>
      <w:marBottom w:val="0"/>
      <w:divBdr>
        <w:top w:val="none" w:sz="0" w:space="0" w:color="auto"/>
        <w:left w:val="none" w:sz="0" w:space="0" w:color="auto"/>
        <w:bottom w:val="none" w:sz="0" w:space="0" w:color="auto"/>
        <w:right w:val="none" w:sz="0" w:space="0" w:color="auto"/>
      </w:divBdr>
    </w:div>
    <w:div w:id="1539395926">
      <w:bodyDiv w:val="1"/>
      <w:marLeft w:val="0"/>
      <w:marRight w:val="0"/>
      <w:marTop w:val="0"/>
      <w:marBottom w:val="0"/>
      <w:divBdr>
        <w:top w:val="none" w:sz="0" w:space="0" w:color="auto"/>
        <w:left w:val="none" w:sz="0" w:space="0" w:color="auto"/>
        <w:bottom w:val="none" w:sz="0" w:space="0" w:color="auto"/>
        <w:right w:val="none" w:sz="0" w:space="0" w:color="auto"/>
      </w:divBdr>
    </w:div>
    <w:div w:id="1583371946">
      <w:bodyDiv w:val="1"/>
      <w:marLeft w:val="0"/>
      <w:marRight w:val="0"/>
      <w:marTop w:val="0"/>
      <w:marBottom w:val="0"/>
      <w:divBdr>
        <w:top w:val="none" w:sz="0" w:space="0" w:color="auto"/>
        <w:left w:val="none" w:sz="0" w:space="0" w:color="auto"/>
        <w:bottom w:val="none" w:sz="0" w:space="0" w:color="auto"/>
        <w:right w:val="none" w:sz="0" w:space="0" w:color="auto"/>
      </w:divBdr>
    </w:div>
    <w:div w:id="1636986848">
      <w:bodyDiv w:val="1"/>
      <w:marLeft w:val="0"/>
      <w:marRight w:val="0"/>
      <w:marTop w:val="0"/>
      <w:marBottom w:val="0"/>
      <w:divBdr>
        <w:top w:val="none" w:sz="0" w:space="0" w:color="auto"/>
        <w:left w:val="none" w:sz="0" w:space="0" w:color="auto"/>
        <w:bottom w:val="none" w:sz="0" w:space="0" w:color="auto"/>
        <w:right w:val="none" w:sz="0" w:space="0" w:color="auto"/>
      </w:divBdr>
    </w:div>
    <w:div w:id="17001607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4794211">
      <w:bodyDiv w:val="1"/>
      <w:marLeft w:val="0"/>
      <w:marRight w:val="0"/>
      <w:marTop w:val="0"/>
      <w:marBottom w:val="0"/>
      <w:divBdr>
        <w:top w:val="none" w:sz="0" w:space="0" w:color="auto"/>
        <w:left w:val="none" w:sz="0" w:space="0" w:color="auto"/>
        <w:bottom w:val="none" w:sz="0" w:space="0" w:color="auto"/>
        <w:right w:val="none" w:sz="0" w:space="0" w:color="auto"/>
      </w:divBdr>
    </w:div>
    <w:div w:id="1876623655">
      <w:bodyDiv w:val="1"/>
      <w:marLeft w:val="0"/>
      <w:marRight w:val="0"/>
      <w:marTop w:val="0"/>
      <w:marBottom w:val="0"/>
      <w:divBdr>
        <w:top w:val="none" w:sz="0" w:space="0" w:color="auto"/>
        <w:left w:val="none" w:sz="0" w:space="0" w:color="auto"/>
        <w:bottom w:val="none" w:sz="0" w:space="0" w:color="auto"/>
        <w:right w:val="none" w:sz="0" w:space="0" w:color="auto"/>
      </w:divBdr>
    </w:div>
    <w:div w:id="1897425339">
      <w:bodyDiv w:val="1"/>
      <w:marLeft w:val="0"/>
      <w:marRight w:val="0"/>
      <w:marTop w:val="0"/>
      <w:marBottom w:val="0"/>
      <w:divBdr>
        <w:top w:val="none" w:sz="0" w:space="0" w:color="auto"/>
        <w:left w:val="none" w:sz="0" w:space="0" w:color="auto"/>
        <w:bottom w:val="none" w:sz="0" w:space="0" w:color="auto"/>
        <w:right w:val="none" w:sz="0" w:space="0" w:color="auto"/>
      </w:divBdr>
    </w:div>
    <w:div w:id="1921060458">
      <w:bodyDiv w:val="1"/>
      <w:marLeft w:val="0"/>
      <w:marRight w:val="0"/>
      <w:marTop w:val="0"/>
      <w:marBottom w:val="0"/>
      <w:divBdr>
        <w:top w:val="none" w:sz="0" w:space="0" w:color="auto"/>
        <w:left w:val="none" w:sz="0" w:space="0" w:color="auto"/>
        <w:bottom w:val="none" w:sz="0" w:space="0" w:color="auto"/>
        <w:right w:val="none" w:sz="0" w:space="0" w:color="auto"/>
      </w:divBdr>
    </w:div>
    <w:div w:id="1938562947">
      <w:bodyDiv w:val="1"/>
      <w:marLeft w:val="0"/>
      <w:marRight w:val="0"/>
      <w:marTop w:val="0"/>
      <w:marBottom w:val="0"/>
      <w:divBdr>
        <w:top w:val="none" w:sz="0" w:space="0" w:color="auto"/>
        <w:left w:val="none" w:sz="0" w:space="0" w:color="auto"/>
        <w:bottom w:val="none" w:sz="0" w:space="0" w:color="auto"/>
        <w:right w:val="none" w:sz="0" w:space="0" w:color="auto"/>
      </w:divBdr>
    </w:div>
    <w:div w:id="1982726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Hol244</b:Tag>
    <b:SourceType>Report</b:SourceType>
    <b:Guid>{B9BD1294-9E83-459E-84A8-62E2C45E0FE0}</b:Guid>
    <b:Title>Optimization of encoders and receiving systems for machine analysis of coded video content (draft 6)</b:Title>
    <b:Year>July 2024</b:Year>
    <b:City>Sapporo, JP</b:City>
    <b:Publisher>JVET-AI2030</b:Publisher>
    <b:Author>
      <b:Author>
        <b:NameList>
          <b:Person>
            <b:Last>Hollmann</b:Last>
            <b:First>Christopher</b:First>
          </b:Person>
          <b:Person>
            <b:Last>Chen</b:Last>
            <b:First>Jie</b:First>
          </b:Person>
          <b:Person>
            <b:Last>Liu</b:Last>
            <b:First>Shan</b:First>
          </b:Person>
        </b:NameList>
      </b:Author>
    </b:Author>
    <b:RefOrder>1</b:RefOrder>
  </b:Source>
  <b:Source>
    <b:Tag>Hol221</b:Tag>
    <b:SourceType>Report</b:SourceType>
    <b:Guid>{50A8CF2C-7812-4C3C-98EA-4152FD8F580D}</b:Guid>
    <b:Title>Information about Ericsson’s response to the CfP for Video Coding for Machines</b:Title>
    <b:Year>October 2022</b:Year>
    <b:Publisher>JVET-AB0275</b:Publisher>
    <b:City>Mainz, DE</b:City>
    <b:Author>
      <b:Author>
        <b:NameList>
          <b:Person>
            <b:Last>Hollmann</b:Last>
            <b:First>Christopher</b:First>
          </b:Person>
          <b:Person>
            <b:Last>Ström</b:Last>
            <b:First>Jacob</b:First>
          </b:Person>
          <b:Person>
            <b:Last>Wennersten</b:Last>
            <b:First>Per</b:First>
          </b:Person>
          <b:Person>
            <b:Last>Litwic</b:Last>
            <b:First>Lukasz</b:First>
          </b:Person>
          <b:Person>
            <b:Last>Sjöberg</b:Last>
            <b:First>Rickard</b:First>
          </b:Person>
          <b:Person>
            <b:Last>Damghanian</b:Last>
            <b:First>Mitra</b:First>
          </b:Person>
        </b:NameList>
      </b:Author>
    </b:Author>
    <b:RefOrder>2</b:RefOrder>
  </b:Source>
  <b:Source>
    <b:Tag>Kim231</b:Tag>
    <b:SourceType>Report</b:SourceType>
    <b:Guid>{30D234E8-C44F-4F72-B753-94823A6799A6}</b:Guid>
    <b:Title>[AHG8] De-noising filter as pre-processing for machine task</b:Title>
    <b:Year>July 2023</b:Year>
    <b:Publisher>JVET-AE0081</b:Publisher>
    <b:City>Geneva, CH</b:City>
    <b:Author>
      <b:Author>
        <b:NameList>
          <b:Person>
            <b:Last>Kim</b:Last>
            <b:First>C</b:First>
          </b:Person>
          <b:Person>
            <b:Last>Gwak</b:Last>
            <b:First>D</b:First>
          </b:Person>
          <b:Person>
            <b:Last>Lim</b:Last>
            <b:First>J</b:First>
          </b:Person>
        </b:NameList>
      </b:Author>
    </b:Author>
    <b:RefOrder>3</b:RefOrder>
  </b:Source>
  <b:Source>
    <b:Tag>Wan241</b:Tag>
    <b:SourceType>Report</b:SourceType>
    <b:Guid>{92C9FA65-2CE8-4308-A1E6-C7B7AF863CB4}</b:Guid>
    <b:Title>AHG8: On combined pre-processing and post-processing for machine vision</b:Title>
    <b:Year>April 2024</b:Year>
    <b:Publisher>JVET-AH0157</b:Publisher>
    <b:City>Rennes, FR</b:City>
    <b:Author>
      <b:Author>
        <b:NameList>
          <b:Person>
            <b:Last>Wang</b:Last>
            <b:First>S</b:First>
          </b:Person>
          <b:Person>
            <b:Last>Li</b:Last>
            <b:First>B</b:First>
          </b:Person>
          <b:Person>
            <b:Last>Chen</b:Last>
            <b:First>J</b:First>
          </b:Person>
          <b:Person>
            <b:Last>Ye</b:Last>
            <b:First>Y</b:First>
          </b:Person>
        </b:NameList>
      </b:Author>
    </b:Author>
    <b:RefOrder>4</b:RefOrder>
  </b:Source>
  <b:Source>
    <b:Tag>Hol242</b:Tag>
    <b:SourceType>Report</b:SourceType>
    <b:Guid>{66A2506D-F4FA-486A-A269-E24CE3EE5EE2}</b:Guid>
    <b:Title>AHG8: RPR for machine consumption</b:Title>
    <b:Year>April 2024</b:Year>
    <b:Publisher>JVET-AH0130</b:Publisher>
    <b:City>Rennes, FR</b:City>
    <b:Author>
      <b:Author>
        <b:NameList>
          <b:Person>
            <b:Last>Hollmann</b:Last>
            <b:First>Christopher</b:First>
          </b:Person>
          <b:Person>
            <b:Last>Ström</b:Last>
            <b:First>Jacob</b:First>
          </b:Person>
          <b:Person>
            <b:Last>Wennersten</b:Last>
            <b:First>Per</b:First>
          </b:Person>
          <b:Person>
            <b:Last>Andersson</b:Last>
            <b:First>Kenneth</b:First>
          </b:Person>
        </b:NameList>
      </b:Author>
    </b:Author>
    <b:RefOrder>7</b:RefOrder>
  </b:Source>
  <b:Source>
    <b:Tag>Kea24</b:Tag>
    <b:SourceType>Report</b:SourceType>
    <b:Guid>{22AC9EF9-DC47-4B5E-A1EE-965ACEA8DE16}</b:Guid>
    <b:Title>AHG8: 444 processing for VCM</b:Title>
    <b:Year>July 2024</b:Year>
    <b:Publisher>JVET-AI0144</b:Publisher>
    <b:City>Sapporo, JP</b:City>
    <b:Author>
      <b:Author>
        <b:NameList>
          <b:Person>
            <b:Last>Keating</b:Last>
            <b:First>Steve</b:First>
          </b:Person>
        </b:NameList>
      </b:Author>
    </b:Author>
    <b:RefOrder>5</b:RefOrder>
  </b:Source>
  <b:Source>
    <b:Tag>LiB24</b:Tag>
    <b:SourceType>Report</b:SourceType>
    <b:Guid>{76139E20-F119-4615-A60F-6EF4758B474C}</b:Guid>
    <b:Title>AHG8: A post-processing algorithm for machine consumption</b:Title>
    <b:Year>January 2024</b:Year>
    <b:Publisher>JVET-AG0212</b:Publisher>
    <b:City>Online</b:City>
    <b:Author>
      <b:Author>
        <b:NameList>
          <b:Person>
            <b:Last>Li</b:Last>
            <b:First>B</b:First>
          </b:Person>
          <b:Person>
            <b:Last>Wang</b:Last>
            <b:First>S</b:First>
          </b:Person>
          <b:Person>
            <b:Last>Chen</b:Last>
            <b:First>J</b:First>
          </b:Person>
          <b:Person>
            <b:Last>Ye</b:Last>
            <b:First>Y</b:First>
          </b:Person>
          <b:Person>
            <b:Last>Wang</b:Last>
            <b:First>S</b:First>
          </b:Person>
        </b:NameList>
      </b:Author>
    </b:Author>
    <b:RefOrder>6</b:RefOrder>
  </b:Source>
  <b:Source>
    <b:Tag>Liu241</b:Tag>
    <b:SourceType>Report</b:SourceType>
    <b:Guid>{416F1F88-F67C-4491-8AF0-13473C19BFC4}</b:Guid>
    <b:Title>Common test conditions for optimization of encoders and receiving systems for machine analysis of coded video content</b:Title>
    <b:Year>July 2024</b:Year>
    <b:Publisher>JVET-AI2031</b:Publisher>
    <b:City>Sapporo, JP</b:City>
    <b:Author>
      <b:Author>
        <b:NameList>
          <b:Person>
            <b:Last>Liu</b:Last>
            <b:First>Shan</b:First>
          </b:Person>
          <b:Person>
            <b:Last>Hollmann</b:Last>
            <b:First>Christopher</b:First>
          </b:Person>
        </b:NameList>
      </b:Author>
    </b:Author>
    <b:RefOrder>8</b:RefOrder>
  </b:Source>
</b:Sources>
</file>

<file path=customXml/itemProps1.xml><?xml version="1.0" encoding="utf-8"?>
<ds:datastoreItem xmlns:ds="http://schemas.openxmlformats.org/officeDocument/2006/customXml" ds:itemID="{21E90F50-1A5A-4B04-B297-76B196180B0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949</Words>
  <Characters>5597</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Lukasz Litwic</cp:lastModifiedBy>
  <cp:revision>5</cp:revision>
  <cp:lastPrinted>1900-01-01T08:00:00Z</cp:lastPrinted>
  <dcterms:created xsi:type="dcterms:W3CDTF">2024-10-23T18:33:00Z</dcterms:created>
  <dcterms:modified xsi:type="dcterms:W3CDTF">2024-10-24T03:00:00Z</dcterms:modified>
</cp:coreProperties>
</file>