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CFF69C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1814DB">
              <w:rPr>
                <w:lang w:val="en-CA"/>
              </w:rPr>
              <w:t>02</w:t>
            </w:r>
            <w:r w:rsidR="00FB382F">
              <w:rPr>
                <w:lang w:val="en-CA"/>
              </w:rPr>
              <w:t>30</w:t>
            </w:r>
            <w:r w:rsidR="006A0E5C" w:rsidRPr="006A0E5C">
              <w:rPr>
                <w:lang w:val="en-CA"/>
              </w:rPr>
              <w:t>-v</w:t>
            </w:r>
            <w:r w:rsidR="0054357B">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CD1E6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6EBB9E" w:rsidR="00E61DAC" w:rsidRPr="005B217D" w:rsidRDefault="00FB382F" w:rsidP="009D7CE6">
            <w:pPr>
              <w:spacing w:before="60" w:after="60"/>
              <w:rPr>
                <w:b/>
                <w:szCs w:val="22"/>
                <w:lang w:val="en-CA"/>
              </w:rPr>
            </w:pPr>
            <w:r>
              <w:rPr>
                <w:b/>
                <w:szCs w:val="22"/>
                <w:lang w:val="en-CA"/>
              </w:rPr>
              <w:t>Non-</w:t>
            </w:r>
            <w:r w:rsidR="001D55C1" w:rsidRPr="001D55C1">
              <w:rPr>
                <w:b/>
                <w:szCs w:val="22"/>
                <w:lang w:val="en-CA"/>
              </w:rPr>
              <w:t xml:space="preserve">EE2: </w:t>
            </w:r>
            <w:r w:rsidRPr="00FB382F">
              <w:rPr>
                <w:b/>
                <w:szCs w:val="22"/>
              </w:rPr>
              <w:t>On reference sample processing for angular intra-prediction modes</w:t>
            </w:r>
          </w:p>
        </w:tc>
      </w:tr>
      <w:tr w:rsidR="00E61DAC" w:rsidRPr="005B217D" w14:paraId="3D8B01B2" w14:textId="77777777" w:rsidTr="00CD1E6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B6D71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CD1E6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A337D7" w:rsidR="00E61DAC" w:rsidRPr="005B217D" w:rsidRDefault="00160E2F" w:rsidP="005E1AC6">
            <w:pPr>
              <w:spacing w:before="60" w:after="60"/>
              <w:rPr>
                <w:szCs w:val="22"/>
                <w:lang w:val="en-CA"/>
              </w:rPr>
            </w:pPr>
            <w:r w:rsidRPr="00160E2F">
              <w:rPr>
                <w:szCs w:val="22"/>
                <w:lang w:val="en-CA"/>
              </w:rPr>
              <w:t>Proposal</w:t>
            </w:r>
          </w:p>
        </w:tc>
      </w:tr>
      <w:tr w:rsidR="00CD1E60" w:rsidRPr="005B217D" w14:paraId="714CD808" w14:textId="77777777" w:rsidTr="00CD1E60">
        <w:tc>
          <w:tcPr>
            <w:tcW w:w="1458" w:type="dxa"/>
          </w:tcPr>
          <w:p w14:paraId="4DB59313" w14:textId="77777777" w:rsidR="00CD1E60" w:rsidRPr="005B217D" w:rsidRDefault="00CD1E60" w:rsidP="00CD1E60">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85879A2" w14:textId="77777777" w:rsidR="00FB382F" w:rsidRDefault="00FB382F" w:rsidP="00FB382F">
            <w:pPr>
              <w:spacing w:before="60" w:after="60"/>
              <w:rPr>
                <w:rFonts w:eastAsia="KaiTi"/>
                <w:szCs w:val="22"/>
              </w:rPr>
            </w:pPr>
            <w:r>
              <w:rPr>
                <w:rFonts w:eastAsia="KaiTi"/>
                <w:szCs w:val="22"/>
              </w:rPr>
              <w:t>Alexey</w:t>
            </w:r>
            <w:r>
              <w:rPr>
                <w:rFonts w:eastAsia="KaiTi" w:hint="eastAsia"/>
                <w:szCs w:val="22"/>
                <w:lang w:eastAsia="zh-CN"/>
              </w:rPr>
              <w:t xml:space="preserve"> </w:t>
            </w:r>
            <w:r>
              <w:rPr>
                <w:rFonts w:eastAsia="KaiTi"/>
                <w:szCs w:val="22"/>
              </w:rPr>
              <w:t>Filippov</w:t>
            </w:r>
          </w:p>
          <w:p w14:paraId="60BFE8B6" w14:textId="003B5D67" w:rsidR="00CD1E60" w:rsidRDefault="00CD1E60" w:rsidP="00CD1E60">
            <w:pPr>
              <w:spacing w:before="60" w:after="60"/>
              <w:rPr>
                <w:szCs w:val="22"/>
                <w:lang w:val="en-CA"/>
              </w:rPr>
            </w:pPr>
            <w:r>
              <w:rPr>
                <w:rFonts w:eastAsia="KaiTi"/>
                <w:szCs w:val="22"/>
              </w:rPr>
              <w:t>Vasily</w:t>
            </w:r>
            <w:r>
              <w:rPr>
                <w:rFonts w:eastAsia="KaiTi" w:hint="eastAsia"/>
                <w:szCs w:val="22"/>
                <w:lang w:eastAsia="zh-CN"/>
              </w:rPr>
              <w:t xml:space="preserve"> </w:t>
            </w:r>
            <w:r>
              <w:rPr>
                <w:rFonts w:eastAsia="KaiTi"/>
                <w:szCs w:val="22"/>
              </w:rPr>
              <w:t>Rufitskiy</w:t>
            </w:r>
            <w:r>
              <w:rPr>
                <w:szCs w:val="22"/>
                <w:lang w:val="en-CA"/>
              </w:rPr>
              <w:t xml:space="preserve"> </w:t>
            </w:r>
          </w:p>
          <w:p w14:paraId="31BE3A9A" w14:textId="77777777" w:rsidR="00FB382F" w:rsidRDefault="00FB382F" w:rsidP="00FB382F">
            <w:pPr>
              <w:spacing w:before="60" w:after="60"/>
              <w:rPr>
                <w:rFonts w:eastAsia="KaiTi"/>
                <w:szCs w:val="22"/>
              </w:rPr>
            </w:pPr>
            <w:proofErr w:type="spellStart"/>
            <w:r>
              <w:rPr>
                <w:rFonts w:eastAsia="KaiTi"/>
                <w:szCs w:val="22"/>
              </w:rPr>
              <w:t>Tianyu</w:t>
            </w:r>
            <w:proofErr w:type="spellEnd"/>
            <w:r>
              <w:rPr>
                <w:rFonts w:eastAsia="KaiTi"/>
                <w:szCs w:val="22"/>
              </w:rPr>
              <w:t xml:space="preserve"> Dong</w:t>
            </w:r>
          </w:p>
          <w:p w14:paraId="2D30F2B3" w14:textId="77777777" w:rsidR="00CD1E60" w:rsidRDefault="00CD1E60" w:rsidP="00CD1E60">
            <w:pPr>
              <w:spacing w:before="60" w:after="60"/>
              <w:rPr>
                <w:szCs w:val="22"/>
                <w:lang w:val="en-CA"/>
              </w:rPr>
            </w:pPr>
            <w:r>
              <w:rPr>
                <w:szCs w:val="22"/>
                <w:lang w:val="en-CA" w:eastAsia="zh-CN"/>
              </w:rPr>
              <w:t>Jacek Konieczny</w:t>
            </w:r>
          </w:p>
          <w:p w14:paraId="49DB875B" w14:textId="53AEB8D6" w:rsidR="00CD1E60" w:rsidRDefault="00CD1E60" w:rsidP="00CD1E60">
            <w:pPr>
              <w:spacing w:before="60" w:after="60"/>
              <w:rPr>
                <w:szCs w:val="22"/>
                <w:lang w:val="en-CA"/>
              </w:rPr>
            </w:pPr>
            <w:proofErr w:type="spellStart"/>
            <w:r>
              <w:rPr>
                <w:szCs w:val="22"/>
                <w:lang w:val="en-CA"/>
              </w:rPr>
              <w:t>Hongdong</w:t>
            </w:r>
            <w:proofErr w:type="spellEnd"/>
            <w:r>
              <w:rPr>
                <w:szCs w:val="22"/>
                <w:lang w:val="en-CA"/>
              </w:rPr>
              <w:t xml:space="preserve"> Qin</w:t>
            </w:r>
          </w:p>
          <w:p w14:paraId="49D81240" w14:textId="6B99C3F6" w:rsidR="00CD1E60" w:rsidRPr="005B217D" w:rsidRDefault="00CD1E60" w:rsidP="00CD1E60">
            <w:pPr>
              <w:spacing w:before="60" w:after="60"/>
              <w:rPr>
                <w:szCs w:val="22"/>
                <w:lang w:val="en-CA"/>
              </w:rPr>
            </w:pPr>
            <w:r w:rsidRPr="0033244D">
              <w:rPr>
                <w:szCs w:val="22"/>
                <w:lang w:val="en-GB" w:eastAsia="zh-CN"/>
              </w:rPr>
              <w:t>7/F, Block G1, TCL International E-City</w:t>
            </w:r>
            <w:r w:rsidRPr="0033244D">
              <w:rPr>
                <w:szCs w:val="22"/>
                <w:lang w:val="en-GB" w:eastAsia="zh-CN"/>
              </w:rPr>
              <w:br/>
              <w:t xml:space="preserve">1001 </w:t>
            </w:r>
            <w:proofErr w:type="spellStart"/>
            <w:r w:rsidRPr="0033244D">
              <w:rPr>
                <w:szCs w:val="22"/>
                <w:lang w:val="en-GB" w:eastAsia="zh-CN"/>
              </w:rPr>
              <w:t>Zhongshanyuan</w:t>
            </w:r>
            <w:proofErr w:type="spellEnd"/>
            <w:r w:rsidRPr="0033244D">
              <w:rPr>
                <w:szCs w:val="22"/>
                <w:lang w:val="en-GB" w:eastAsia="zh-CN"/>
              </w:rPr>
              <w:t xml:space="preserve"> Road</w:t>
            </w:r>
            <w:r w:rsidRPr="0033244D">
              <w:rPr>
                <w:szCs w:val="22"/>
                <w:lang w:val="en-GB" w:eastAsia="zh-CN"/>
              </w:rPr>
              <w:br/>
              <w:t>Nanshan, Shenzhen, Guangdong</w:t>
            </w:r>
            <w:r>
              <w:rPr>
                <w:rFonts w:hint="eastAsia"/>
                <w:szCs w:val="22"/>
                <w:lang w:val="en-GB" w:eastAsia="zh-CN"/>
              </w:rPr>
              <w:t xml:space="preserve"> 518052</w:t>
            </w:r>
            <w:r w:rsidRPr="0033244D">
              <w:rPr>
                <w:szCs w:val="22"/>
                <w:lang w:val="en-GB" w:eastAsia="zh-CN"/>
              </w:rPr>
              <w:br/>
              <w:t>People’s Republic of China</w:t>
            </w:r>
          </w:p>
        </w:tc>
        <w:tc>
          <w:tcPr>
            <w:tcW w:w="900" w:type="dxa"/>
          </w:tcPr>
          <w:p w14:paraId="0140ECA2" w14:textId="20995B33" w:rsidR="00CD1E60" w:rsidRPr="005B217D" w:rsidRDefault="00CD1E60" w:rsidP="00CD1E60">
            <w:pPr>
              <w:spacing w:before="60" w:after="60"/>
              <w:rPr>
                <w:szCs w:val="22"/>
                <w:lang w:val="en-CA"/>
              </w:rPr>
            </w:pPr>
            <w:r w:rsidRPr="005B217D">
              <w:rPr>
                <w:szCs w:val="22"/>
                <w:lang w:val="en-CA"/>
              </w:rPr>
              <w:br/>
              <w:t>Email:</w:t>
            </w:r>
          </w:p>
        </w:tc>
        <w:tc>
          <w:tcPr>
            <w:tcW w:w="3060" w:type="dxa"/>
          </w:tcPr>
          <w:p w14:paraId="3B165A72" w14:textId="0DE45DC7" w:rsidR="004C6008" w:rsidRDefault="00000000" w:rsidP="00CD1E60">
            <w:pPr>
              <w:spacing w:before="60" w:after="60"/>
              <w:rPr>
                <w:rStyle w:val="Hyperlink"/>
                <w:rFonts w:eastAsia="KaiTi"/>
              </w:rPr>
            </w:pPr>
            <w:hyperlink r:id="rId10" w:history="1">
              <w:r w:rsidR="004C6008">
                <w:rPr>
                  <w:rStyle w:val="Hyperlink"/>
                  <w:rFonts w:eastAsia="KaiTi"/>
                </w:rPr>
                <w:t>alexey.filippov@tcl.com</w:t>
              </w:r>
            </w:hyperlink>
          </w:p>
          <w:p w14:paraId="00C57240" w14:textId="77777777" w:rsidR="00FB382F" w:rsidRDefault="00000000" w:rsidP="00FB382F">
            <w:pPr>
              <w:spacing w:before="60" w:after="60"/>
              <w:rPr>
                <w:rStyle w:val="Hyperlink"/>
                <w:rFonts w:eastAsia="KaiTi"/>
              </w:rPr>
            </w:pPr>
            <w:hyperlink r:id="rId11" w:history="1">
              <w:r w:rsidR="00FB382F">
                <w:rPr>
                  <w:rStyle w:val="Hyperlink"/>
                  <w:rFonts w:eastAsia="KaiTi"/>
                </w:rPr>
                <w:t>vasily.rufitskiy@tcl.com</w:t>
              </w:r>
            </w:hyperlink>
          </w:p>
          <w:p w14:paraId="127DD928" w14:textId="77777777" w:rsidR="00FB382F" w:rsidRDefault="00000000" w:rsidP="00FB382F">
            <w:pPr>
              <w:spacing w:before="60" w:after="60"/>
            </w:pPr>
            <w:hyperlink r:id="rId12" w:history="1">
              <w:r w:rsidR="00FB382F" w:rsidRPr="00B4217D">
                <w:rPr>
                  <w:rStyle w:val="Hyperlink"/>
                  <w:szCs w:val="22"/>
                  <w:lang w:val="en-CA"/>
                </w:rPr>
                <w:t>tianyu.dong@tcl.com</w:t>
              </w:r>
            </w:hyperlink>
          </w:p>
          <w:p w14:paraId="15E1E19B" w14:textId="0CEE45DB" w:rsidR="00CD1E60" w:rsidRDefault="00000000" w:rsidP="00CD1E60">
            <w:pPr>
              <w:spacing w:before="60" w:after="60"/>
              <w:rPr>
                <w:szCs w:val="22"/>
                <w:lang w:val="en-CA"/>
              </w:rPr>
            </w:pPr>
            <w:hyperlink r:id="rId13" w:history="1">
              <w:r w:rsidR="00CD1E60" w:rsidRPr="00561147">
                <w:rPr>
                  <w:rStyle w:val="Hyperlink"/>
                  <w:szCs w:val="22"/>
                  <w:lang w:val="en-CA"/>
                </w:rPr>
                <w:t>jacek.k@tcl.com</w:t>
              </w:r>
            </w:hyperlink>
          </w:p>
          <w:p w14:paraId="3288A0D8" w14:textId="01007CBF" w:rsidR="00CD1E60" w:rsidRPr="00FB382F" w:rsidRDefault="00000000" w:rsidP="00FB382F">
            <w:pPr>
              <w:spacing w:before="60" w:after="60"/>
              <w:rPr>
                <w:rStyle w:val="Hyperlink"/>
                <w:szCs w:val="22"/>
                <w:lang w:val="en-CA"/>
              </w:rPr>
            </w:pPr>
            <w:hyperlink r:id="rId14" w:history="1">
              <w:r w:rsidR="00CD1E60" w:rsidRPr="00561147">
                <w:rPr>
                  <w:rStyle w:val="Hyperlink"/>
                  <w:szCs w:val="22"/>
                  <w:lang w:val="en-CA"/>
                </w:rPr>
                <w:t>hongdong.qin@tcl.com</w:t>
              </w:r>
            </w:hyperlink>
          </w:p>
          <w:p w14:paraId="32C2ABFD" w14:textId="0599D9F8" w:rsidR="00CD1E60" w:rsidRPr="005B217D" w:rsidRDefault="00CD1E60" w:rsidP="00CD1E60">
            <w:pPr>
              <w:spacing w:before="60" w:after="60"/>
              <w:rPr>
                <w:szCs w:val="22"/>
                <w:lang w:val="en-CA"/>
              </w:rPr>
            </w:pPr>
          </w:p>
        </w:tc>
      </w:tr>
      <w:tr w:rsidR="00CD1E60" w:rsidRPr="005B217D" w14:paraId="49AFAA61" w14:textId="77777777" w:rsidTr="00CD1E60">
        <w:tc>
          <w:tcPr>
            <w:tcW w:w="1458" w:type="dxa"/>
          </w:tcPr>
          <w:p w14:paraId="2C08AF6B" w14:textId="77777777" w:rsidR="00CD1E60" w:rsidRPr="005B217D" w:rsidRDefault="00CD1E60" w:rsidP="00CD1E60">
            <w:pPr>
              <w:spacing w:before="60" w:after="60"/>
              <w:rPr>
                <w:i/>
                <w:szCs w:val="22"/>
                <w:lang w:val="en-CA"/>
              </w:rPr>
            </w:pPr>
            <w:r w:rsidRPr="005B217D">
              <w:rPr>
                <w:i/>
                <w:szCs w:val="22"/>
                <w:lang w:val="en-CA"/>
              </w:rPr>
              <w:t>Source:</w:t>
            </w:r>
          </w:p>
        </w:tc>
        <w:tc>
          <w:tcPr>
            <w:tcW w:w="7902" w:type="dxa"/>
            <w:gridSpan w:val="3"/>
          </w:tcPr>
          <w:p w14:paraId="643E6B85" w14:textId="42044E90" w:rsidR="00CD1E60" w:rsidRPr="005B217D" w:rsidRDefault="00CD1E60" w:rsidP="00CD1E60">
            <w:pPr>
              <w:spacing w:before="60" w:after="60"/>
              <w:rPr>
                <w:szCs w:val="22"/>
                <w:lang w:val="en-CA"/>
              </w:rPr>
            </w:pPr>
            <w:r>
              <w:rPr>
                <w:szCs w:val="22"/>
                <w:lang w:val="en-CA"/>
              </w:rPr>
              <w:t>TCL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60C236F" w14:textId="3B9CB50F" w:rsidR="00AF633C" w:rsidRDefault="005F6EF1" w:rsidP="00AF633C">
      <w:pPr>
        <w:rPr>
          <w:rFonts w:eastAsia="PMingLiU"/>
          <w:lang w:val="en-CA" w:eastAsia="zh-TW"/>
        </w:rPr>
      </w:pPr>
      <w:r>
        <w:rPr>
          <w:lang w:val="en-CA"/>
        </w:rPr>
        <w:t>In this document</w:t>
      </w:r>
      <w:r w:rsidR="004A1F58">
        <w:rPr>
          <w:lang w:val="en-CA"/>
        </w:rPr>
        <w:t>,</w:t>
      </w:r>
      <w:r>
        <w:rPr>
          <w:lang w:val="en-CA"/>
        </w:rPr>
        <w:t xml:space="preserve"> </w:t>
      </w:r>
      <w:r w:rsidR="006570D7">
        <w:rPr>
          <w:lang w:val="en-CA"/>
        </w:rPr>
        <w:t xml:space="preserve">a method </w:t>
      </w:r>
      <w:r w:rsidR="004A1F58">
        <w:rPr>
          <w:lang w:val="en-CA"/>
        </w:rPr>
        <w:t xml:space="preserve">of reference sample processing for angular intra-prediction modes is proposed to reveal what regions of the reference samples </w:t>
      </w:r>
      <w:r w:rsidR="00916CDB">
        <w:rPr>
          <w:lang w:val="en-CA"/>
        </w:rPr>
        <w:t>have significant values of gradient</w:t>
      </w:r>
      <w:r w:rsidR="00796C14">
        <w:rPr>
          <w:lang w:val="en-CA"/>
        </w:rPr>
        <w:t xml:space="preserve"> magnitude</w:t>
      </w:r>
      <w:r w:rsidR="00916CDB">
        <w:rPr>
          <w:lang w:val="en-CA"/>
        </w:rPr>
        <w:t>s</w:t>
      </w:r>
      <w:r w:rsidR="00796C14">
        <w:rPr>
          <w:lang w:val="en-CA"/>
        </w:rPr>
        <w:t xml:space="preserve"> and gradient directionality</w:t>
      </w:r>
      <w:r w:rsidR="00916CDB">
        <w:rPr>
          <w:lang w:val="en-CA"/>
        </w:rPr>
        <w:t xml:space="preserve"> similar to the angular prediction directions </w:t>
      </w:r>
      <w:r w:rsidR="00AB3456">
        <w:rPr>
          <w:lang w:val="en-CA"/>
        </w:rPr>
        <w:t xml:space="preserve">applied to </w:t>
      </w:r>
      <w:r w:rsidR="00916CDB">
        <w:rPr>
          <w:lang w:val="en-CA"/>
        </w:rPr>
        <w:t>a given block</w:t>
      </w:r>
      <w:r>
        <w:rPr>
          <w:lang w:val="en-CA"/>
        </w:rPr>
        <w:t>.</w:t>
      </w:r>
      <w:r w:rsidR="00916CDB">
        <w:rPr>
          <w:lang w:val="en-CA"/>
        </w:rPr>
        <w:t xml:space="preserve"> The derived information on gradient magnitudes and directionalities is used to make a decision on whether </w:t>
      </w:r>
      <w:r w:rsidR="00AB3456">
        <w:rPr>
          <w:lang w:val="en-CA"/>
        </w:rPr>
        <w:t>to propagate</w:t>
      </w:r>
      <w:r w:rsidR="000A19D0">
        <w:rPr>
          <w:lang w:val="en-CA"/>
        </w:rPr>
        <w:t xml:space="preserve"> into the block</w:t>
      </w:r>
      <w:r w:rsidR="00AB3456">
        <w:rPr>
          <w:lang w:val="en-CA"/>
        </w:rPr>
        <w:t xml:space="preserve"> </w:t>
      </w:r>
      <w:r w:rsidR="008E290C">
        <w:rPr>
          <w:lang w:val="en-CA"/>
        </w:rPr>
        <w:t xml:space="preserve">the </w:t>
      </w:r>
      <w:r w:rsidR="00AB3456">
        <w:rPr>
          <w:lang w:val="en-CA"/>
        </w:rPr>
        <w:t>difference</w:t>
      </w:r>
      <w:r w:rsidR="008E290C">
        <w:rPr>
          <w:lang w:val="en-CA"/>
        </w:rPr>
        <w:t xml:space="preserve"> between the samples </w:t>
      </w:r>
      <w:r w:rsidR="007E7AAE">
        <w:rPr>
          <w:lang w:val="en-CA"/>
        </w:rPr>
        <w:t>belonging to the 2 reference lines used for the angular prediction of a given sample with</w:t>
      </w:r>
      <w:r w:rsidR="009F7C6E">
        <w:rPr>
          <w:lang w:val="en-CA"/>
        </w:rPr>
        <w:t>in</w:t>
      </w:r>
      <w:r w:rsidR="007E7AAE">
        <w:rPr>
          <w:lang w:val="en-CA"/>
        </w:rPr>
        <w:t xml:space="preserve"> the block.</w:t>
      </w:r>
      <w:r w:rsidR="00AB3456">
        <w:rPr>
          <w:lang w:val="en-CA"/>
        </w:rPr>
        <w:t xml:space="preserve"> </w:t>
      </w:r>
      <w:r w:rsidR="007E7AAE">
        <w:rPr>
          <w:lang w:val="en-CA"/>
        </w:rPr>
        <w:t>Thus, the proposed mechanism can be considered an extension</w:t>
      </w:r>
      <w:r w:rsidR="009F7C6E">
        <w:rPr>
          <w:lang w:val="en-CA"/>
        </w:rPr>
        <w:t xml:space="preserve"> of</w:t>
      </w:r>
      <w:r w:rsidR="007E7AAE">
        <w:rPr>
          <w:lang w:val="en-CA"/>
        </w:rPr>
        <w:t xml:space="preserve"> </w:t>
      </w:r>
      <w:r w:rsidR="00916CDB">
        <w:rPr>
          <w:lang w:val="en-CA"/>
        </w:rPr>
        <w:t>gradient PDPC</w:t>
      </w:r>
      <w:r w:rsidR="007E7AAE">
        <w:rPr>
          <w:lang w:val="en-CA"/>
        </w:rPr>
        <w:t>, which is currently not available for</w:t>
      </w:r>
      <w:r w:rsidR="00916CDB">
        <w:rPr>
          <w:lang w:val="en-CA"/>
        </w:rPr>
        <w:t xml:space="preserve"> negative angular modes.</w:t>
      </w:r>
      <w:r>
        <w:rPr>
          <w:lang w:val="en-CA"/>
        </w:rPr>
        <w:t xml:space="preserve"> </w:t>
      </w:r>
      <w:r>
        <w:rPr>
          <w:rFonts w:eastAsia="PMingLiU"/>
          <w:lang w:val="en-CA" w:eastAsia="zh-TW"/>
        </w:rPr>
        <w:t>On top of ECM</w:t>
      </w:r>
      <w:r>
        <w:rPr>
          <w:rFonts w:eastAsia="PMingLiU"/>
          <w:lang w:val="en-CA" w:eastAsia="zh-TW"/>
        </w:rPr>
        <w:noBreakHyphen/>
        <w:t>14.0, the following BD-rate gain results are reportedly obtained {Y/U/</w:t>
      </w:r>
      <w:proofErr w:type="gramStart"/>
      <w:r>
        <w:rPr>
          <w:rFonts w:eastAsia="PMingLiU"/>
          <w:lang w:val="en-CA" w:eastAsia="zh-TW"/>
        </w:rPr>
        <w:t>V</w:t>
      </w:r>
      <w:r w:rsidR="004A1F58">
        <w:rPr>
          <w:rFonts w:eastAsia="PMingLiU"/>
          <w:lang w:val="en-CA" w:eastAsia="zh-TW"/>
        </w:rPr>
        <w:t xml:space="preserve"> </w:t>
      </w:r>
      <w:r>
        <w:rPr>
          <w:rFonts w:eastAsia="PMingLiU"/>
          <w:lang w:val="en-CA" w:eastAsia="zh-TW"/>
        </w:rPr>
        <w:t>}</w:t>
      </w:r>
      <w:proofErr w:type="gramEnd"/>
      <w:r>
        <w:rPr>
          <w:rFonts w:eastAsia="PMingLiU"/>
          <w:lang w:val="en-CA" w:eastAsia="zh-TW"/>
        </w:rPr>
        <w:t>: {</w:t>
      </w:r>
      <w:r w:rsidR="00732178">
        <w:rPr>
          <w:rFonts w:eastAsia="PMingLiU"/>
          <w:lang w:val="en-CA" w:eastAsia="zh-TW"/>
        </w:rPr>
        <w:t>-0</w:t>
      </w:r>
      <w:r>
        <w:rPr>
          <w:rFonts w:eastAsia="PMingLiU"/>
          <w:lang w:val="en-CA" w:eastAsia="zh-TW"/>
        </w:rPr>
        <w:t>.</w:t>
      </w:r>
      <w:r w:rsidR="00732178">
        <w:rPr>
          <w:rFonts w:eastAsia="PMingLiU"/>
          <w:lang w:val="en-CA" w:eastAsia="zh-TW"/>
        </w:rPr>
        <w:t>0</w:t>
      </w:r>
      <w:r w:rsidR="004A1F58">
        <w:rPr>
          <w:rFonts w:eastAsia="PMingLiU"/>
          <w:lang w:val="en-CA" w:eastAsia="zh-TW"/>
        </w:rPr>
        <w:t>3</w:t>
      </w:r>
      <w:r>
        <w:rPr>
          <w:rFonts w:eastAsia="PMingLiU"/>
          <w:lang w:val="en-CA" w:eastAsia="zh-TW"/>
        </w:rPr>
        <w:t xml:space="preserve">%, </w:t>
      </w:r>
      <w:r w:rsidR="00732178">
        <w:rPr>
          <w:rFonts w:eastAsia="PMingLiU"/>
          <w:lang w:val="en-CA" w:eastAsia="zh-TW"/>
        </w:rPr>
        <w:t>0</w:t>
      </w:r>
      <w:r>
        <w:rPr>
          <w:rFonts w:eastAsia="PMingLiU"/>
          <w:lang w:val="en-CA" w:eastAsia="zh-TW"/>
        </w:rPr>
        <w:t>.</w:t>
      </w:r>
      <w:r w:rsidR="00732178">
        <w:rPr>
          <w:rFonts w:eastAsia="PMingLiU"/>
          <w:lang w:val="en-CA" w:eastAsia="zh-TW"/>
        </w:rPr>
        <w:t>0</w:t>
      </w:r>
      <w:r w:rsidR="004A1F58">
        <w:rPr>
          <w:rFonts w:eastAsia="PMingLiU"/>
          <w:lang w:val="en-CA" w:eastAsia="zh-TW"/>
        </w:rPr>
        <w:t>5</w:t>
      </w:r>
      <w:r>
        <w:rPr>
          <w:rFonts w:eastAsia="PMingLiU"/>
          <w:lang w:val="en-CA" w:eastAsia="zh-TW"/>
        </w:rPr>
        <w:t xml:space="preserve">%, </w:t>
      </w:r>
      <w:r w:rsidR="00732178">
        <w:rPr>
          <w:rFonts w:eastAsia="PMingLiU"/>
          <w:lang w:val="en-CA" w:eastAsia="zh-TW"/>
        </w:rPr>
        <w:t>0</w:t>
      </w:r>
      <w:r>
        <w:rPr>
          <w:rFonts w:eastAsia="PMingLiU"/>
          <w:lang w:val="en-CA" w:eastAsia="zh-TW"/>
        </w:rPr>
        <w:t>.</w:t>
      </w:r>
      <w:r w:rsidR="00732178">
        <w:rPr>
          <w:rFonts w:eastAsia="PMingLiU"/>
          <w:lang w:val="en-CA" w:eastAsia="zh-TW"/>
        </w:rPr>
        <w:t>0</w:t>
      </w:r>
      <w:r w:rsidR="004A1F58">
        <w:rPr>
          <w:rFonts w:eastAsia="PMingLiU"/>
          <w:lang w:val="en-CA" w:eastAsia="zh-TW"/>
        </w:rPr>
        <w:t>0</w:t>
      </w:r>
      <w:r>
        <w:rPr>
          <w:rFonts w:eastAsia="PMingLiU"/>
          <w:lang w:val="en-CA" w:eastAsia="zh-TW"/>
        </w:rPr>
        <w:t>%} for AI configuration</w:t>
      </w:r>
      <w:r w:rsidR="00546EEC">
        <w:rPr>
          <w:rFonts w:eastAsia="PMingLiU"/>
          <w:lang w:val="en-CA" w:eastAsia="zh-TW"/>
        </w:rPr>
        <w:t>.</w:t>
      </w:r>
    </w:p>
    <w:p w14:paraId="2164A9F1" w14:textId="77777777" w:rsidR="00E51F4D" w:rsidRDefault="00E51F4D" w:rsidP="005F6EF1">
      <w:pPr>
        <w:rPr>
          <w:lang w:val="en-CA" w:eastAsia="zh-CN"/>
        </w:rPr>
      </w:pPr>
    </w:p>
    <w:p w14:paraId="7D2AC1F0" w14:textId="5E02542A" w:rsidR="00745F6B" w:rsidRPr="005B217D" w:rsidRDefault="00745F6B" w:rsidP="00E11923">
      <w:pPr>
        <w:pStyle w:val="Heading1"/>
        <w:rPr>
          <w:lang w:val="en-CA"/>
        </w:rPr>
      </w:pPr>
      <w:r w:rsidRPr="005B217D">
        <w:rPr>
          <w:lang w:val="en-CA"/>
        </w:rPr>
        <w:t>Introduction</w:t>
      </w:r>
    </w:p>
    <w:p w14:paraId="5124314C" w14:textId="75E1AE6E" w:rsidR="00544EF5" w:rsidRDefault="00544EF5" w:rsidP="00435BDC">
      <w:pPr>
        <w:pStyle w:val="Heading2"/>
        <w:rPr>
          <w:lang w:val="en-CA"/>
        </w:rPr>
      </w:pPr>
      <w:bookmarkStart w:id="0" w:name="_Hlk180615588"/>
      <w:r>
        <w:rPr>
          <w:lang w:val="en-CA"/>
        </w:rPr>
        <w:t>Gradient PDPC in ECM-14.0</w:t>
      </w:r>
    </w:p>
    <w:p w14:paraId="4F916CC4" w14:textId="4911F293" w:rsidR="00544EF5" w:rsidRPr="00544EF5" w:rsidRDefault="00544EF5" w:rsidP="00544EF5">
      <w:pPr>
        <w:rPr>
          <w:lang w:val="en-CA"/>
        </w:rPr>
      </w:pPr>
      <w:r w:rsidRPr="00250117">
        <w:rPr>
          <w:lang w:val="en-CA"/>
        </w:rPr>
        <w:t xml:space="preserve">In VVC, for a few scenarios, PDPC may not be applied due to the unavailability of the secondary reference samples. </w:t>
      </w:r>
      <w:r>
        <w:rPr>
          <w:lang w:val="en-CA"/>
        </w:rPr>
        <w:t>I</w:t>
      </w:r>
      <w:r w:rsidRPr="00250117">
        <w:rPr>
          <w:lang w:val="en-CA"/>
        </w:rPr>
        <w:t>n these cases, a gradient based PDPC, extended from horizontal/vertical mode, is applied</w:t>
      </w:r>
      <w:r>
        <w:rPr>
          <w:lang w:val="en-CA"/>
        </w:rPr>
        <w:t xml:space="preserve"> (JVET-Q0391)</w:t>
      </w:r>
      <w:r w:rsidRPr="00250117">
        <w:rPr>
          <w:lang w:val="en-CA"/>
        </w:rPr>
        <w:t>. The PDPC weights (</w:t>
      </w:r>
      <w:proofErr w:type="spellStart"/>
      <w:r w:rsidRPr="00250117">
        <w:rPr>
          <w:lang w:val="en-CA"/>
        </w:rPr>
        <w:t>wT</w:t>
      </w:r>
      <w:proofErr w:type="spellEnd"/>
      <w:r w:rsidRPr="00250117">
        <w:rPr>
          <w:lang w:val="en-CA"/>
        </w:rPr>
        <w:t xml:space="preserve"> / </w:t>
      </w:r>
      <w:proofErr w:type="spellStart"/>
      <w:r w:rsidRPr="00250117">
        <w:rPr>
          <w:lang w:val="en-CA"/>
        </w:rPr>
        <w:t>wL</w:t>
      </w:r>
      <w:proofErr w:type="spellEnd"/>
      <w:r w:rsidRPr="00250117">
        <w:rPr>
          <w:lang w:val="en-CA"/>
        </w:rPr>
        <w:t xml:space="preserve">) and </w:t>
      </w:r>
      <w:proofErr w:type="spellStart"/>
      <w:r w:rsidRPr="00250117">
        <w:rPr>
          <w:lang w:val="en-CA"/>
        </w:rPr>
        <w:t>nScale</w:t>
      </w:r>
      <w:proofErr w:type="spellEnd"/>
      <w:r w:rsidRPr="00250117">
        <w:rPr>
          <w:lang w:val="en-CA"/>
        </w:rPr>
        <w:t xml:space="preserve"> parameter for determining the decay in PDPC weights with respect to the distance from left/top boundary are set equal to corresponding parameters in horizontal/vertical mode, respectively. When the secondary reference sample is at a fractional sample position, bilinear interpolation is applied</w:t>
      </w:r>
      <w:r>
        <w:rPr>
          <w:lang w:val="en-CA"/>
        </w:rPr>
        <w:t xml:space="preserve"> [1]</w:t>
      </w:r>
      <w:r w:rsidRPr="00250117">
        <w:rPr>
          <w:lang w:val="en-CA"/>
        </w:rPr>
        <w:t>.</w:t>
      </w:r>
    </w:p>
    <w:p w14:paraId="76BD99BE" w14:textId="54F4DF37" w:rsidR="00435BDC" w:rsidRDefault="00435BDC" w:rsidP="00435BDC">
      <w:pPr>
        <w:pStyle w:val="Heading2"/>
        <w:rPr>
          <w:lang w:val="en-CA"/>
        </w:rPr>
      </w:pPr>
      <w:r w:rsidRPr="001814DB">
        <w:rPr>
          <w:szCs w:val="22"/>
          <w:lang w:val="en-CA"/>
        </w:rPr>
        <w:t>DIMD with 2x2 edge operator applied to small blocks</w:t>
      </w:r>
      <w:bookmarkEnd w:id="0"/>
      <w:r>
        <w:rPr>
          <w:szCs w:val="22"/>
          <w:lang w:val="en-CA"/>
        </w:rPr>
        <w:t xml:space="preserve"> (Test EE2-2.11)</w:t>
      </w:r>
    </w:p>
    <w:p w14:paraId="62C001F0" w14:textId="0518A377" w:rsidR="00435BDC" w:rsidRDefault="00435BDC" w:rsidP="00435BDC">
      <w:pPr>
        <w:snapToGrid w:val="0"/>
        <w:spacing w:before="0" w:after="120"/>
        <w:rPr>
          <w:rFonts w:eastAsia="KaiTi"/>
          <w:sz w:val="21"/>
          <w:szCs w:val="22"/>
        </w:rPr>
      </w:pPr>
      <w:r>
        <w:rPr>
          <w:rFonts w:eastAsia="KaiTi"/>
          <w:sz w:val="21"/>
          <w:szCs w:val="22"/>
        </w:rPr>
        <w:t>The method was originally proposed in JVET-AI0140 [</w:t>
      </w:r>
      <w:r w:rsidR="0094264A">
        <w:rPr>
          <w:rFonts w:eastAsia="KaiTi"/>
          <w:sz w:val="21"/>
          <w:szCs w:val="22"/>
        </w:rPr>
        <w:t>2</w:t>
      </w:r>
      <w:r>
        <w:rPr>
          <w:rFonts w:eastAsia="KaiTi"/>
          <w:sz w:val="21"/>
          <w:szCs w:val="22"/>
        </w:rPr>
        <w:t>]</w:t>
      </w:r>
      <w:r>
        <w:rPr>
          <w:lang w:val="en-CA"/>
        </w:rPr>
        <w:t xml:space="preserve"> to </w:t>
      </w:r>
      <w:r w:rsidR="00544EF5">
        <w:rPr>
          <w:lang w:val="en-CA"/>
        </w:rPr>
        <w:t>apply</w:t>
      </w:r>
      <w:r>
        <w:rPr>
          <w:lang w:val="en-CA"/>
        </w:rPr>
        <w:t xml:space="preserve"> </w:t>
      </w:r>
      <w:r>
        <w:rPr>
          <w:rFonts w:eastAsia="KaiTi"/>
          <w:sz w:val="21"/>
          <w:szCs w:val="22"/>
        </w:rPr>
        <w:t>smaller filter kernel sizes (i.e., 2x2)</w:t>
      </w:r>
      <w:r w:rsidRPr="00E423D8">
        <w:rPr>
          <w:rFonts w:eastAsia="KaiTi"/>
          <w:sz w:val="21"/>
          <w:szCs w:val="22"/>
        </w:rPr>
        <w:t xml:space="preserve"> </w:t>
      </w:r>
      <w:r w:rsidR="00544EF5">
        <w:rPr>
          <w:rFonts w:eastAsia="KaiTi"/>
          <w:sz w:val="21"/>
          <w:szCs w:val="22"/>
        </w:rPr>
        <w:t>to</w:t>
      </w:r>
      <w:r>
        <w:rPr>
          <w:rFonts w:eastAsia="KaiTi"/>
          <w:sz w:val="21"/>
          <w:szCs w:val="22"/>
        </w:rPr>
        <w:t xml:space="preserve"> blocks that comprise small number of samples (i.e. 4x4, 4x8 and 8x4) when calculating a Histogram of Gradients in the DIMD process. More details on the method could be found in JVET-AJ0203 </w:t>
      </w:r>
      <w:r w:rsidR="0094264A">
        <w:rPr>
          <w:rFonts w:eastAsia="KaiTi"/>
          <w:sz w:val="21"/>
          <w:szCs w:val="22"/>
        </w:rPr>
        <w:t>[3]</w:t>
      </w:r>
      <w:r>
        <w:rPr>
          <w:rFonts w:eastAsia="KaiTi"/>
          <w:sz w:val="21"/>
          <w:szCs w:val="22"/>
        </w:rPr>
        <w:t>.</w:t>
      </w:r>
    </w:p>
    <w:p w14:paraId="66CEAA35" w14:textId="77777777" w:rsidR="00E51F4D" w:rsidRDefault="00E51F4D" w:rsidP="00435BDC">
      <w:pPr>
        <w:snapToGrid w:val="0"/>
        <w:spacing w:before="0" w:after="120"/>
        <w:rPr>
          <w:rFonts w:eastAsia="KaiTi"/>
          <w:sz w:val="21"/>
          <w:szCs w:val="22"/>
        </w:rPr>
      </w:pPr>
    </w:p>
    <w:p w14:paraId="39C93B57" w14:textId="28D1944B" w:rsidR="00435BDC" w:rsidRDefault="005216EC" w:rsidP="00435BDC">
      <w:pPr>
        <w:pStyle w:val="Heading2"/>
        <w:rPr>
          <w:szCs w:val="22"/>
          <w:lang w:val="en-CA"/>
        </w:rPr>
      </w:pPr>
      <w:r>
        <w:lastRenderedPageBreak/>
        <w:t>Intra Prediction fusion</w:t>
      </w:r>
    </w:p>
    <w:p w14:paraId="05065919" w14:textId="77777777" w:rsidR="005216EC" w:rsidRDefault="005216EC" w:rsidP="005216EC">
      <w:pPr>
        <w:rPr>
          <w:lang w:val="en-CA" w:eastAsia="zh-CN"/>
        </w:rPr>
      </w:pPr>
      <w:r>
        <w:rPr>
          <w:szCs w:val="22"/>
          <w:lang w:val="en-CA"/>
        </w:rPr>
        <w:t>This intra prediction method derives predicted samples as a weighted combination of multiple predictors generated from different reference lines.</w:t>
      </w:r>
      <w:r w:rsidRPr="00E640F7">
        <w:rPr>
          <w:lang w:val="en-CA" w:eastAsia="zh-CN"/>
        </w:rPr>
        <w:t xml:space="preserve"> </w:t>
      </w:r>
      <w:r>
        <w:rPr>
          <w:lang w:val="en-CA" w:eastAsia="zh-CN"/>
        </w:rPr>
        <w:t xml:space="preserve">In this process multiple intra predictors are generated and then fused by weighted averaging. The process of deriving the predictors to be used in the fusion process is described as follows: </w:t>
      </w:r>
    </w:p>
    <w:p w14:paraId="5F94D26C" w14:textId="77777777" w:rsidR="005216EC" w:rsidRPr="008929E9" w:rsidRDefault="005216EC" w:rsidP="005216EC">
      <w:pPr>
        <w:pStyle w:val="ListParagraph"/>
        <w:numPr>
          <w:ilvl w:val="0"/>
          <w:numId w:val="15"/>
        </w:numPr>
        <w:contextualSpacing w:val="0"/>
        <w:rPr>
          <w:szCs w:val="22"/>
          <w:lang w:val="en-CA"/>
        </w:rPr>
      </w:pPr>
      <w:r w:rsidRPr="008929E9">
        <w:rPr>
          <w:szCs w:val="22"/>
          <w:lang w:val="en-CA"/>
        </w:rPr>
        <w:t xml:space="preserve">For angular intra prediction modes including the single mode case of TIMD and DIMD, the proposed method derives intra prediction by weighting intra predictions obtained from multiple reference lines represented as </w:t>
      </w:r>
      <m:oMath>
        <m:sSub>
          <m:sSubPr>
            <m:ctrlPr>
              <w:rPr>
                <w:rFonts w:ascii="Cambria Math" w:hAnsi="Cambria Math"/>
                <w:szCs w:val="22"/>
                <w:lang w:val="en-CA"/>
              </w:rPr>
            </m:ctrlPr>
          </m:sSubPr>
          <m:e>
            <m:r>
              <w:rPr>
                <w:rFonts w:ascii="Cambria Math" w:hAnsi="Cambria Math"/>
                <w:szCs w:val="22"/>
                <w:lang w:val="en-CA"/>
              </w:rPr>
              <m:t>p</m:t>
            </m:r>
          </m:e>
          <m:sub>
            <m:r>
              <w:rPr>
                <w:rFonts w:ascii="Cambria Math" w:hAnsi="Cambria Math"/>
                <w:szCs w:val="22"/>
                <w:lang w:val="en-CA"/>
              </w:rPr>
              <m:t>fusion</m:t>
            </m:r>
          </m:sub>
        </m:sSub>
        <m:r>
          <m:rPr>
            <m:sty m:val="p"/>
          </m:rPr>
          <w:rPr>
            <w:rFonts w:ascii="Cambria Math" w:hAnsi="Cambria Math"/>
            <w:szCs w:val="22"/>
            <w:lang w:val="en-CA"/>
          </w:rPr>
          <m:t>=</m:t>
        </m:r>
        <m:sSub>
          <m:sSubPr>
            <m:ctrlPr>
              <w:rPr>
                <w:rFonts w:ascii="Cambria Math" w:hAnsi="Cambria Math"/>
                <w:szCs w:val="22"/>
                <w:lang w:val="en-CA"/>
              </w:rPr>
            </m:ctrlPr>
          </m:sSubPr>
          <m:e>
            <m:r>
              <w:rPr>
                <w:rFonts w:ascii="Cambria Math" w:hAnsi="Cambria Math"/>
                <w:szCs w:val="22"/>
                <w:lang w:val="en-CA"/>
              </w:rPr>
              <m:t>w</m:t>
            </m:r>
          </m:e>
          <m:sub>
            <m:r>
              <m:rPr>
                <m:sty m:val="p"/>
              </m:rPr>
              <w:rPr>
                <w:rFonts w:ascii="Cambria Math" w:hAnsi="Cambria Math"/>
                <w:szCs w:val="22"/>
                <w:lang w:val="en-CA"/>
              </w:rPr>
              <m:t>0</m:t>
            </m:r>
          </m:sub>
        </m:sSub>
        <m:sSub>
          <m:sSubPr>
            <m:ctrlPr>
              <w:rPr>
                <w:rFonts w:ascii="Cambria Math" w:hAnsi="Cambria Math"/>
                <w:szCs w:val="22"/>
                <w:lang w:val="en-CA"/>
              </w:rPr>
            </m:ctrlPr>
          </m:sSubPr>
          <m:e>
            <m:r>
              <w:rPr>
                <w:rFonts w:ascii="Cambria Math" w:hAnsi="Cambria Math"/>
                <w:szCs w:val="22"/>
                <w:lang w:val="en-CA"/>
              </w:rPr>
              <m:t>p</m:t>
            </m:r>
          </m:e>
          <m:sub>
            <m:r>
              <w:rPr>
                <w:rFonts w:ascii="Cambria Math" w:hAnsi="Cambria Math"/>
                <w:szCs w:val="22"/>
                <w:lang w:val="en-CA"/>
              </w:rPr>
              <m:t>line</m:t>
            </m:r>
          </m:sub>
        </m:sSub>
        <m:r>
          <m:rPr>
            <m:sty m:val="p"/>
          </m:rPr>
          <w:rPr>
            <w:rFonts w:ascii="Cambria Math" w:hAnsi="Cambria Math"/>
            <w:szCs w:val="22"/>
            <w:lang w:val="en-CA"/>
          </w:rPr>
          <m:t>+</m:t>
        </m:r>
        <m:sSub>
          <m:sSubPr>
            <m:ctrlPr>
              <w:rPr>
                <w:rFonts w:ascii="Cambria Math" w:hAnsi="Cambria Math"/>
                <w:szCs w:val="22"/>
                <w:lang w:val="en-CA"/>
              </w:rPr>
            </m:ctrlPr>
          </m:sSubPr>
          <m:e>
            <m:r>
              <w:rPr>
                <w:rFonts w:ascii="Cambria Math" w:hAnsi="Cambria Math"/>
                <w:szCs w:val="22"/>
                <w:lang w:val="en-CA"/>
              </w:rPr>
              <m:t>w</m:t>
            </m:r>
          </m:e>
          <m:sub>
            <m:r>
              <m:rPr>
                <m:sty m:val="p"/>
              </m:rPr>
              <w:rPr>
                <w:rFonts w:ascii="Cambria Math" w:hAnsi="Cambria Math"/>
                <w:szCs w:val="22"/>
                <w:lang w:val="en-CA"/>
              </w:rPr>
              <m:t>1</m:t>
            </m:r>
          </m:sub>
        </m:sSub>
        <m:sSub>
          <m:sSubPr>
            <m:ctrlPr>
              <w:rPr>
                <w:rFonts w:ascii="Cambria Math" w:hAnsi="Cambria Math"/>
                <w:szCs w:val="22"/>
                <w:lang w:val="en-CA"/>
              </w:rPr>
            </m:ctrlPr>
          </m:sSubPr>
          <m:e>
            <m:r>
              <w:rPr>
                <w:rFonts w:ascii="Cambria Math" w:hAnsi="Cambria Math"/>
                <w:szCs w:val="22"/>
                <w:lang w:val="en-CA"/>
              </w:rPr>
              <m:t>p</m:t>
            </m:r>
          </m:e>
          <m:sub>
            <m:r>
              <w:rPr>
                <w:rFonts w:ascii="Cambria Math" w:hAnsi="Cambria Math"/>
                <w:szCs w:val="22"/>
                <w:lang w:val="en-CA"/>
              </w:rPr>
              <m:t>line</m:t>
            </m:r>
            <m:r>
              <m:rPr>
                <m:sty m:val="p"/>
              </m:rPr>
              <w:rPr>
                <w:rFonts w:ascii="Cambria Math" w:hAnsi="Cambria Math"/>
                <w:szCs w:val="22"/>
                <w:lang w:val="en-CA"/>
              </w:rPr>
              <m:t>+1</m:t>
            </m:r>
          </m:sub>
        </m:sSub>
      </m:oMath>
      <w:r w:rsidRPr="008929E9">
        <w:rPr>
          <w:szCs w:val="22"/>
          <w:lang w:val="en-CA"/>
        </w:rPr>
        <w:t xml:space="preserve">, where </w:t>
      </w:r>
      <m:oMath>
        <m:sSub>
          <m:sSubPr>
            <m:ctrlPr>
              <w:rPr>
                <w:rFonts w:ascii="Cambria Math" w:hAnsi="Cambria Math"/>
                <w:szCs w:val="22"/>
                <w:lang w:val="en-CA"/>
              </w:rPr>
            </m:ctrlPr>
          </m:sSubPr>
          <m:e>
            <m:r>
              <w:rPr>
                <w:rFonts w:ascii="Cambria Math" w:hAnsi="Cambria Math"/>
                <w:szCs w:val="22"/>
                <w:lang w:val="en-CA"/>
              </w:rPr>
              <m:t>p</m:t>
            </m:r>
          </m:e>
          <m:sub>
            <m:r>
              <w:rPr>
                <w:rFonts w:ascii="Cambria Math" w:hAnsi="Cambria Math"/>
                <w:szCs w:val="22"/>
                <w:lang w:val="en-CA"/>
              </w:rPr>
              <m:t>line</m:t>
            </m:r>
          </m:sub>
        </m:sSub>
      </m:oMath>
      <w:r w:rsidRPr="008929E9">
        <w:rPr>
          <w:szCs w:val="22"/>
          <w:lang w:val="en-CA"/>
        </w:rPr>
        <w:t xml:space="preserve"> is the intra prediction from the default reference line and </w:t>
      </w:r>
      <m:oMath>
        <m:sSub>
          <m:sSubPr>
            <m:ctrlPr>
              <w:rPr>
                <w:rFonts w:ascii="Cambria Math" w:hAnsi="Cambria Math"/>
                <w:szCs w:val="22"/>
                <w:lang w:val="en-CA"/>
              </w:rPr>
            </m:ctrlPr>
          </m:sSubPr>
          <m:e>
            <m:r>
              <w:rPr>
                <w:rFonts w:ascii="Cambria Math" w:hAnsi="Cambria Math"/>
                <w:szCs w:val="22"/>
                <w:lang w:val="en-CA"/>
              </w:rPr>
              <m:t>p</m:t>
            </m:r>
          </m:e>
          <m:sub>
            <m:r>
              <w:rPr>
                <w:rFonts w:ascii="Cambria Math" w:hAnsi="Cambria Math"/>
                <w:szCs w:val="22"/>
                <w:lang w:val="en-CA"/>
              </w:rPr>
              <m:t>line</m:t>
            </m:r>
            <m:r>
              <m:rPr>
                <m:sty m:val="p"/>
              </m:rPr>
              <w:rPr>
                <w:rFonts w:ascii="Cambria Math" w:hAnsi="Cambria Math"/>
                <w:szCs w:val="22"/>
                <w:lang w:val="en-CA"/>
              </w:rPr>
              <m:t>+1</m:t>
            </m:r>
          </m:sub>
        </m:sSub>
      </m:oMath>
      <w:r w:rsidRPr="008929E9">
        <w:rPr>
          <w:szCs w:val="22"/>
          <w:lang w:val="en-CA"/>
        </w:rPr>
        <w:t xml:space="preserve"> is the prediction from the line above the default reference line. The weights are set as </w:t>
      </w:r>
      <m:oMath>
        <m:sSub>
          <m:sSubPr>
            <m:ctrlPr>
              <w:rPr>
                <w:rFonts w:ascii="Cambria Math" w:hAnsi="Cambria Math"/>
                <w:szCs w:val="22"/>
                <w:lang w:val="en-CA"/>
              </w:rPr>
            </m:ctrlPr>
          </m:sSubPr>
          <m:e>
            <m:r>
              <w:rPr>
                <w:rFonts w:ascii="Cambria Math" w:hAnsi="Cambria Math"/>
                <w:szCs w:val="22"/>
                <w:lang w:val="en-CA"/>
              </w:rPr>
              <m:t>w</m:t>
            </m:r>
          </m:e>
          <m:sub>
            <m:r>
              <m:rPr>
                <m:sty m:val="p"/>
              </m:rPr>
              <w:rPr>
                <w:rFonts w:ascii="Cambria Math" w:hAnsi="Cambria Math"/>
                <w:szCs w:val="22"/>
                <w:lang w:val="en-CA"/>
              </w:rPr>
              <m:t>0</m:t>
            </m:r>
          </m:sub>
        </m:sSub>
        <m:r>
          <m:rPr>
            <m:sty m:val="p"/>
          </m:rPr>
          <w:rPr>
            <w:rFonts w:ascii="Cambria Math" w:hAnsi="Cambria Math"/>
            <w:szCs w:val="22"/>
            <w:lang w:val="en-CA"/>
          </w:rPr>
          <m:t>=3/4</m:t>
        </m:r>
      </m:oMath>
      <w:r w:rsidRPr="008929E9">
        <w:rPr>
          <w:szCs w:val="22"/>
          <w:lang w:val="en-CA"/>
        </w:rPr>
        <w:t xml:space="preserve"> and </w:t>
      </w:r>
      <m:oMath>
        <m:sSub>
          <m:sSubPr>
            <m:ctrlPr>
              <w:rPr>
                <w:rFonts w:ascii="Cambria Math" w:hAnsi="Cambria Math"/>
                <w:szCs w:val="22"/>
                <w:lang w:val="en-CA"/>
              </w:rPr>
            </m:ctrlPr>
          </m:sSubPr>
          <m:e>
            <m:r>
              <w:rPr>
                <w:rFonts w:ascii="Cambria Math" w:hAnsi="Cambria Math"/>
                <w:szCs w:val="22"/>
                <w:lang w:val="en-CA"/>
              </w:rPr>
              <m:t>w</m:t>
            </m:r>
          </m:e>
          <m:sub>
            <m:r>
              <m:rPr>
                <m:sty m:val="p"/>
              </m:rPr>
              <w:rPr>
                <w:rFonts w:ascii="Cambria Math" w:hAnsi="Cambria Math"/>
                <w:szCs w:val="22"/>
                <w:lang w:val="en-CA"/>
              </w:rPr>
              <m:t>1</m:t>
            </m:r>
          </m:sub>
        </m:sSub>
        <m:r>
          <m:rPr>
            <m:sty m:val="p"/>
          </m:rPr>
          <w:rPr>
            <w:rFonts w:ascii="Cambria Math" w:hAnsi="Cambria Math"/>
            <w:szCs w:val="22"/>
            <w:lang w:val="en-CA"/>
          </w:rPr>
          <m:t>=1/4</m:t>
        </m:r>
      </m:oMath>
      <w:r w:rsidRPr="008929E9">
        <w:rPr>
          <w:szCs w:val="22"/>
          <w:lang w:val="en-CA"/>
        </w:rPr>
        <w:t>.</w:t>
      </w:r>
    </w:p>
    <w:p w14:paraId="6B5957DE" w14:textId="77777777" w:rsidR="005216EC" w:rsidRPr="008929E9" w:rsidRDefault="005216EC" w:rsidP="005216EC">
      <w:pPr>
        <w:pStyle w:val="ListParagraph"/>
        <w:numPr>
          <w:ilvl w:val="0"/>
          <w:numId w:val="15"/>
        </w:numPr>
        <w:contextualSpacing w:val="0"/>
        <w:rPr>
          <w:szCs w:val="22"/>
          <w:lang w:val="en-CA"/>
        </w:rPr>
      </w:pPr>
      <w:r w:rsidRPr="008929E9">
        <w:rPr>
          <w:szCs w:val="22"/>
          <w:lang w:val="en-CA"/>
        </w:rPr>
        <w:t xml:space="preserve">For TIMD mode with blending, </w:t>
      </w:r>
      <m:oMath>
        <m:sSub>
          <m:sSubPr>
            <m:ctrlPr>
              <w:rPr>
                <w:rFonts w:ascii="Cambria Math" w:hAnsi="Cambria Math"/>
                <w:szCs w:val="22"/>
                <w:lang w:val="en-CA"/>
              </w:rPr>
            </m:ctrlPr>
          </m:sSubPr>
          <m:e>
            <m:r>
              <w:rPr>
                <w:rFonts w:ascii="Cambria Math" w:hAnsi="Cambria Math"/>
                <w:szCs w:val="22"/>
                <w:lang w:val="en-CA"/>
              </w:rPr>
              <m:t>p</m:t>
            </m:r>
          </m:e>
          <m:sub>
            <m:r>
              <w:rPr>
                <w:rFonts w:ascii="Cambria Math" w:hAnsi="Cambria Math"/>
                <w:szCs w:val="22"/>
                <w:lang w:val="en-CA"/>
              </w:rPr>
              <m:t>line</m:t>
            </m:r>
          </m:sub>
        </m:sSub>
      </m:oMath>
      <w:r w:rsidRPr="008929E9">
        <w:rPr>
          <w:szCs w:val="22"/>
          <w:lang w:val="en-CA"/>
        </w:rPr>
        <w:t xml:space="preserve"> is used for the </w:t>
      </w:r>
      <w:r>
        <w:rPr>
          <w:szCs w:val="22"/>
          <w:lang w:val="en-CA"/>
        </w:rPr>
        <w:t>first</w:t>
      </w:r>
      <w:r w:rsidRPr="008929E9">
        <w:rPr>
          <w:szCs w:val="22"/>
          <w:lang w:val="en-CA"/>
        </w:rPr>
        <w:t xml:space="preserve"> mode (</w:t>
      </w:r>
      <m:oMath>
        <m:sSub>
          <m:sSubPr>
            <m:ctrlPr>
              <w:rPr>
                <w:rFonts w:ascii="Cambria Math" w:hAnsi="Cambria Math"/>
                <w:szCs w:val="22"/>
                <w:lang w:val="en-CA"/>
              </w:rPr>
            </m:ctrlPr>
          </m:sSubPr>
          <m:e>
            <m:r>
              <w:rPr>
                <w:rFonts w:ascii="Cambria Math" w:hAnsi="Cambria Math"/>
                <w:szCs w:val="22"/>
                <w:lang w:val="en-CA"/>
              </w:rPr>
              <m:t>w</m:t>
            </m:r>
          </m:e>
          <m:sub>
            <m:r>
              <m:rPr>
                <m:sty m:val="p"/>
              </m:rPr>
              <w:rPr>
                <w:rFonts w:ascii="Cambria Math" w:hAnsi="Cambria Math"/>
                <w:szCs w:val="22"/>
                <w:lang w:val="en-CA"/>
              </w:rPr>
              <m:t>0</m:t>
            </m:r>
          </m:sub>
        </m:sSub>
        <m:r>
          <m:rPr>
            <m:sty m:val="p"/>
          </m:rPr>
          <w:rPr>
            <w:rFonts w:ascii="Cambria Math" w:hAnsi="Cambria Math"/>
            <w:szCs w:val="22"/>
            <w:lang w:val="en-CA"/>
          </w:rPr>
          <m:t>=1,</m:t>
        </m:r>
        <m:sSub>
          <m:sSubPr>
            <m:ctrlPr>
              <w:rPr>
                <w:rFonts w:ascii="Cambria Math" w:hAnsi="Cambria Math"/>
                <w:szCs w:val="22"/>
                <w:lang w:val="en-CA"/>
              </w:rPr>
            </m:ctrlPr>
          </m:sSubPr>
          <m:e>
            <m:r>
              <w:rPr>
                <w:rFonts w:ascii="Cambria Math" w:hAnsi="Cambria Math"/>
                <w:szCs w:val="22"/>
                <w:lang w:val="en-CA"/>
              </w:rPr>
              <m:t>w</m:t>
            </m:r>
          </m:e>
          <m:sub>
            <m:r>
              <m:rPr>
                <m:sty m:val="p"/>
              </m:rPr>
              <w:rPr>
                <w:rFonts w:ascii="Cambria Math" w:hAnsi="Cambria Math"/>
                <w:szCs w:val="22"/>
                <w:lang w:val="en-CA"/>
              </w:rPr>
              <m:t>1</m:t>
            </m:r>
          </m:sub>
        </m:sSub>
        <m:r>
          <m:rPr>
            <m:sty m:val="p"/>
          </m:rPr>
          <w:rPr>
            <w:rFonts w:ascii="Cambria Math" w:hAnsi="Cambria Math"/>
            <w:szCs w:val="22"/>
            <w:lang w:val="en-CA"/>
          </w:rPr>
          <m:t>=0</m:t>
        </m:r>
      </m:oMath>
      <w:r w:rsidRPr="008929E9">
        <w:rPr>
          <w:szCs w:val="22"/>
          <w:lang w:val="en-CA"/>
        </w:rPr>
        <w:t xml:space="preserve">) and </w:t>
      </w:r>
      <m:oMath>
        <m:sSub>
          <m:sSubPr>
            <m:ctrlPr>
              <w:rPr>
                <w:rFonts w:ascii="Cambria Math" w:hAnsi="Cambria Math"/>
                <w:szCs w:val="22"/>
                <w:lang w:val="en-CA"/>
              </w:rPr>
            </m:ctrlPr>
          </m:sSubPr>
          <m:e>
            <m:r>
              <w:rPr>
                <w:rFonts w:ascii="Cambria Math" w:hAnsi="Cambria Math"/>
                <w:szCs w:val="22"/>
                <w:lang w:val="en-CA"/>
              </w:rPr>
              <m:t>p</m:t>
            </m:r>
          </m:e>
          <m:sub>
            <m:r>
              <w:rPr>
                <w:rFonts w:ascii="Cambria Math" w:hAnsi="Cambria Math"/>
                <w:szCs w:val="22"/>
                <w:lang w:val="en-CA"/>
              </w:rPr>
              <m:t>line</m:t>
            </m:r>
            <m:r>
              <m:rPr>
                <m:sty m:val="p"/>
              </m:rPr>
              <w:rPr>
                <w:rFonts w:ascii="Cambria Math" w:hAnsi="Cambria Math"/>
                <w:szCs w:val="22"/>
                <w:lang w:val="en-CA"/>
              </w:rPr>
              <m:t>+1</m:t>
            </m:r>
          </m:sub>
        </m:sSub>
        <m:r>
          <m:rPr>
            <m:sty m:val="p"/>
          </m:rPr>
          <w:rPr>
            <w:rFonts w:ascii="Cambria Math" w:hAnsi="Cambria Math"/>
            <w:szCs w:val="22"/>
            <w:lang w:val="en-CA"/>
          </w:rPr>
          <m:t xml:space="preserve"> </m:t>
        </m:r>
      </m:oMath>
      <w:r w:rsidRPr="008929E9">
        <w:rPr>
          <w:szCs w:val="22"/>
          <w:lang w:val="en-CA"/>
        </w:rPr>
        <w:t xml:space="preserve">is used for the </w:t>
      </w:r>
      <w:r>
        <w:rPr>
          <w:szCs w:val="22"/>
          <w:lang w:val="en-CA"/>
        </w:rPr>
        <w:t>second</w:t>
      </w:r>
      <w:r w:rsidRPr="008929E9">
        <w:rPr>
          <w:szCs w:val="22"/>
          <w:lang w:val="en-CA"/>
        </w:rPr>
        <w:t xml:space="preserve"> mode (</w:t>
      </w:r>
      <m:oMath>
        <m:sSub>
          <m:sSubPr>
            <m:ctrlPr>
              <w:rPr>
                <w:rFonts w:ascii="Cambria Math" w:hAnsi="Cambria Math"/>
                <w:szCs w:val="22"/>
                <w:lang w:val="en-CA"/>
              </w:rPr>
            </m:ctrlPr>
          </m:sSubPr>
          <m:e>
            <m:r>
              <w:rPr>
                <w:rFonts w:ascii="Cambria Math" w:hAnsi="Cambria Math"/>
                <w:szCs w:val="22"/>
                <w:lang w:val="en-CA"/>
              </w:rPr>
              <m:t>w</m:t>
            </m:r>
          </m:e>
          <m:sub>
            <m:r>
              <m:rPr>
                <m:sty m:val="p"/>
              </m:rPr>
              <w:rPr>
                <w:rFonts w:ascii="Cambria Math" w:hAnsi="Cambria Math"/>
                <w:szCs w:val="22"/>
                <w:lang w:val="en-CA"/>
              </w:rPr>
              <m:t>0</m:t>
            </m:r>
          </m:sub>
        </m:sSub>
        <m:r>
          <m:rPr>
            <m:sty m:val="p"/>
          </m:rPr>
          <w:rPr>
            <w:rFonts w:ascii="Cambria Math" w:hAnsi="Cambria Math"/>
            <w:szCs w:val="22"/>
            <w:lang w:val="en-CA"/>
          </w:rPr>
          <m:t xml:space="preserve">=0, </m:t>
        </m:r>
        <m:sSub>
          <m:sSubPr>
            <m:ctrlPr>
              <w:rPr>
                <w:rFonts w:ascii="Cambria Math" w:hAnsi="Cambria Math"/>
                <w:szCs w:val="22"/>
                <w:lang w:val="en-CA"/>
              </w:rPr>
            </m:ctrlPr>
          </m:sSubPr>
          <m:e>
            <m:r>
              <w:rPr>
                <w:rFonts w:ascii="Cambria Math" w:hAnsi="Cambria Math"/>
                <w:szCs w:val="22"/>
                <w:lang w:val="en-CA"/>
              </w:rPr>
              <m:t>w</m:t>
            </m:r>
          </m:e>
          <m:sub>
            <m:r>
              <m:rPr>
                <m:sty m:val="p"/>
              </m:rPr>
              <w:rPr>
                <w:rFonts w:ascii="Cambria Math" w:hAnsi="Cambria Math"/>
                <w:szCs w:val="22"/>
                <w:lang w:val="en-CA"/>
              </w:rPr>
              <m:t>1</m:t>
            </m:r>
          </m:sub>
        </m:sSub>
        <m:r>
          <m:rPr>
            <m:sty m:val="p"/>
          </m:rPr>
          <w:rPr>
            <w:rFonts w:ascii="Cambria Math" w:hAnsi="Cambria Math"/>
            <w:szCs w:val="22"/>
            <w:lang w:val="en-CA"/>
          </w:rPr>
          <m:t>=1</m:t>
        </m:r>
      </m:oMath>
      <w:r w:rsidRPr="008929E9">
        <w:rPr>
          <w:szCs w:val="22"/>
          <w:lang w:val="en-CA"/>
        </w:rPr>
        <w:t>).</w:t>
      </w:r>
    </w:p>
    <w:p w14:paraId="5D8CC94C" w14:textId="77777777" w:rsidR="005216EC" w:rsidRDefault="005216EC" w:rsidP="005216EC">
      <w:pPr>
        <w:pStyle w:val="ListParagraph"/>
        <w:numPr>
          <w:ilvl w:val="0"/>
          <w:numId w:val="15"/>
        </w:numPr>
        <w:contextualSpacing w:val="0"/>
        <w:rPr>
          <w:szCs w:val="22"/>
          <w:lang w:val="en-CA"/>
        </w:rPr>
      </w:pPr>
      <w:r w:rsidRPr="008929E9">
        <w:rPr>
          <w:szCs w:val="22"/>
          <w:lang w:val="en-CA"/>
        </w:rPr>
        <w:t>For DIMD mode with blending, the number of predictors selected for a weighted average is increased from 3 to 6.</w:t>
      </w:r>
    </w:p>
    <w:p w14:paraId="7D1346F1" w14:textId="4C3C5D2D" w:rsidR="005216EC" w:rsidRDefault="005216EC" w:rsidP="005216EC">
      <w:pPr>
        <w:rPr>
          <w:lang w:val="en-CA" w:eastAsia="zh-CN"/>
        </w:rPr>
      </w:pPr>
      <w:r>
        <w:rPr>
          <w:lang w:val="en-CA" w:eastAsia="zh-CN"/>
        </w:rPr>
        <w:t xml:space="preserve">The angular intra prediction fusion method is applied to luma blocks </w:t>
      </w:r>
      <w:r>
        <w:rPr>
          <w:lang w:val="en-CA"/>
        </w:rPr>
        <w:t>when angular intra mode has non-integer slope (required reference samples interpolation) and the block size is greater than 16,</w:t>
      </w:r>
      <w:r>
        <w:rPr>
          <w:lang w:val="en-CA" w:eastAsia="zh-CN"/>
        </w:rPr>
        <w:t xml:space="preserve"> it is used with MRL and not applied for ISP coded blocks. In the method studied in the sub-test a, PDPC is applied for the intra prediction mode using the closest to the current block reference line. [1]</w:t>
      </w:r>
    </w:p>
    <w:p w14:paraId="1F2B0A2E" w14:textId="1974017E" w:rsidR="00DD3CD6" w:rsidRDefault="00DD3CD6" w:rsidP="00DD3CD6">
      <w:pPr>
        <w:tabs>
          <w:tab w:val="left" w:pos="5665"/>
        </w:tabs>
        <w:rPr>
          <w:lang w:val="en-CA" w:eastAsia="zh-CN"/>
        </w:rPr>
      </w:pPr>
    </w:p>
    <w:p w14:paraId="6A0AE9F0" w14:textId="1B6C8C78" w:rsidR="006570D7" w:rsidRDefault="006570D7" w:rsidP="006570D7">
      <w:pPr>
        <w:pStyle w:val="Heading1"/>
        <w:rPr>
          <w:lang w:val="en-CA"/>
        </w:rPr>
      </w:pPr>
      <w:r>
        <w:rPr>
          <w:lang w:val="en-CA"/>
        </w:rPr>
        <w:t>Proposed method</w:t>
      </w:r>
    </w:p>
    <w:p w14:paraId="6A42C559" w14:textId="77777777" w:rsidR="005042D2" w:rsidRDefault="006570D7" w:rsidP="006570D7">
      <w:pPr>
        <w:rPr>
          <w:lang w:val="en-CA"/>
        </w:rPr>
      </w:pPr>
      <w:r>
        <w:rPr>
          <w:lang w:val="en-CA"/>
        </w:rPr>
        <w:t>In this method</w:t>
      </w:r>
      <w:r w:rsidR="008F64AF">
        <w:rPr>
          <w:lang w:val="en-CA"/>
        </w:rPr>
        <w:t xml:space="preserve">, reference samples are processed by the 2x2 edge operator [2-3] to derive the magnitude and the directionality associated with each region of the reference samples as shown in Fig. 1. </w:t>
      </w:r>
      <w:r w:rsidR="005042D2">
        <w:rPr>
          <w:lang w:val="en-CA"/>
        </w:rPr>
        <w:t xml:space="preserve">This processing is needed to detect such regions, which have </w:t>
      </w:r>
    </w:p>
    <w:p w14:paraId="0B977881" w14:textId="511DF15D" w:rsidR="005042D2" w:rsidRDefault="005042D2" w:rsidP="005042D2">
      <w:pPr>
        <w:pStyle w:val="ListParagraph"/>
        <w:numPr>
          <w:ilvl w:val="0"/>
          <w:numId w:val="16"/>
        </w:numPr>
        <w:rPr>
          <w:lang w:val="en-CA"/>
        </w:rPr>
      </w:pPr>
      <w:r>
        <w:rPr>
          <w:lang w:val="en-CA"/>
        </w:rPr>
        <w:t>s</w:t>
      </w:r>
      <w:r w:rsidRPr="005042D2">
        <w:rPr>
          <w:lang w:val="en-CA"/>
        </w:rPr>
        <w:t>ignificant</w:t>
      </w:r>
      <w:r>
        <w:rPr>
          <w:lang w:val="en-CA"/>
        </w:rPr>
        <w:t xml:space="preserve"> </w:t>
      </w:r>
      <w:r w:rsidRPr="005042D2">
        <w:rPr>
          <w:lang w:val="en-CA"/>
        </w:rPr>
        <w:t>values</w:t>
      </w:r>
      <w:r>
        <w:rPr>
          <w:lang w:val="en-CA"/>
        </w:rPr>
        <w:t xml:space="preserve"> (more than a threshold defined based on the statistics collected within the reference samples such as the actual sample range and </w:t>
      </w:r>
      <w:proofErr w:type="spellStart"/>
      <w:r>
        <w:rPr>
          <w:lang w:val="en-CA"/>
        </w:rPr>
        <w:t>HoG</w:t>
      </w:r>
      <w:proofErr w:type="spellEnd"/>
      <w:r>
        <w:rPr>
          <w:lang w:val="en-CA"/>
        </w:rPr>
        <w:t>)</w:t>
      </w:r>
      <w:r w:rsidRPr="005042D2">
        <w:rPr>
          <w:lang w:val="en-CA"/>
        </w:rPr>
        <w:t xml:space="preserve"> </w:t>
      </w:r>
      <w:r w:rsidR="008F64AF" w:rsidRPr="005042D2">
        <w:rPr>
          <w:lang w:val="en-CA"/>
        </w:rPr>
        <w:t xml:space="preserve">of </w:t>
      </w:r>
      <w:r w:rsidRPr="005042D2">
        <w:rPr>
          <w:lang w:val="en-CA"/>
        </w:rPr>
        <w:t xml:space="preserve">gradient magnitudes and </w:t>
      </w:r>
    </w:p>
    <w:p w14:paraId="1997F80F" w14:textId="51619556" w:rsidR="00510C4E" w:rsidRDefault="005042D2" w:rsidP="005042D2">
      <w:pPr>
        <w:pStyle w:val="ListParagraph"/>
        <w:numPr>
          <w:ilvl w:val="0"/>
          <w:numId w:val="16"/>
        </w:numPr>
        <w:rPr>
          <w:lang w:val="en-CA"/>
        </w:rPr>
      </w:pPr>
      <w:r w:rsidRPr="005042D2">
        <w:rPr>
          <w:lang w:val="en-CA"/>
        </w:rPr>
        <w:t xml:space="preserve">the directionality </w:t>
      </w:r>
      <w:r>
        <w:rPr>
          <w:lang w:val="en-CA"/>
        </w:rPr>
        <w:t>close to the angular direction used for predicting a given block</w:t>
      </w:r>
      <w:r w:rsidR="00510C4E">
        <w:rPr>
          <w:lang w:val="en-CA"/>
        </w:rPr>
        <w:t xml:space="preserve"> (see Fig. 2).</w:t>
      </w:r>
    </w:p>
    <w:p w14:paraId="6C2ABF98" w14:textId="1051CE7E" w:rsidR="00510C4E" w:rsidRDefault="00510C4E" w:rsidP="00510C4E">
      <w:pPr>
        <w:rPr>
          <w:lang w:val="en-CA"/>
        </w:rPr>
      </w:pPr>
      <w:r>
        <w:rPr>
          <w:lang w:val="en-CA"/>
        </w:rPr>
        <w:t xml:space="preserve">Applying both aspects allows us to find such regions, where gradient parameters are consistent with the prediction direction. Then, as shown in Fig. 2, the difference </w:t>
      </w:r>
      <m:oMath>
        <m:r>
          <m:rPr>
            <m:sty m:val="p"/>
          </m:rPr>
          <w:rPr>
            <w:rFonts w:ascii="Cambria Math" w:hAnsi="Cambria Math"/>
            <w:szCs w:val="22"/>
          </w:rPr>
          <m:t>Δ</m:t>
        </m:r>
        <m:r>
          <w:rPr>
            <w:rFonts w:ascii="Cambria Math" w:hAnsi="Cambria Math"/>
            <w:szCs w:val="22"/>
          </w:rPr>
          <m:t>G</m:t>
        </m:r>
      </m:oMath>
      <w:r>
        <w:rPr>
          <w:lang w:val="en-CA"/>
        </w:rPr>
        <w:t xml:space="preserve"> between the sample values taken from the 2 neighboring lines involved in the angular prediction process is computed and propagated into the blocks using the gradient PDPC rules: </w:t>
      </w:r>
    </w:p>
    <w:p w14:paraId="345441BB" w14:textId="25B94E5A" w:rsidR="00510C4E" w:rsidRPr="00510C4E" w:rsidRDefault="00510C4E" w:rsidP="00510C4E">
      <w:pPr>
        <w:spacing w:beforeLines="50" w:before="120"/>
        <w:rPr>
          <w:szCs w:val="22"/>
        </w:rPr>
      </w:pPr>
      <w:r>
        <w:rPr>
          <w:szCs w:val="22"/>
        </w:rPr>
        <w:t>-</w:t>
      </w:r>
      <w:r w:rsidRPr="00510C4E">
        <w:rPr>
          <w:szCs w:val="22"/>
        </w:rPr>
        <w:t xml:space="preserve"> for vertical directions (i.e. directions with the mode index greater than or equal to 34 for the normal angular mode precision and 66 for the extended angular mode precision specified in TIMD and TMRL) predicted sample is determined as:</w:t>
      </w:r>
    </w:p>
    <w:p w14:paraId="1F6A6672" w14:textId="77777777" w:rsidR="00510C4E" w:rsidRPr="00510C4E" w:rsidRDefault="00000000" w:rsidP="00510C4E">
      <w:pPr>
        <w:pStyle w:val="BodyText"/>
        <w:jc w:val="center"/>
        <w:rPr>
          <w:sz w:val="22"/>
          <w:szCs w:val="22"/>
          <w:lang w:val="en-US"/>
        </w:rPr>
      </w:pPr>
      <m:oMath>
        <m:acc>
          <m:accPr>
            <m:ctrlPr>
              <w:rPr>
                <w:rFonts w:ascii="Cambria Math" w:hAnsi="Cambria Math"/>
                <w:i/>
                <w:sz w:val="22"/>
                <w:szCs w:val="22"/>
                <w:lang w:val="en-US"/>
              </w:rPr>
            </m:ctrlPr>
          </m:accPr>
          <m:e>
            <m:r>
              <w:rPr>
                <w:rFonts w:ascii="Cambria Math" w:hAnsi="Cambria Math"/>
                <w:sz w:val="22"/>
                <w:szCs w:val="22"/>
                <w:lang w:val="en-US"/>
              </w:rPr>
              <m:t>p</m:t>
            </m:r>
          </m:e>
        </m:acc>
        <m:r>
          <w:rPr>
            <w:rFonts w:ascii="Cambria Math" w:hAnsi="Cambria Math"/>
            <w:sz w:val="22"/>
            <w:szCs w:val="22"/>
            <w:lang w:val="en-US"/>
          </w:rPr>
          <m:t>(x,y)=p</m:t>
        </m:r>
        <m:d>
          <m:dPr>
            <m:ctrlPr>
              <w:rPr>
                <w:rFonts w:ascii="Cambria Math" w:hAnsi="Cambria Math"/>
                <w:i/>
                <w:sz w:val="22"/>
                <w:szCs w:val="22"/>
                <w:lang w:val="en-US"/>
              </w:rPr>
            </m:ctrlPr>
          </m:dPr>
          <m:e>
            <m:r>
              <w:rPr>
                <w:rFonts w:ascii="Cambria Math" w:hAnsi="Cambria Math"/>
                <w:sz w:val="22"/>
                <w:szCs w:val="22"/>
                <w:lang w:val="en-US"/>
              </w:rPr>
              <m:t>x,y</m:t>
            </m:r>
          </m:e>
        </m:d>
        <m:r>
          <w:rPr>
            <w:rFonts w:ascii="Cambria Math" w:hAnsi="Cambria Math"/>
            <w:sz w:val="22"/>
            <w:szCs w:val="22"/>
            <w:lang w:val="en-US"/>
          </w:rPr>
          <m:t>+f</m:t>
        </m:r>
        <m:d>
          <m:dPr>
            <m:ctrlPr>
              <w:rPr>
                <w:rFonts w:ascii="Cambria Math" w:hAnsi="Cambria Math"/>
                <w:i/>
                <w:sz w:val="22"/>
                <w:szCs w:val="22"/>
                <w:lang w:val="en-US"/>
              </w:rPr>
            </m:ctrlPr>
          </m:dPr>
          <m:e>
            <m:r>
              <w:rPr>
                <w:rFonts w:ascii="Cambria Math" w:hAnsi="Cambria Math"/>
                <w:sz w:val="22"/>
                <w:szCs w:val="22"/>
                <w:lang w:val="en-US"/>
              </w:rPr>
              <m:t>y</m:t>
            </m:r>
          </m:e>
        </m:d>
        <m:r>
          <w:rPr>
            <w:rFonts w:ascii="Cambria Math" w:hAnsi="Cambria Math"/>
            <w:sz w:val="22"/>
            <w:szCs w:val="22"/>
            <w:lang w:val="en-US"/>
          </w:rPr>
          <m:t>⋅</m:t>
        </m:r>
        <m:r>
          <m:rPr>
            <m:sty m:val="p"/>
          </m:rPr>
          <w:rPr>
            <w:rFonts w:ascii="Cambria Math" w:hAnsi="Cambria Math"/>
            <w:sz w:val="22"/>
            <w:szCs w:val="22"/>
            <w:lang w:val="en-US"/>
          </w:rPr>
          <m:t>Δ</m:t>
        </m:r>
        <m:r>
          <w:rPr>
            <w:rFonts w:ascii="Cambria Math" w:hAnsi="Cambria Math"/>
            <w:sz w:val="22"/>
            <w:szCs w:val="22"/>
            <w:lang w:val="en-US"/>
          </w:rPr>
          <m:t>G</m:t>
        </m:r>
      </m:oMath>
      <w:r w:rsidR="00510C4E" w:rsidRPr="00510C4E">
        <w:rPr>
          <w:sz w:val="22"/>
          <w:szCs w:val="22"/>
          <w:lang w:val="en-US"/>
        </w:rPr>
        <w:t>,</w:t>
      </w:r>
    </w:p>
    <w:p w14:paraId="4FE8F024" w14:textId="77777777" w:rsidR="00510C4E" w:rsidRPr="00510C4E" w:rsidRDefault="00510C4E" w:rsidP="00510C4E">
      <w:pPr>
        <w:pStyle w:val="BodyText"/>
        <w:jc w:val="both"/>
        <w:rPr>
          <w:sz w:val="22"/>
          <w:szCs w:val="22"/>
          <w:lang w:val="en-US"/>
        </w:rPr>
      </w:pPr>
      <w:r w:rsidRPr="00510C4E">
        <w:rPr>
          <w:sz w:val="22"/>
          <w:szCs w:val="22"/>
          <w:lang w:val="en-US"/>
        </w:rPr>
        <w:t xml:space="preserve">where </w:t>
      </w:r>
      <m:oMath>
        <m:r>
          <m:rPr>
            <m:sty m:val="p"/>
          </m:rPr>
          <w:rPr>
            <w:rFonts w:ascii="Cambria Math" w:hAnsi="Cambria Math"/>
            <w:sz w:val="22"/>
            <w:szCs w:val="22"/>
            <w:lang w:val="en-US"/>
          </w:rPr>
          <m:t>Δ</m:t>
        </m:r>
        <m:r>
          <w:rPr>
            <w:rFonts w:ascii="Cambria Math" w:hAnsi="Cambria Math"/>
            <w:sz w:val="22"/>
            <w:szCs w:val="22"/>
            <w:lang w:val="en-US"/>
          </w:rPr>
          <m:t>G</m:t>
        </m:r>
      </m:oMath>
      <w:r w:rsidRPr="00510C4E">
        <w:rPr>
          <w:sz w:val="22"/>
          <w:szCs w:val="22"/>
          <w:lang w:val="en-US"/>
        </w:rPr>
        <w:t xml:space="preserve"> is a gradient magnitude determined for the reference samples that are used to intra-predict a sample at position </w:t>
      </w:r>
      <m:oMath>
        <m:r>
          <w:rPr>
            <w:rFonts w:ascii="Cambria Math" w:hAnsi="Cambria Math"/>
            <w:sz w:val="22"/>
            <w:szCs w:val="22"/>
            <w:lang w:val="en-US"/>
          </w:rPr>
          <m:t>(x,y)</m:t>
        </m:r>
      </m:oMath>
      <w:r w:rsidRPr="00510C4E">
        <w:rPr>
          <w:sz w:val="22"/>
          <w:szCs w:val="22"/>
          <w:lang w:val="en-US"/>
        </w:rPr>
        <w:t xml:space="preserve">; and </w:t>
      </w:r>
      <m:oMath>
        <m:r>
          <w:rPr>
            <w:rFonts w:ascii="Cambria Math" w:hAnsi="Cambria Math"/>
            <w:sz w:val="22"/>
            <w:szCs w:val="22"/>
            <w:lang w:val="en-US"/>
          </w:rPr>
          <m:t>f</m:t>
        </m:r>
        <m:d>
          <m:dPr>
            <m:ctrlPr>
              <w:rPr>
                <w:rFonts w:ascii="Cambria Math" w:hAnsi="Cambria Math"/>
                <w:i/>
                <w:sz w:val="22"/>
                <w:szCs w:val="22"/>
                <w:lang w:val="en-US"/>
              </w:rPr>
            </m:ctrlPr>
          </m:dPr>
          <m:e>
            <m:r>
              <w:rPr>
                <w:rFonts w:ascii="Cambria Math" w:hAnsi="Cambria Math"/>
                <w:sz w:val="22"/>
                <w:szCs w:val="22"/>
                <w:lang w:val="en-US"/>
              </w:rPr>
              <m:t>y</m:t>
            </m:r>
          </m:e>
        </m:d>
      </m:oMath>
      <w:r w:rsidRPr="00510C4E">
        <w:rPr>
          <w:sz w:val="22"/>
          <w:szCs w:val="22"/>
          <w:lang w:val="en-US"/>
        </w:rPr>
        <w:t xml:space="preserve"> is a decay function which could be defined, e.g. as:</w:t>
      </w:r>
    </w:p>
    <w:p w14:paraId="36516EEB" w14:textId="77777777" w:rsidR="00510C4E" w:rsidRPr="00510C4E" w:rsidRDefault="00510C4E" w:rsidP="00510C4E">
      <w:pPr>
        <w:pStyle w:val="BodyText"/>
        <w:rPr>
          <w:sz w:val="22"/>
          <w:szCs w:val="22"/>
          <w:lang w:val="en-US"/>
        </w:rPr>
      </w:pPr>
      <m:oMathPara>
        <m:oMath>
          <m:r>
            <w:rPr>
              <w:rFonts w:ascii="Cambria Math" w:hAnsi="Cambria Math"/>
              <w:sz w:val="22"/>
              <w:szCs w:val="22"/>
              <w:lang w:val="en-US"/>
            </w:rPr>
            <m:t>f</m:t>
          </m:r>
          <m:d>
            <m:dPr>
              <m:ctrlPr>
                <w:rPr>
                  <w:rFonts w:ascii="Cambria Math" w:hAnsi="Cambria Math"/>
                  <w:i/>
                  <w:sz w:val="22"/>
                  <w:szCs w:val="22"/>
                  <w:lang w:val="en-US"/>
                </w:rPr>
              </m:ctrlPr>
            </m:dPr>
            <m:e>
              <m:r>
                <w:rPr>
                  <w:rFonts w:ascii="Cambria Math" w:hAnsi="Cambria Math"/>
                  <w:sz w:val="22"/>
                  <w:szCs w:val="22"/>
                  <w:lang w:val="en-US"/>
                </w:rPr>
                <m:t>y</m:t>
              </m:r>
            </m:e>
          </m:d>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d</m:t>
              </m:r>
            </m:e>
            <m:sup>
              <m:r>
                <w:rPr>
                  <w:rFonts w:ascii="Cambria Math" w:hAnsi="Cambria Math"/>
                  <w:sz w:val="22"/>
                  <w:szCs w:val="22"/>
                  <w:lang w:val="en-US"/>
                </w:rPr>
                <m:t>y</m:t>
              </m:r>
            </m:sup>
          </m:sSup>
          <m:r>
            <w:rPr>
              <w:rFonts w:ascii="Cambria Math" w:hAnsi="Cambria Math"/>
              <w:sz w:val="22"/>
              <w:szCs w:val="22"/>
              <w:lang w:val="en-US"/>
            </w:rPr>
            <m:t>,</m:t>
          </m:r>
        </m:oMath>
      </m:oMathPara>
    </w:p>
    <w:p w14:paraId="6D18FF0A" w14:textId="68B7F4E7" w:rsidR="00510C4E" w:rsidRPr="00510C4E" w:rsidRDefault="00510C4E" w:rsidP="00510C4E">
      <w:pPr>
        <w:pStyle w:val="BodyText"/>
        <w:jc w:val="both"/>
        <w:rPr>
          <w:sz w:val="22"/>
          <w:szCs w:val="22"/>
          <w:lang w:val="en-US"/>
        </w:rPr>
      </w:pPr>
      <w:r w:rsidRPr="00510C4E">
        <w:rPr>
          <w:sz w:val="22"/>
          <w:szCs w:val="22"/>
          <w:lang w:val="en-US"/>
        </w:rPr>
        <w:t xml:space="preserve">where </w:t>
      </w:r>
      <w:r w:rsidRPr="00510C4E">
        <w:rPr>
          <w:i/>
          <w:sz w:val="22"/>
          <w:szCs w:val="22"/>
          <w:lang w:val="en-US"/>
        </w:rPr>
        <w:t>d</w:t>
      </w:r>
      <w:r w:rsidRPr="00510C4E">
        <w:rPr>
          <w:sz w:val="22"/>
          <w:szCs w:val="22"/>
          <w:lang w:val="en-US"/>
        </w:rPr>
        <w:t xml:space="preserve"> is the base, which defines how fast the propagated value decays to 0 with increasing of </w:t>
      </w:r>
      <w:r w:rsidRPr="00510C4E">
        <w:rPr>
          <w:i/>
          <w:sz w:val="22"/>
          <w:szCs w:val="22"/>
          <w:lang w:val="en-US"/>
        </w:rPr>
        <w:t>y</w:t>
      </w:r>
      <w:r w:rsidRPr="00510C4E">
        <w:rPr>
          <w:sz w:val="22"/>
          <w:szCs w:val="22"/>
          <w:lang w:val="en-US"/>
        </w:rPr>
        <w:t xml:space="preserve">. This parameter </w:t>
      </w:r>
      <w:r w:rsidRPr="00510C4E">
        <w:rPr>
          <w:i/>
          <w:sz w:val="22"/>
          <w:szCs w:val="22"/>
          <w:lang w:val="en-US"/>
        </w:rPr>
        <w:t>d</w:t>
      </w:r>
      <w:r w:rsidRPr="00510C4E">
        <w:rPr>
          <w:sz w:val="22"/>
          <w:szCs w:val="22"/>
          <w:lang w:val="en-US"/>
        </w:rPr>
        <w:t xml:space="preserve"> equals 2 in the experiments described below.</w:t>
      </w:r>
    </w:p>
    <w:p w14:paraId="72FD2262" w14:textId="41B92C23" w:rsidR="00510C4E" w:rsidRPr="00510C4E" w:rsidRDefault="00510C4E" w:rsidP="00510C4E">
      <w:pPr>
        <w:pStyle w:val="BodyText"/>
        <w:jc w:val="both"/>
        <w:rPr>
          <w:sz w:val="22"/>
          <w:szCs w:val="22"/>
          <w:lang w:val="en-US"/>
        </w:rPr>
      </w:pPr>
      <w:r>
        <w:rPr>
          <w:sz w:val="22"/>
          <w:szCs w:val="22"/>
          <w:lang w:val="en-US"/>
        </w:rPr>
        <w:t>-</w:t>
      </w:r>
      <w:r w:rsidRPr="00510C4E">
        <w:rPr>
          <w:sz w:val="22"/>
          <w:szCs w:val="22"/>
          <w:lang w:val="en-US"/>
        </w:rPr>
        <w:t>similarly, for horizontal directions (i.e. directions with the mode index less than 34 for the normal angular mode precision and 66 for the extended angular mode precision specified in TIMD and TMRL):</w:t>
      </w:r>
    </w:p>
    <w:p w14:paraId="741CFE43" w14:textId="77777777" w:rsidR="00510C4E" w:rsidRPr="00510C4E" w:rsidRDefault="00000000" w:rsidP="00510C4E">
      <w:pPr>
        <w:pStyle w:val="BodyText"/>
        <w:jc w:val="center"/>
        <w:rPr>
          <w:sz w:val="22"/>
          <w:szCs w:val="22"/>
          <w:lang w:val="en-US"/>
        </w:rPr>
      </w:pPr>
      <m:oMath>
        <m:acc>
          <m:accPr>
            <m:ctrlPr>
              <w:rPr>
                <w:rFonts w:ascii="Cambria Math" w:hAnsi="Cambria Math"/>
                <w:i/>
                <w:sz w:val="22"/>
                <w:szCs w:val="22"/>
                <w:lang w:val="en-US"/>
              </w:rPr>
            </m:ctrlPr>
          </m:accPr>
          <m:e>
            <m:r>
              <w:rPr>
                <w:rFonts w:ascii="Cambria Math" w:hAnsi="Cambria Math"/>
                <w:sz w:val="22"/>
                <w:szCs w:val="22"/>
                <w:lang w:val="en-US"/>
              </w:rPr>
              <m:t>p</m:t>
            </m:r>
          </m:e>
        </m:acc>
        <m:r>
          <w:rPr>
            <w:rFonts w:ascii="Cambria Math" w:hAnsi="Cambria Math"/>
            <w:sz w:val="22"/>
            <w:szCs w:val="22"/>
            <w:lang w:val="en-US"/>
          </w:rPr>
          <m:t>(x,y)=p</m:t>
        </m:r>
        <m:d>
          <m:dPr>
            <m:ctrlPr>
              <w:rPr>
                <w:rFonts w:ascii="Cambria Math" w:hAnsi="Cambria Math"/>
                <w:i/>
                <w:sz w:val="22"/>
                <w:szCs w:val="22"/>
                <w:lang w:val="en-US"/>
              </w:rPr>
            </m:ctrlPr>
          </m:dPr>
          <m:e>
            <m:r>
              <w:rPr>
                <w:rFonts w:ascii="Cambria Math" w:hAnsi="Cambria Math"/>
                <w:sz w:val="22"/>
                <w:szCs w:val="22"/>
                <w:lang w:val="en-US"/>
              </w:rPr>
              <m:t>x,y</m:t>
            </m:r>
          </m:e>
        </m:d>
        <m:r>
          <w:rPr>
            <w:rFonts w:ascii="Cambria Math" w:hAnsi="Cambria Math"/>
            <w:sz w:val="22"/>
            <w:szCs w:val="22"/>
            <w:lang w:val="en-US"/>
          </w:rPr>
          <m:t>+f</m:t>
        </m:r>
        <m:d>
          <m:dPr>
            <m:ctrlPr>
              <w:rPr>
                <w:rFonts w:ascii="Cambria Math" w:hAnsi="Cambria Math"/>
                <w:i/>
                <w:sz w:val="22"/>
                <w:szCs w:val="22"/>
                <w:lang w:val="en-US"/>
              </w:rPr>
            </m:ctrlPr>
          </m:dPr>
          <m:e>
            <m:r>
              <w:rPr>
                <w:rFonts w:ascii="Cambria Math" w:hAnsi="Cambria Math"/>
                <w:sz w:val="22"/>
                <w:szCs w:val="22"/>
                <w:lang w:val="en-US"/>
              </w:rPr>
              <m:t>x</m:t>
            </m:r>
          </m:e>
        </m:d>
        <m:r>
          <w:rPr>
            <w:rFonts w:ascii="Cambria Math" w:hAnsi="Cambria Math"/>
            <w:sz w:val="22"/>
            <w:szCs w:val="22"/>
            <w:lang w:val="en-US"/>
          </w:rPr>
          <m:t>⋅</m:t>
        </m:r>
        <m:r>
          <m:rPr>
            <m:sty m:val="p"/>
          </m:rPr>
          <w:rPr>
            <w:rFonts w:ascii="Cambria Math" w:hAnsi="Cambria Math"/>
            <w:sz w:val="22"/>
            <w:szCs w:val="22"/>
            <w:lang w:val="en-US"/>
          </w:rPr>
          <m:t>Δ</m:t>
        </m:r>
        <m:r>
          <w:rPr>
            <w:rFonts w:ascii="Cambria Math" w:hAnsi="Cambria Math"/>
            <w:sz w:val="22"/>
            <w:szCs w:val="22"/>
            <w:lang w:val="en-US"/>
          </w:rPr>
          <m:t>G</m:t>
        </m:r>
      </m:oMath>
      <w:r w:rsidR="00510C4E" w:rsidRPr="00510C4E">
        <w:rPr>
          <w:sz w:val="22"/>
          <w:szCs w:val="22"/>
          <w:lang w:val="en-US"/>
        </w:rPr>
        <w:t>,</w:t>
      </w:r>
    </w:p>
    <w:p w14:paraId="17534980" w14:textId="77777777" w:rsidR="00510C4E" w:rsidRPr="00510C4E" w:rsidRDefault="00510C4E" w:rsidP="00510C4E">
      <w:pPr>
        <w:spacing w:beforeLines="50" w:before="120"/>
        <w:rPr>
          <w:rFonts w:eastAsia="KaiTi"/>
          <w:szCs w:val="22"/>
        </w:rPr>
      </w:pPr>
      <w:r w:rsidRPr="00510C4E">
        <w:rPr>
          <w:rFonts w:eastAsia="KaiTi"/>
          <w:szCs w:val="22"/>
        </w:rPr>
        <w:t>and</w:t>
      </w:r>
    </w:p>
    <w:p w14:paraId="71378266" w14:textId="77777777" w:rsidR="00510C4E" w:rsidRPr="00510C4E" w:rsidRDefault="00510C4E" w:rsidP="00510C4E">
      <w:pPr>
        <w:pStyle w:val="BodyText"/>
        <w:jc w:val="center"/>
        <w:rPr>
          <w:sz w:val="22"/>
          <w:szCs w:val="22"/>
          <w:lang w:val="en-US"/>
        </w:rPr>
      </w:pPr>
      <m:oMath>
        <m:r>
          <w:rPr>
            <w:rFonts w:ascii="Cambria Math" w:hAnsi="Cambria Math"/>
            <w:sz w:val="22"/>
            <w:szCs w:val="22"/>
            <w:lang w:val="en-US"/>
          </w:rPr>
          <m:t>f</m:t>
        </m:r>
        <m:d>
          <m:dPr>
            <m:ctrlPr>
              <w:rPr>
                <w:rFonts w:ascii="Cambria Math" w:hAnsi="Cambria Math"/>
                <w:i/>
                <w:sz w:val="22"/>
                <w:szCs w:val="22"/>
                <w:lang w:val="en-US"/>
              </w:rPr>
            </m:ctrlPr>
          </m:dPr>
          <m:e>
            <m:r>
              <w:rPr>
                <w:rFonts w:ascii="Cambria Math" w:hAnsi="Cambria Math"/>
                <w:sz w:val="22"/>
                <w:szCs w:val="22"/>
                <w:lang w:val="en-US"/>
              </w:rPr>
              <m:t>x</m:t>
            </m:r>
          </m:e>
        </m:d>
        <m:r>
          <w:rPr>
            <w:rFonts w:ascii="Cambria Math" w:hAnsi="Cambria Math"/>
            <w:sz w:val="22"/>
            <w:szCs w:val="22"/>
            <w:lang w:val="en-US"/>
          </w:rPr>
          <m:t>=1/</m:t>
        </m:r>
        <m:sSup>
          <m:sSupPr>
            <m:ctrlPr>
              <w:rPr>
                <w:rFonts w:ascii="Cambria Math" w:hAnsi="Cambria Math"/>
                <w:i/>
                <w:sz w:val="22"/>
                <w:szCs w:val="22"/>
                <w:lang w:val="en-US"/>
              </w:rPr>
            </m:ctrlPr>
          </m:sSupPr>
          <m:e>
            <m:r>
              <w:rPr>
                <w:rFonts w:ascii="Cambria Math" w:hAnsi="Cambria Math"/>
                <w:sz w:val="22"/>
                <w:szCs w:val="22"/>
                <w:lang w:val="en-US"/>
              </w:rPr>
              <m:t>d</m:t>
            </m:r>
          </m:e>
          <m:sup>
            <m:r>
              <w:rPr>
                <w:rFonts w:ascii="Cambria Math" w:hAnsi="Cambria Math"/>
                <w:sz w:val="22"/>
                <w:szCs w:val="22"/>
                <w:lang w:val="en-US"/>
              </w:rPr>
              <m:t>x</m:t>
            </m:r>
          </m:sup>
        </m:sSup>
      </m:oMath>
      <w:r w:rsidRPr="00510C4E">
        <w:rPr>
          <w:sz w:val="22"/>
          <w:szCs w:val="22"/>
          <w:lang w:val="en-US"/>
        </w:rPr>
        <w:t>,</w:t>
      </w:r>
    </w:p>
    <w:p w14:paraId="29B65A91" w14:textId="1EC0C3D1" w:rsidR="006570D7" w:rsidRDefault="00510C4E" w:rsidP="00510C4E">
      <w:pPr>
        <w:rPr>
          <w:szCs w:val="22"/>
        </w:rPr>
      </w:pPr>
      <w:r w:rsidRPr="00510C4E">
        <w:rPr>
          <w:szCs w:val="22"/>
        </w:rPr>
        <w:lastRenderedPageBreak/>
        <w:t xml:space="preserve">where </w:t>
      </w:r>
      <w:r w:rsidRPr="00510C4E">
        <w:rPr>
          <w:i/>
          <w:szCs w:val="22"/>
        </w:rPr>
        <w:t>d</w:t>
      </w:r>
      <w:r w:rsidRPr="00510C4E">
        <w:rPr>
          <w:szCs w:val="22"/>
        </w:rPr>
        <w:t xml:space="preserve"> is the base, which defines how fast the propagated value decays to 0 with increasing of </w:t>
      </w:r>
      <w:r w:rsidRPr="00510C4E">
        <w:rPr>
          <w:i/>
          <w:szCs w:val="22"/>
        </w:rPr>
        <w:t>x</w:t>
      </w:r>
      <w:r w:rsidRPr="00510C4E">
        <w:rPr>
          <w:szCs w:val="22"/>
        </w:rPr>
        <w:t>.</w:t>
      </w:r>
    </w:p>
    <w:p w14:paraId="42B74DAF" w14:textId="77777777" w:rsidR="00510C4E" w:rsidRDefault="00510C4E" w:rsidP="00510C4E">
      <w:pPr>
        <w:rPr>
          <w:szCs w:val="22"/>
        </w:rPr>
      </w:pPr>
    </w:p>
    <w:p w14:paraId="6BC8A87E" w14:textId="77777777" w:rsidR="00510C4E" w:rsidRPr="00510C4E" w:rsidRDefault="00510C4E" w:rsidP="00510C4E">
      <w:pPr>
        <w:rPr>
          <w:szCs w:val="22"/>
          <w:lang w:val="en-CA"/>
        </w:rPr>
      </w:pPr>
    </w:p>
    <w:p w14:paraId="1E5EC222" w14:textId="43EAEB1C" w:rsidR="008936AD" w:rsidRDefault="005A01B3" w:rsidP="008936AD">
      <w:pPr>
        <w:jc w:val="center"/>
        <w:rPr>
          <w:noProof/>
        </w:rPr>
      </w:pPr>
      <w:r w:rsidRPr="005A01B3">
        <w:rPr>
          <w:noProof/>
        </w:rPr>
        <w:drawing>
          <wp:inline distT="0" distB="0" distL="0" distR="0" wp14:anchorId="264A6BC3" wp14:editId="08AA90C1">
            <wp:extent cx="5914390" cy="3580765"/>
            <wp:effectExtent l="0" t="0" r="0" b="635"/>
            <wp:docPr id="561048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048555" name=""/>
                    <pic:cNvPicPr/>
                  </pic:nvPicPr>
                  <pic:blipFill>
                    <a:blip r:embed="rId15"/>
                    <a:stretch>
                      <a:fillRect/>
                    </a:stretch>
                  </pic:blipFill>
                  <pic:spPr>
                    <a:xfrm>
                      <a:off x="0" y="0"/>
                      <a:ext cx="5914390" cy="3580765"/>
                    </a:xfrm>
                    <a:prstGeom prst="rect">
                      <a:avLst/>
                    </a:prstGeom>
                  </pic:spPr>
                </pic:pic>
              </a:graphicData>
            </a:graphic>
          </wp:inline>
        </w:drawing>
      </w:r>
    </w:p>
    <w:p w14:paraId="1274C8E3" w14:textId="661254B9" w:rsidR="005A01B3" w:rsidRDefault="005A01B3" w:rsidP="008936AD">
      <w:pPr>
        <w:jc w:val="center"/>
        <w:rPr>
          <w:noProof/>
        </w:rPr>
      </w:pPr>
      <w:r>
        <w:rPr>
          <w:noProof/>
        </w:rPr>
        <w:t>Figure 1: Proposed processing to detect the regions of reference samples</w:t>
      </w:r>
      <w:r w:rsidR="00476CC5">
        <w:rPr>
          <w:noProof/>
        </w:rPr>
        <w:t xml:space="preserve">, which </w:t>
      </w:r>
      <w:r w:rsidR="00476CC5">
        <w:rPr>
          <w:lang w:val="en-CA"/>
        </w:rPr>
        <w:t>have significant values of gradient magnitudes and gradient directionality similar to the angular prediction directions applied to a given block.</w:t>
      </w:r>
    </w:p>
    <w:p w14:paraId="23EE4870" w14:textId="77777777" w:rsidR="005A01B3" w:rsidRDefault="005A01B3" w:rsidP="008936AD">
      <w:pPr>
        <w:jc w:val="center"/>
        <w:rPr>
          <w:lang w:val="en-CA"/>
        </w:rPr>
      </w:pPr>
    </w:p>
    <w:p w14:paraId="0286C771" w14:textId="77777777" w:rsidR="00510C4E" w:rsidRDefault="00510C4E" w:rsidP="008936AD">
      <w:pPr>
        <w:jc w:val="center"/>
        <w:rPr>
          <w:lang w:val="en-CA"/>
        </w:rPr>
      </w:pPr>
    </w:p>
    <w:p w14:paraId="592260B7" w14:textId="1D53E6A0" w:rsidR="00476CC5" w:rsidRDefault="009204F4" w:rsidP="008936AD">
      <w:pPr>
        <w:jc w:val="center"/>
        <w:rPr>
          <w:lang w:val="en-CA"/>
        </w:rPr>
      </w:pPr>
      <w:r w:rsidRPr="009204F4">
        <w:rPr>
          <w:noProof/>
        </w:rPr>
        <w:drawing>
          <wp:inline distT="0" distB="0" distL="0" distR="0" wp14:anchorId="36C3420C" wp14:editId="12FED25C">
            <wp:extent cx="5914390" cy="2186940"/>
            <wp:effectExtent l="0" t="0" r="0" b="3810"/>
            <wp:docPr id="2132795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95864" name=""/>
                    <pic:cNvPicPr/>
                  </pic:nvPicPr>
                  <pic:blipFill>
                    <a:blip r:embed="rId16"/>
                    <a:stretch>
                      <a:fillRect/>
                    </a:stretch>
                  </pic:blipFill>
                  <pic:spPr>
                    <a:xfrm>
                      <a:off x="0" y="0"/>
                      <a:ext cx="5914390" cy="2186940"/>
                    </a:xfrm>
                    <a:prstGeom prst="rect">
                      <a:avLst/>
                    </a:prstGeom>
                  </pic:spPr>
                </pic:pic>
              </a:graphicData>
            </a:graphic>
          </wp:inline>
        </w:drawing>
      </w:r>
    </w:p>
    <w:p w14:paraId="0E9EB0EC" w14:textId="376E9AB1" w:rsidR="009204F4" w:rsidRDefault="009204F4" w:rsidP="009204F4">
      <w:pPr>
        <w:jc w:val="center"/>
        <w:rPr>
          <w:noProof/>
        </w:rPr>
      </w:pPr>
      <w:r>
        <w:rPr>
          <w:noProof/>
        </w:rPr>
        <w:t xml:space="preserve">Figure 2: </w:t>
      </w:r>
      <w:r w:rsidR="00247CB5">
        <w:rPr>
          <w:noProof/>
        </w:rPr>
        <w:t>Comparison of the t</w:t>
      </w:r>
      <w:r w:rsidR="00E71D8F">
        <w:rPr>
          <w:noProof/>
        </w:rPr>
        <w:t>wo d</w:t>
      </w:r>
      <w:r>
        <w:rPr>
          <w:noProof/>
        </w:rPr>
        <w:t>irection</w:t>
      </w:r>
      <w:r w:rsidR="00E71D8F">
        <w:rPr>
          <w:noProof/>
        </w:rPr>
        <w:t>s, i.e. (1)</w:t>
      </w:r>
      <w:r w:rsidR="00247CB5">
        <w:rPr>
          <w:noProof/>
        </w:rPr>
        <w:t xml:space="preserve"> the direction</w:t>
      </w:r>
      <w:r w:rsidR="00E71D8F">
        <w:rPr>
          <w:noProof/>
        </w:rPr>
        <w:t xml:space="preserve"> derived by the edge operator and</w:t>
      </w:r>
      <w:r>
        <w:rPr>
          <w:noProof/>
        </w:rPr>
        <w:t xml:space="preserve"> </w:t>
      </w:r>
      <w:r w:rsidR="00247CB5">
        <w:rPr>
          <w:noProof/>
        </w:rPr>
        <w:t xml:space="preserve">        </w:t>
      </w:r>
      <w:r w:rsidR="00E71D8F">
        <w:rPr>
          <w:noProof/>
        </w:rPr>
        <w:t xml:space="preserve">(2) angular direction to predict </w:t>
      </w:r>
      <w:r w:rsidR="00E71D8F">
        <w:rPr>
          <w:lang w:val="en-CA"/>
        </w:rPr>
        <w:t>the</w:t>
      </w:r>
      <w:r>
        <w:rPr>
          <w:lang w:val="en-CA"/>
        </w:rPr>
        <w:t xml:space="preserve"> given block.</w:t>
      </w:r>
    </w:p>
    <w:p w14:paraId="464EE109" w14:textId="77777777" w:rsidR="009204F4" w:rsidRPr="009204F4" w:rsidRDefault="009204F4" w:rsidP="008936AD">
      <w:pPr>
        <w:jc w:val="center"/>
      </w:pPr>
    </w:p>
    <w:p w14:paraId="58CEBFBE" w14:textId="77777777" w:rsidR="009204F4" w:rsidRDefault="009204F4" w:rsidP="008936AD">
      <w:pPr>
        <w:jc w:val="center"/>
        <w:rPr>
          <w:lang w:val="en-CA"/>
        </w:rPr>
      </w:pPr>
    </w:p>
    <w:p w14:paraId="748AF4F4" w14:textId="77777777" w:rsidR="00476CC5" w:rsidRPr="006570D7" w:rsidRDefault="00476CC5" w:rsidP="008936AD">
      <w:pPr>
        <w:jc w:val="center"/>
        <w:rPr>
          <w:lang w:val="en-CA"/>
        </w:rPr>
      </w:pPr>
    </w:p>
    <w:p w14:paraId="1BF91ADD" w14:textId="0BC0445A" w:rsidR="005D7CD2" w:rsidRDefault="005D7CD2" w:rsidP="005D7CD2">
      <w:pPr>
        <w:pStyle w:val="Heading1"/>
        <w:rPr>
          <w:lang w:val="en-CA"/>
        </w:rPr>
      </w:pPr>
      <w:r>
        <w:rPr>
          <w:lang w:val="en-CA"/>
        </w:rPr>
        <w:lastRenderedPageBreak/>
        <w:t>Results</w:t>
      </w:r>
    </w:p>
    <w:p w14:paraId="070063BB" w14:textId="56675327" w:rsidR="00DD3CD6" w:rsidRDefault="00DD3CD6" w:rsidP="00DD3CD6">
      <w:pPr>
        <w:rPr>
          <w:lang w:eastAsia="zh-CN"/>
        </w:rPr>
      </w:pPr>
      <w:r>
        <w:rPr>
          <w:lang w:val="en-CA" w:eastAsia="zh-CN"/>
        </w:rPr>
        <w:t xml:space="preserve">The method was implemented in the </w:t>
      </w:r>
      <w:r>
        <w:rPr>
          <w:lang w:eastAsia="zh-CN"/>
        </w:rPr>
        <w:t>ECM-14.0</w:t>
      </w:r>
      <w:r w:rsidR="006E0EE7">
        <w:rPr>
          <w:lang w:eastAsia="zh-CN"/>
        </w:rPr>
        <w:fldChar w:fldCharType="begin"/>
      </w:r>
      <w:r w:rsidR="006E0EE7">
        <w:rPr>
          <w:lang w:eastAsia="zh-CN"/>
        </w:rPr>
        <w:instrText xml:space="preserve"> REF _Ref180621425 \r \h </w:instrText>
      </w:r>
      <w:r w:rsidR="006E0EE7">
        <w:rPr>
          <w:lang w:eastAsia="zh-CN"/>
        </w:rPr>
      </w:r>
      <w:r w:rsidR="006E0EE7">
        <w:rPr>
          <w:lang w:eastAsia="zh-CN"/>
        </w:rPr>
        <w:fldChar w:fldCharType="separate"/>
      </w:r>
      <w:r w:rsidR="00C8581D">
        <w:rPr>
          <w:lang w:eastAsia="zh-CN"/>
        </w:rPr>
        <w:t>[2]</w:t>
      </w:r>
      <w:r w:rsidR="006E0EE7">
        <w:rPr>
          <w:lang w:eastAsia="zh-CN"/>
        </w:rPr>
        <w:fldChar w:fldCharType="end"/>
      </w:r>
      <w:r>
        <w:rPr>
          <w:lang w:eastAsia="zh-CN"/>
        </w:rPr>
        <w:t xml:space="preserve"> codebase and the test results were obtained under the common test conditions </w:t>
      </w:r>
      <w:r>
        <w:rPr>
          <w:lang w:eastAsia="zh-CN"/>
        </w:rPr>
        <w:fldChar w:fldCharType="begin"/>
      </w:r>
      <w:r>
        <w:rPr>
          <w:lang w:eastAsia="zh-CN"/>
        </w:rPr>
        <w:instrText xml:space="preserve"> REF _Ref163477199 \r \h </w:instrText>
      </w:r>
      <w:r>
        <w:rPr>
          <w:lang w:eastAsia="zh-CN"/>
        </w:rPr>
      </w:r>
      <w:r>
        <w:rPr>
          <w:lang w:eastAsia="zh-CN"/>
        </w:rPr>
        <w:fldChar w:fldCharType="separate"/>
      </w:r>
      <w:r w:rsidR="00C8581D">
        <w:rPr>
          <w:lang w:eastAsia="zh-CN"/>
        </w:rPr>
        <w:t>[</w:t>
      </w:r>
      <w:r w:rsidR="000A19D0">
        <w:rPr>
          <w:lang w:eastAsia="zh-CN"/>
        </w:rPr>
        <w:t>5</w:t>
      </w:r>
      <w:r w:rsidR="00C8581D">
        <w:rPr>
          <w:lang w:eastAsia="zh-CN"/>
        </w:rPr>
        <w:t>]</w:t>
      </w:r>
      <w:r>
        <w:rPr>
          <w:lang w:eastAsia="zh-CN"/>
        </w:rPr>
        <w:fldChar w:fldCharType="end"/>
      </w:r>
      <w:r>
        <w:rPr>
          <w:lang w:eastAsia="zh-CN"/>
        </w:rPr>
        <w:t>. The results are reportedly given in Table 1.</w:t>
      </w:r>
    </w:p>
    <w:p w14:paraId="1A60744B" w14:textId="630CB6CF" w:rsidR="00CF6516" w:rsidRDefault="00CF6516" w:rsidP="00CF6516">
      <w:pPr>
        <w:rPr>
          <w:lang w:eastAsia="zh-CN"/>
        </w:rPr>
      </w:pPr>
      <w:r>
        <w:rPr>
          <w:lang w:eastAsia="zh-CN"/>
        </w:rPr>
        <w:t>Table 1. Experimental results of the proposed method</w:t>
      </w:r>
    </w:p>
    <w:tbl>
      <w:tblPr>
        <w:tblW w:w="5760" w:type="dxa"/>
        <w:jc w:val="center"/>
        <w:tblLook w:val="04A0" w:firstRow="1" w:lastRow="0" w:firstColumn="1" w:lastColumn="0" w:noHBand="0" w:noVBand="1"/>
      </w:tblPr>
      <w:tblGrid>
        <w:gridCol w:w="1060"/>
        <w:gridCol w:w="1550"/>
        <w:gridCol w:w="1440"/>
        <w:gridCol w:w="1710"/>
      </w:tblGrid>
      <w:tr w:rsidR="0069348F" w:rsidRPr="0069348F" w14:paraId="11B3D959" w14:textId="77777777" w:rsidTr="0069348F">
        <w:trPr>
          <w:trHeight w:val="255"/>
          <w:jc w:val="center"/>
        </w:trPr>
        <w:tc>
          <w:tcPr>
            <w:tcW w:w="1060" w:type="dxa"/>
            <w:tcBorders>
              <w:top w:val="nil"/>
              <w:left w:val="nil"/>
              <w:bottom w:val="nil"/>
              <w:right w:val="nil"/>
            </w:tcBorders>
            <w:shd w:val="clear" w:color="auto" w:fill="auto"/>
            <w:noWrap/>
            <w:vAlign w:val="center"/>
            <w:hideMark/>
          </w:tcPr>
          <w:p w14:paraId="59B90BF3" w14:textId="77777777" w:rsidR="0069348F" w:rsidRPr="007A14ED"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ru-RU"/>
              </w:rPr>
            </w:pPr>
          </w:p>
        </w:tc>
        <w:tc>
          <w:tcPr>
            <w:tcW w:w="4700"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0C4B5C"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ru-RU" w:eastAsia="ru-RU"/>
              </w:rPr>
            </w:pPr>
            <w:r w:rsidRPr="0069348F">
              <w:rPr>
                <w:rFonts w:ascii="Arial" w:hAnsi="Arial" w:cs="Arial"/>
                <w:b/>
                <w:bCs/>
                <w:color w:val="000000"/>
                <w:sz w:val="18"/>
                <w:szCs w:val="18"/>
                <w:lang w:val="ru-RU" w:eastAsia="ru-RU"/>
              </w:rPr>
              <w:t xml:space="preserve">All </w:t>
            </w:r>
            <w:proofErr w:type="spellStart"/>
            <w:r w:rsidRPr="0069348F">
              <w:rPr>
                <w:rFonts w:ascii="Arial" w:hAnsi="Arial" w:cs="Arial"/>
                <w:b/>
                <w:bCs/>
                <w:color w:val="000000"/>
                <w:sz w:val="18"/>
                <w:szCs w:val="18"/>
                <w:lang w:val="ru-RU" w:eastAsia="ru-RU"/>
              </w:rPr>
              <w:t>Intra</w:t>
            </w:r>
            <w:proofErr w:type="spellEnd"/>
            <w:r w:rsidRPr="0069348F">
              <w:rPr>
                <w:rFonts w:ascii="Arial" w:hAnsi="Arial" w:cs="Arial"/>
                <w:b/>
                <w:bCs/>
                <w:color w:val="000000"/>
                <w:sz w:val="18"/>
                <w:szCs w:val="18"/>
                <w:lang w:val="ru-RU" w:eastAsia="ru-RU"/>
              </w:rPr>
              <w:t xml:space="preserve"> </w:t>
            </w:r>
            <w:proofErr w:type="spellStart"/>
            <w:r w:rsidRPr="0069348F">
              <w:rPr>
                <w:rFonts w:ascii="Arial" w:hAnsi="Arial" w:cs="Arial"/>
                <w:b/>
                <w:bCs/>
                <w:color w:val="000000"/>
                <w:sz w:val="18"/>
                <w:szCs w:val="18"/>
                <w:lang w:val="ru-RU" w:eastAsia="ru-RU"/>
              </w:rPr>
              <w:t>Main</w:t>
            </w:r>
            <w:proofErr w:type="spellEnd"/>
            <w:r w:rsidRPr="0069348F">
              <w:rPr>
                <w:rFonts w:ascii="Arial" w:hAnsi="Arial" w:cs="Arial"/>
                <w:b/>
                <w:bCs/>
                <w:color w:val="000000"/>
                <w:sz w:val="18"/>
                <w:szCs w:val="18"/>
                <w:lang w:val="ru-RU" w:eastAsia="ru-RU"/>
              </w:rPr>
              <w:t xml:space="preserve"> 10 </w:t>
            </w:r>
          </w:p>
        </w:tc>
      </w:tr>
      <w:tr w:rsidR="0069348F" w:rsidRPr="0069348F" w14:paraId="5034B6C7" w14:textId="77777777" w:rsidTr="0069348F">
        <w:trPr>
          <w:trHeight w:val="255"/>
          <w:jc w:val="center"/>
        </w:trPr>
        <w:tc>
          <w:tcPr>
            <w:tcW w:w="1060" w:type="dxa"/>
            <w:tcBorders>
              <w:top w:val="nil"/>
              <w:left w:val="nil"/>
              <w:bottom w:val="nil"/>
              <w:right w:val="nil"/>
            </w:tcBorders>
            <w:shd w:val="clear" w:color="auto" w:fill="auto"/>
            <w:noWrap/>
            <w:vAlign w:val="center"/>
            <w:hideMark/>
          </w:tcPr>
          <w:p w14:paraId="3BA5E567"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ru-RU" w:eastAsia="ru-RU"/>
              </w:rPr>
            </w:pPr>
          </w:p>
        </w:tc>
        <w:tc>
          <w:tcPr>
            <w:tcW w:w="4700" w:type="dxa"/>
            <w:gridSpan w:val="3"/>
            <w:tcBorders>
              <w:top w:val="single" w:sz="8" w:space="0" w:color="auto"/>
              <w:left w:val="single" w:sz="8" w:space="0" w:color="auto"/>
              <w:bottom w:val="nil"/>
              <w:right w:val="single" w:sz="8" w:space="0" w:color="auto"/>
            </w:tcBorders>
            <w:shd w:val="clear" w:color="auto" w:fill="auto"/>
            <w:noWrap/>
            <w:vAlign w:val="center"/>
            <w:hideMark/>
          </w:tcPr>
          <w:p w14:paraId="665E717D"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ru-RU" w:eastAsia="ru-RU"/>
              </w:rPr>
            </w:pPr>
            <w:proofErr w:type="spellStart"/>
            <w:r w:rsidRPr="0069348F">
              <w:rPr>
                <w:rFonts w:ascii="Arial" w:hAnsi="Arial" w:cs="Arial"/>
                <w:b/>
                <w:bCs/>
                <w:color w:val="000000"/>
                <w:sz w:val="18"/>
                <w:szCs w:val="18"/>
                <w:lang w:val="ru-RU" w:eastAsia="ru-RU"/>
              </w:rPr>
              <w:t>Over</w:t>
            </w:r>
            <w:proofErr w:type="spellEnd"/>
            <w:r w:rsidRPr="0069348F">
              <w:rPr>
                <w:rFonts w:ascii="Arial" w:hAnsi="Arial" w:cs="Arial"/>
                <w:b/>
                <w:bCs/>
                <w:color w:val="000000"/>
                <w:sz w:val="18"/>
                <w:szCs w:val="18"/>
                <w:lang w:val="ru-RU" w:eastAsia="ru-RU"/>
              </w:rPr>
              <w:t xml:space="preserve"> ECM-14.0</w:t>
            </w:r>
          </w:p>
        </w:tc>
      </w:tr>
      <w:tr w:rsidR="0069348F" w:rsidRPr="0069348F" w14:paraId="4A30D442" w14:textId="77777777" w:rsidTr="0069348F">
        <w:trPr>
          <w:trHeight w:val="255"/>
          <w:jc w:val="center"/>
        </w:trPr>
        <w:tc>
          <w:tcPr>
            <w:tcW w:w="1060" w:type="dxa"/>
            <w:tcBorders>
              <w:top w:val="nil"/>
              <w:left w:val="nil"/>
              <w:bottom w:val="nil"/>
              <w:right w:val="nil"/>
            </w:tcBorders>
            <w:shd w:val="clear" w:color="auto" w:fill="auto"/>
            <w:noWrap/>
            <w:vAlign w:val="center"/>
            <w:hideMark/>
          </w:tcPr>
          <w:p w14:paraId="1154DF7D"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ru-RU" w:eastAsia="ru-RU"/>
              </w:rPr>
            </w:pPr>
          </w:p>
        </w:tc>
        <w:tc>
          <w:tcPr>
            <w:tcW w:w="1550" w:type="dxa"/>
            <w:tcBorders>
              <w:top w:val="nil"/>
              <w:left w:val="single" w:sz="8" w:space="0" w:color="auto"/>
              <w:bottom w:val="single" w:sz="8" w:space="0" w:color="auto"/>
              <w:right w:val="nil"/>
            </w:tcBorders>
            <w:shd w:val="clear" w:color="auto" w:fill="auto"/>
            <w:noWrap/>
            <w:vAlign w:val="center"/>
            <w:hideMark/>
          </w:tcPr>
          <w:p w14:paraId="000E872B"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Y</w:t>
            </w:r>
          </w:p>
        </w:tc>
        <w:tc>
          <w:tcPr>
            <w:tcW w:w="1440" w:type="dxa"/>
            <w:tcBorders>
              <w:top w:val="nil"/>
              <w:left w:val="nil"/>
              <w:bottom w:val="single" w:sz="8" w:space="0" w:color="auto"/>
              <w:right w:val="nil"/>
            </w:tcBorders>
            <w:shd w:val="clear" w:color="auto" w:fill="auto"/>
            <w:noWrap/>
            <w:vAlign w:val="center"/>
            <w:hideMark/>
          </w:tcPr>
          <w:p w14:paraId="48643E68"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U</w:t>
            </w:r>
          </w:p>
        </w:tc>
        <w:tc>
          <w:tcPr>
            <w:tcW w:w="1710" w:type="dxa"/>
            <w:tcBorders>
              <w:top w:val="nil"/>
              <w:left w:val="nil"/>
              <w:bottom w:val="single" w:sz="8" w:space="0" w:color="auto"/>
              <w:right w:val="single" w:sz="8" w:space="0" w:color="auto"/>
            </w:tcBorders>
            <w:shd w:val="clear" w:color="auto" w:fill="auto"/>
            <w:noWrap/>
            <w:vAlign w:val="center"/>
            <w:hideMark/>
          </w:tcPr>
          <w:p w14:paraId="48BB080E"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V</w:t>
            </w:r>
          </w:p>
        </w:tc>
      </w:tr>
      <w:tr w:rsidR="0069348F" w:rsidRPr="0069348F" w14:paraId="3BE56BBE" w14:textId="77777777" w:rsidTr="0069348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E4BB347"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Class A1</w:t>
            </w:r>
          </w:p>
        </w:tc>
        <w:tc>
          <w:tcPr>
            <w:tcW w:w="1550" w:type="dxa"/>
            <w:tcBorders>
              <w:top w:val="nil"/>
              <w:left w:val="nil"/>
              <w:bottom w:val="nil"/>
              <w:right w:val="nil"/>
            </w:tcBorders>
            <w:shd w:val="clear" w:color="auto" w:fill="auto"/>
            <w:noWrap/>
            <w:vAlign w:val="center"/>
            <w:hideMark/>
          </w:tcPr>
          <w:p w14:paraId="492999B0"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-0.04%</w:t>
            </w:r>
          </w:p>
        </w:tc>
        <w:tc>
          <w:tcPr>
            <w:tcW w:w="1440" w:type="dxa"/>
            <w:tcBorders>
              <w:top w:val="nil"/>
              <w:left w:val="nil"/>
              <w:bottom w:val="nil"/>
              <w:right w:val="nil"/>
            </w:tcBorders>
            <w:shd w:val="clear" w:color="auto" w:fill="auto"/>
            <w:noWrap/>
            <w:vAlign w:val="center"/>
            <w:hideMark/>
          </w:tcPr>
          <w:p w14:paraId="5BF9C82E"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0.08%</w:t>
            </w:r>
          </w:p>
        </w:tc>
        <w:tc>
          <w:tcPr>
            <w:tcW w:w="1710" w:type="dxa"/>
            <w:tcBorders>
              <w:top w:val="nil"/>
              <w:left w:val="nil"/>
              <w:bottom w:val="nil"/>
              <w:right w:val="single" w:sz="8" w:space="0" w:color="auto"/>
            </w:tcBorders>
            <w:shd w:val="clear" w:color="auto" w:fill="auto"/>
            <w:noWrap/>
            <w:vAlign w:val="center"/>
            <w:hideMark/>
          </w:tcPr>
          <w:p w14:paraId="18818559"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-0.06%</w:t>
            </w:r>
          </w:p>
        </w:tc>
      </w:tr>
      <w:tr w:rsidR="0069348F" w:rsidRPr="0069348F" w14:paraId="5FA08563" w14:textId="77777777" w:rsidTr="0069348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B632BA4"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Class A2</w:t>
            </w:r>
          </w:p>
        </w:tc>
        <w:tc>
          <w:tcPr>
            <w:tcW w:w="1550" w:type="dxa"/>
            <w:tcBorders>
              <w:top w:val="nil"/>
              <w:left w:val="nil"/>
              <w:bottom w:val="nil"/>
              <w:right w:val="nil"/>
            </w:tcBorders>
            <w:shd w:val="clear" w:color="auto" w:fill="auto"/>
            <w:noWrap/>
            <w:vAlign w:val="center"/>
            <w:hideMark/>
          </w:tcPr>
          <w:p w14:paraId="568E27B1"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-0.01%</w:t>
            </w:r>
          </w:p>
        </w:tc>
        <w:tc>
          <w:tcPr>
            <w:tcW w:w="1440" w:type="dxa"/>
            <w:tcBorders>
              <w:top w:val="nil"/>
              <w:left w:val="nil"/>
              <w:bottom w:val="nil"/>
              <w:right w:val="nil"/>
            </w:tcBorders>
            <w:shd w:val="clear" w:color="auto" w:fill="auto"/>
            <w:noWrap/>
            <w:vAlign w:val="center"/>
            <w:hideMark/>
          </w:tcPr>
          <w:p w14:paraId="2695878C"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-0.06%</w:t>
            </w:r>
          </w:p>
        </w:tc>
        <w:tc>
          <w:tcPr>
            <w:tcW w:w="1710" w:type="dxa"/>
            <w:tcBorders>
              <w:top w:val="nil"/>
              <w:left w:val="nil"/>
              <w:bottom w:val="nil"/>
              <w:right w:val="single" w:sz="8" w:space="0" w:color="auto"/>
            </w:tcBorders>
            <w:shd w:val="clear" w:color="auto" w:fill="auto"/>
            <w:noWrap/>
            <w:vAlign w:val="center"/>
            <w:hideMark/>
          </w:tcPr>
          <w:p w14:paraId="517DBBF5"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-0.07%</w:t>
            </w:r>
          </w:p>
        </w:tc>
      </w:tr>
      <w:tr w:rsidR="0069348F" w:rsidRPr="0069348F" w14:paraId="6D34470C" w14:textId="77777777" w:rsidTr="0069348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C2A0992"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Class B</w:t>
            </w:r>
          </w:p>
        </w:tc>
        <w:tc>
          <w:tcPr>
            <w:tcW w:w="1550" w:type="dxa"/>
            <w:tcBorders>
              <w:top w:val="nil"/>
              <w:left w:val="nil"/>
              <w:bottom w:val="nil"/>
              <w:right w:val="nil"/>
            </w:tcBorders>
            <w:shd w:val="clear" w:color="auto" w:fill="auto"/>
            <w:noWrap/>
            <w:vAlign w:val="center"/>
            <w:hideMark/>
          </w:tcPr>
          <w:p w14:paraId="63BE0160"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-0.04%</w:t>
            </w:r>
          </w:p>
        </w:tc>
        <w:tc>
          <w:tcPr>
            <w:tcW w:w="1440" w:type="dxa"/>
            <w:tcBorders>
              <w:top w:val="nil"/>
              <w:left w:val="nil"/>
              <w:bottom w:val="nil"/>
              <w:right w:val="nil"/>
            </w:tcBorders>
            <w:shd w:val="clear" w:color="auto" w:fill="auto"/>
            <w:noWrap/>
            <w:vAlign w:val="center"/>
            <w:hideMark/>
          </w:tcPr>
          <w:p w14:paraId="0B47A9D4"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0.06%</w:t>
            </w:r>
          </w:p>
        </w:tc>
        <w:tc>
          <w:tcPr>
            <w:tcW w:w="1710" w:type="dxa"/>
            <w:tcBorders>
              <w:top w:val="nil"/>
              <w:left w:val="nil"/>
              <w:bottom w:val="nil"/>
              <w:right w:val="single" w:sz="8" w:space="0" w:color="auto"/>
            </w:tcBorders>
            <w:shd w:val="clear" w:color="auto" w:fill="auto"/>
            <w:noWrap/>
            <w:vAlign w:val="center"/>
            <w:hideMark/>
          </w:tcPr>
          <w:p w14:paraId="574AD759"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-0.01%</w:t>
            </w:r>
          </w:p>
        </w:tc>
      </w:tr>
      <w:tr w:rsidR="0069348F" w:rsidRPr="0069348F" w14:paraId="173B8CD5" w14:textId="77777777" w:rsidTr="0069348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9968FC6"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Class C</w:t>
            </w:r>
          </w:p>
        </w:tc>
        <w:tc>
          <w:tcPr>
            <w:tcW w:w="1550" w:type="dxa"/>
            <w:tcBorders>
              <w:top w:val="nil"/>
              <w:left w:val="nil"/>
              <w:bottom w:val="nil"/>
              <w:right w:val="nil"/>
            </w:tcBorders>
            <w:shd w:val="clear" w:color="auto" w:fill="auto"/>
            <w:noWrap/>
            <w:vAlign w:val="center"/>
            <w:hideMark/>
          </w:tcPr>
          <w:p w14:paraId="70164E82"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0.00%</w:t>
            </w:r>
          </w:p>
        </w:tc>
        <w:tc>
          <w:tcPr>
            <w:tcW w:w="1440" w:type="dxa"/>
            <w:tcBorders>
              <w:top w:val="nil"/>
              <w:left w:val="nil"/>
              <w:bottom w:val="nil"/>
              <w:right w:val="nil"/>
            </w:tcBorders>
            <w:shd w:val="clear" w:color="auto" w:fill="auto"/>
            <w:noWrap/>
            <w:vAlign w:val="center"/>
            <w:hideMark/>
          </w:tcPr>
          <w:p w14:paraId="22CEB82E"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0.00%</w:t>
            </w:r>
          </w:p>
        </w:tc>
        <w:tc>
          <w:tcPr>
            <w:tcW w:w="1710" w:type="dxa"/>
            <w:tcBorders>
              <w:top w:val="nil"/>
              <w:left w:val="nil"/>
              <w:bottom w:val="nil"/>
              <w:right w:val="single" w:sz="8" w:space="0" w:color="auto"/>
            </w:tcBorders>
            <w:shd w:val="clear" w:color="auto" w:fill="auto"/>
            <w:noWrap/>
            <w:vAlign w:val="center"/>
            <w:hideMark/>
          </w:tcPr>
          <w:p w14:paraId="6F7C865D"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-0.04%</w:t>
            </w:r>
          </w:p>
        </w:tc>
      </w:tr>
      <w:tr w:rsidR="0069348F" w:rsidRPr="0069348F" w14:paraId="1050D965" w14:textId="77777777" w:rsidTr="0069348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2968258"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Class E</w:t>
            </w:r>
          </w:p>
        </w:tc>
        <w:tc>
          <w:tcPr>
            <w:tcW w:w="1550" w:type="dxa"/>
            <w:tcBorders>
              <w:top w:val="nil"/>
              <w:left w:val="nil"/>
              <w:bottom w:val="nil"/>
              <w:right w:val="nil"/>
            </w:tcBorders>
            <w:shd w:val="clear" w:color="auto" w:fill="auto"/>
            <w:noWrap/>
            <w:vAlign w:val="center"/>
            <w:hideMark/>
          </w:tcPr>
          <w:p w14:paraId="4313684C"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-0.03%</w:t>
            </w:r>
          </w:p>
        </w:tc>
        <w:tc>
          <w:tcPr>
            <w:tcW w:w="1440" w:type="dxa"/>
            <w:tcBorders>
              <w:top w:val="nil"/>
              <w:left w:val="nil"/>
              <w:bottom w:val="nil"/>
              <w:right w:val="nil"/>
            </w:tcBorders>
            <w:shd w:val="clear" w:color="auto" w:fill="auto"/>
            <w:noWrap/>
            <w:vAlign w:val="center"/>
            <w:hideMark/>
          </w:tcPr>
          <w:p w14:paraId="5A950EE3"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0.17%</w:t>
            </w:r>
          </w:p>
        </w:tc>
        <w:tc>
          <w:tcPr>
            <w:tcW w:w="1710" w:type="dxa"/>
            <w:tcBorders>
              <w:top w:val="nil"/>
              <w:left w:val="nil"/>
              <w:bottom w:val="nil"/>
              <w:right w:val="single" w:sz="8" w:space="0" w:color="auto"/>
            </w:tcBorders>
            <w:shd w:val="clear" w:color="auto" w:fill="auto"/>
            <w:noWrap/>
            <w:vAlign w:val="center"/>
            <w:hideMark/>
          </w:tcPr>
          <w:p w14:paraId="23690E28"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0.20%</w:t>
            </w:r>
          </w:p>
        </w:tc>
      </w:tr>
      <w:tr w:rsidR="0069348F" w:rsidRPr="0069348F" w14:paraId="5B0F3926" w14:textId="77777777" w:rsidTr="0069348F">
        <w:trPr>
          <w:trHeight w:val="255"/>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B0A866"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ru-RU" w:eastAsia="ru-RU"/>
              </w:rPr>
            </w:pPr>
            <w:proofErr w:type="spellStart"/>
            <w:r w:rsidRPr="0069348F">
              <w:rPr>
                <w:rFonts w:ascii="Arial" w:hAnsi="Arial" w:cs="Arial"/>
                <w:b/>
                <w:bCs/>
                <w:color w:val="000000"/>
                <w:sz w:val="18"/>
                <w:szCs w:val="18"/>
                <w:lang w:val="ru-RU" w:eastAsia="ru-RU"/>
              </w:rPr>
              <w:t>Overall</w:t>
            </w:r>
            <w:proofErr w:type="spellEnd"/>
            <w:r w:rsidRPr="0069348F">
              <w:rPr>
                <w:rFonts w:ascii="Arial" w:hAnsi="Arial" w:cs="Arial"/>
                <w:b/>
                <w:bCs/>
                <w:color w:val="000000"/>
                <w:sz w:val="18"/>
                <w:szCs w:val="18"/>
                <w:lang w:val="ru-RU" w:eastAsia="ru-RU"/>
              </w:rPr>
              <w:t xml:space="preserve"> </w:t>
            </w:r>
          </w:p>
        </w:tc>
        <w:tc>
          <w:tcPr>
            <w:tcW w:w="1550" w:type="dxa"/>
            <w:tcBorders>
              <w:top w:val="single" w:sz="8" w:space="0" w:color="auto"/>
              <w:left w:val="nil"/>
              <w:bottom w:val="single" w:sz="8" w:space="0" w:color="auto"/>
              <w:right w:val="nil"/>
            </w:tcBorders>
            <w:shd w:val="clear" w:color="auto" w:fill="auto"/>
            <w:noWrap/>
            <w:vAlign w:val="center"/>
            <w:hideMark/>
          </w:tcPr>
          <w:p w14:paraId="7C390713"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-0.03%</w:t>
            </w:r>
          </w:p>
        </w:tc>
        <w:tc>
          <w:tcPr>
            <w:tcW w:w="1440" w:type="dxa"/>
            <w:tcBorders>
              <w:top w:val="single" w:sz="8" w:space="0" w:color="auto"/>
              <w:left w:val="nil"/>
              <w:bottom w:val="single" w:sz="8" w:space="0" w:color="auto"/>
              <w:right w:val="nil"/>
            </w:tcBorders>
            <w:shd w:val="clear" w:color="auto" w:fill="auto"/>
            <w:noWrap/>
            <w:vAlign w:val="center"/>
            <w:hideMark/>
          </w:tcPr>
          <w:p w14:paraId="32D162AF"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0.05%</w:t>
            </w:r>
          </w:p>
        </w:tc>
        <w:tc>
          <w:tcPr>
            <w:tcW w:w="1710" w:type="dxa"/>
            <w:tcBorders>
              <w:top w:val="single" w:sz="8" w:space="0" w:color="auto"/>
              <w:left w:val="nil"/>
              <w:bottom w:val="single" w:sz="8" w:space="0" w:color="auto"/>
              <w:right w:val="single" w:sz="8" w:space="0" w:color="auto"/>
            </w:tcBorders>
            <w:shd w:val="clear" w:color="auto" w:fill="auto"/>
            <w:noWrap/>
            <w:vAlign w:val="center"/>
            <w:hideMark/>
          </w:tcPr>
          <w:p w14:paraId="25C393F1"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0.00%</w:t>
            </w:r>
          </w:p>
        </w:tc>
      </w:tr>
      <w:tr w:rsidR="0069348F" w:rsidRPr="0069348F" w14:paraId="715AC2F3" w14:textId="77777777" w:rsidTr="0069348F">
        <w:trPr>
          <w:trHeight w:val="255"/>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105446"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Class D</w:t>
            </w:r>
          </w:p>
        </w:tc>
        <w:tc>
          <w:tcPr>
            <w:tcW w:w="1550" w:type="dxa"/>
            <w:tcBorders>
              <w:top w:val="single" w:sz="8" w:space="0" w:color="auto"/>
              <w:left w:val="nil"/>
              <w:bottom w:val="single" w:sz="8" w:space="0" w:color="auto"/>
              <w:right w:val="nil"/>
            </w:tcBorders>
            <w:shd w:val="clear" w:color="auto" w:fill="auto"/>
            <w:noWrap/>
            <w:vAlign w:val="center"/>
            <w:hideMark/>
          </w:tcPr>
          <w:p w14:paraId="777DE9BA"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0.00%</w:t>
            </w:r>
          </w:p>
        </w:tc>
        <w:tc>
          <w:tcPr>
            <w:tcW w:w="1440" w:type="dxa"/>
            <w:tcBorders>
              <w:top w:val="single" w:sz="8" w:space="0" w:color="auto"/>
              <w:left w:val="nil"/>
              <w:bottom w:val="single" w:sz="8" w:space="0" w:color="auto"/>
              <w:right w:val="nil"/>
            </w:tcBorders>
            <w:shd w:val="clear" w:color="auto" w:fill="auto"/>
            <w:noWrap/>
            <w:vAlign w:val="center"/>
            <w:hideMark/>
          </w:tcPr>
          <w:p w14:paraId="347C7EC8"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0.03%</w:t>
            </w:r>
          </w:p>
        </w:tc>
        <w:tc>
          <w:tcPr>
            <w:tcW w:w="1710" w:type="dxa"/>
            <w:tcBorders>
              <w:top w:val="single" w:sz="8" w:space="0" w:color="auto"/>
              <w:left w:val="nil"/>
              <w:bottom w:val="single" w:sz="8" w:space="0" w:color="auto"/>
              <w:right w:val="single" w:sz="8" w:space="0" w:color="auto"/>
            </w:tcBorders>
            <w:shd w:val="clear" w:color="auto" w:fill="auto"/>
            <w:noWrap/>
            <w:vAlign w:val="center"/>
            <w:hideMark/>
          </w:tcPr>
          <w:p w14:paraId="27187C06" w14:textId="77777777" w:rsidR="0069348F" w:rsidRPr="0069348F" w:rsidRDefault="0069348F" w:rsidP="0069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ru-RU" w:eastAsia="ru-RU"/>
              </w:rPr>
            </w:pPr>
            <w:r w:rsidRPr="0069348F">
              <w:rPr>
                <w:rFonts w:ascii="Arial" w:hAnsi="Arial" w:cs="Arial"/>
                <w:color w:val="000000"/>
                <w:sz w:val="18"/>
                <w:szCs w:val="18"/>
                <w:lang w:val="ru-RU" w:eastAsia="ru-RU"/>
              </w:rPr>
              <w:t>-0.09%</w:t>
            </w:r>
          </w:p>
        </w:tc>
      </w:tr>
    </w:tbl>
    <w:p w14:paraId="0CB13FC7" w14:textId="5209F611" w:rsidR="00732178" w:rsidRDefault="0085472D" w:rsidP="0054357B">
      <w:pPr>
        <w:rPr>
          <w:lang w:val="en-CA"/>
        </w:rPr>
      </w:pPr>
      <w:r>
        <w:rPr>
          <w:lang w:val="en-CA"/>
        </w:rPr>
        <w:t xml:space="preserve">* </w:t>
      </w:r>
      <w:r w:rsidR="007C7983">
        <w:rPr>
          <w:lang w:val="en-CA"/>
        </w:rPr>
        <w:t>2</w:t>
      </w:r>
      <w:r>
        <w:rPr>
          <w:lang w:val="en-CA"/>
        </w:rPr>
        <w:t xml:space="preserve"> </w:t>
      </w:r>
      <w:r w:rsidRPr="0085472D">
        <w:rPr>
          <w:lang w:val="en-CA"/>
        </w:rPr>
        <w:t>RD points for Class A2 were taken from the ECM-14.0 anchor</w:t>
      </w:r>
      <w:r w:rsidR="00510C4E">
        <w:rPr>
          <w:lang w:val="en-CA"/>
        </w:rPr>
        <w:t>.</w:t>
      </w:r>
    </w:p>
    <w:p w14:paraId="0A9D5C0F" w14:textId="77777777" w:rsidR="00510C4E" w:rsidRPr="00732178" w:rsidRDefault="00510C4E" w:rsidP="0054357B">
      <w:pPr>
        <w:rPr>
          <w:lang w:val="en-CA"/>
        </w:rPr>
      </w:pPr>
    </w:p>
    <w:p w14:paraId="33B7FB6E" w14:textId="77777777" w:rsidR="00E51F4D" w:rsidRDefault="00E51F4D" w:rsidP="00E51F4D">
      <w:pPr>
        <w:pStyle w:val="Heading1"/>
        <w:rPr>
          <w:lang w:val="en-CA"/>
        </w:rPr>
      </w:pPr>
      <w:r>
        <w:rPr>
          <w:lang w:val="en-CA"/>
        </w:rPr>
        <w:t>Conclusion</w:t>
      </w:r>
    </w:p>
    <w:p w14:paraId="7835B182" w14:textId="3CE7F3A6" w:rsidR="001B191B" w:rsidRDefault="001B191B" w:rsidP="00E51F4D">
      <w:pPr>
        <w:rPr>
          <w:lang w:val="en-CA"/>
        </w:rPr>
      </w:pPr>
      <w:r>
        <w:rPr>
          <w:lang w:val="en-CA"/>
        </w:rPr>
        <w:t xml:space="preserve">In this contribution, a method </w:t>
      </w:r>
      <w:r w:rsidR="000A19D0" w:rsidRPr="000A19D0">
        <w:rPr>
          <w:lang w:val="en-CA"/>
        </w:rPr>
        <w:t>of reference sample processing for angular intra-prediction modes is proposed to reveal what regions of the reference samples have significant values of gradient magnitudes and gradient directionality similar to the angular prediction directions applied to a given block.</w:t>
      </w:r>
      <w:r w:rsidR="000A19D0">
        <w:rPr>
          <w:lang w:val="en-CA"/>
        </w:rPr>
        <w:t xml:space="preserve"> This information is used to enable</w:t>
      </w:r>
      <w:r w:rsidR="007A14ED">
        <w:rPr>
          <w:lang w:val="en-CA"/>
        </w:rPr>
        <w:t xml:space="preserve"> </w:t>
      </w:r>
      <w:r w:rsidR="007A14ED">
        <w:rPr>
          <w:lang w:val="en-CA"/>
        </w:rPr>
        <w:t>for negative angular modes</w:t>
      </w:r>
      <w:r w:rsidR="007A14ED">
        <w:rPr>
          <w:lang w:val="en-CA"/>
        </w:rPr>
        <w:t xml:space="preserve"> a mechanism similar to</w:t>
      </w:r>
      <w:r w:rsidR="000A19D0">
        <w:rPr>
          <w:lang w:val="en-CA"/>
        </w:rPr>
        <w:t xml:space="preserve"> the gradient PDPC.</w:t>
      </w:r>
    </w:p>
    <w:p w14:paraId="20BC54D2" w14:textId="51CEA672" w:rsidR="002E6696" w:rsidRDefault="001B191B" w:rsidP="00E51F4D">
      <w:pPr>
        <w:rPr>
          <w:lang w:val="en-CA"/>
        </w:rPr>
      </w:pPr>
      <w:r>
        <w:rPr>
          <w:lang w:val="en-CA"/>
        </w:rPr>
        <w:t>We recommend the proposed method is included in the next round of EE2.</w:t>
      </w:r>
    </w:p>
    <w:p w14:paraId="50D7DB2E" w14:textId="77777777" w:rsidR="00510C4E" w:rsidRDefault="00510C4E" w:rsidP="00E51F4D">
      <w:pPr>
        <w:rPr>
          <w:lang w:val="en-CA"/>
        </w:rPr>
      </w:pPr>
    </w:p>
    <w:p w14:paraId="2CAE1B0A" w14:textId="77777777" w:rsidR="00D8231B" w:rsidRDefault="00D8231B" w:rsidP="00D8231B">
      <w:pPr>
        <w:pStyle w:val="Heading1"/>
        <w:rPr>
          <w:lang w:val="en-CA"/>
        </w:rPr>
      </w:pPr>
      <w:r>
        <w:rPr>
          <w:lang w:val="en-CA"/>
        </w:rPr>
        <w:t>References</w:t>
      </w:r>
    </w:p>
    <w:p w14:paraId="2E502B05" w14:textId="4FC89CA2" w:rsidR="00D8231B" w:rsidRDefault="00D8231B" w:rsidP="00D8231B">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lang w:val="en-CA"/>
        </w:rPr>
      </w:pPr>
      <w:bookmarkStart w:id="1" w:name="_Ref171071587"/>
      <w:bookmarkStart w:id="2" w:name="_Ref75786612"/>
      <w:r w:rsidRPr="00275AF0">
        <w:rPr>
          <w:lang w:val="en-GB"/>
        </w:rPr>
        <w:t>M. Coban, R.-L. Liao, K. Naser, J. Ström, L. Zhang</w:t>
      </w:r>
      <w:r>
        <w:rPr>
          <w:lang w:val="en-GB"/>
        </w:rPr>
        <w:t>, “</w:t>
      </w:r>
      <w:r w:rsidR="00011E33">
        <w:t>Algorithm description of Enhanced Compression Model 14 (ECM 14)</w:t>
      </w:r>
      <w:r>
        <w:rPr>
          <w:lang w:val="en-GB"/>
        </w:rPr>
        <w:t>”, document JVE</w:t>
      </w:r>
      <w:r w:rsidRPr="00E7615B">
        <w:rPr>
          <w:lang w:val="en-GB"/>
        </w:rPr>
        <w:t>T-A</w:t>
      </w:r>
      <w:r w:rsidR="00011E33">
        <w:rPr>
          <w:lang w:val="en-GB"/>
        </w:rPr>
        <w:t>I</w:t>
      </w:r>
      <w:r>
        <w:rPr>
          <w:lang w:val="en-GB"/>
        </w:rPr>
        <w:t>2025</w:t>
      </w:r>
      <w:r w:rsidRPr="00E7615B">
        <w:rPr>
          <w:lang w:val="en-GB"/>
        </w:rPr>
        <w:t>, J</w:t>
      </w:r>
      <w:r w:rsidR="00011E33">
        <w:rPr>
          <w:lang w:val="en-GB"/>
        </w:rPr>
        <w:t>ul</w:t>
      </w:r>
      <w:r w:rsidRPr="00E7615B">
        <w:rPr>
          <w:lang w:val="en-GB"/>
        </w:rPr>
        <w:t>. 2024</w:t>
      </w:r>
      <w:bookmarkEnd w:id="1"/>
    </w:p>
    <w:p w14:paraId="407858DF" w14:textId="4E71E810" w:rsidR="00544EF5" w:rsidRDefault="00544EF5" w:rsidP="00647AB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lang w:val="en-CA"/>
        </w:rPr>
      </w:pPr>
      <w:bookmarkStart w:id="3" w:name="_Ref180621908"/>
      <w:bookmarkStart w:id="4" w:name="_Ref163477203"/>
      <w:bookmarkStart w:id="5" w:name="_Ref180621425"/>
      <w:r w:rsidRPr="009C66B9">
        <w:rPr>
          <w:lang w:val="en-CA"/>
        </w:rPr>
        <w:t>A. Filippov, V. Rufitskiy, J. Konieczny, H. Qin, T. Dong, Z. Xu</w:t>
      </w:r>
      <w:r>
        <w:rPr>
          <w:lang w:val="en-CA"/>
        </w:rPr>
        <w:t>, “</w:t>
      </w:r>
      <w:r w:rsidRPr="00544EF5">
        <w:t>Non-EE2: On DIMD edge operators</w:t>
      </w:r>
      <w:r>
        <w:rPr>
          <w:lang w:val="en-CA"/>
        </w:rPr>
        <w:t xml:space="preserve">”, </w:t>
      </w:r>
      <w:r>
        <w:rPr>
          <w:lang w:val="en-GB"/>
        </w:rPr>
        <w:t>document JVE</w:t>
      </w:r>
      <w:r w:rsidRPr="00E7615B">
        <w:rPr>
          <w:lang w:val="en-GB"/>
        </w:rPr>
        <w:t>T-A</w:t>
      </w:r>
      <w:r>
        <w:rPr>
          <w:lang w:val="en-GB"/>
        </w:rPr>
        <w:t>I0140</w:t>
      </w:r>
      <w:r w:rsidRPr="00E7615B">
        <w:rPr>
          <w:lang w:val="en-GB"/>
        </w:rPr>
        <w:t xml:space="preserve">, </w:t>
      </w:r>
      <w:r>
        <w:rPr>
          <w:lang w:val="en-GB"/>
        </w:rPr>
        <w:t>Jul</w:t>
      </w:r>
      <w:r w:rsidRPr="00E7615B">
        <w:rPr>
          <w:lang w:val="en-GB"/>
        </w:rPr>
        <w:t>. 2024</w:t>
      </w:r>
    </w:p>
    <w:p w14:paraId="32B81E7A" w14:textId="38DAE462" w:rsidR="00647AB6" w:rsidRPr="00647AB6" w:rsidRDefault="00647AB6" w:rsidP="00647AB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lang w:val="en-CA"/>
        </w:rPr>
      </w:pPr>
      <w:r w:rsidRPr="009C66B9">
        <w:rPr>
          <w:lang w:val="en-CA"/>
        </w:rPr>
        <w:t>A. Filippov, V. Rufitskiy, J. Konieczny, H. Qin, T. Dong, Z. Xu</w:t>
      </w:r>
      <w:r>
        <w:rPr>
          <w:lang w:val="en-CA"/>
        </w:rPr>
        <w:t>, “</w:t>
      </w:r>
      <w:r>
        <w:t>EE2-2.11: DIMD with 2x2 edge operator applied to small blocks</w:t>
      </w:r>
      <w:r>
        <w:rPr>
          <w:lang w:val="en-CA"/>
        </w:rPr>
        <w:t>”</w:t>
      </w:r>
      <w:bookmarkStart w:id="6" w:name="_Hlk180708037"/>
      <w:r>
        <w:rPr>
          <w:lang w:val="en-CA"/>
        </w:rPr>
        <w:t xml:space="preserve">, </w:t>
      </w:r>
      <w:r>
        <w:rPr>
          <w:lang w:val="en-GB"/>
        </w:rPr>
        <w:t>document JVE</w:t>
      </w:r>
      <w:r w:rsidRPr="00E7615B">
        <w:rPr>
          <w:lang w:val="en-GB"/>
        </w:rPr>
        <w:t>T-A</w:t>
      </w:r>
      <w:r>
        <w:rPr>
          <w:lang w:val="en-GB"/>
        </w:rPr>
        <w:t>J0203</w:t>
      </w:r>
      <w:r w:rsidRPr="00E7615B">
        <w:rPr>
          <w:lang w:val="en-GB"/>
        </w:rPr>
        <w:t xml:space="preserve">, </w:t>
      </w:r>
      <w:r>
        <w:rPr>
          <w:lang w:val="en-GB"/>
        </w:rPr>
        <w:t>Nov</w:t>
      </w:r>
      <w:r w:rsidRPr="00E7615B">
        <w:rPr>
          <w:lang w:val="en-GB"/>
        </w:rPr>
        <w:t>. 2024</w:t>
      </w:r>
      <w:bookmarkEnd w:id="3"/>
      <w:bookmarkEnd w:id="6"/>
    </w:p>
    <w:p w14:paraId="548F373B" w14:textId="57E6677A" w:rsidR="00D8231B" w:rsidRDefault="00D8231B" w:rsidP="00D8231B">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lang w:val="en-CA"/>
        </w:rPr>
      </w:pPr>
      <w:r w:rsidRPr="00326AF7">
        <w:rPr>
          <w:lang w:val="en-CA"/>
        </w:rPr>
        <w:t>ECM-</w:t>
      </w:r>
      <w:r>
        <w:rPr>
          <w:lang w:val="en-CA"/>
        </w:rPr>
        <w:t>1</w:t>
      </w:r>
      <w:r w:rsidR="002D6408">
        <w:rPr>
          <w:lang w:val="en-CA"/>
        </w:rPr>
        <w:t>4</w:t>
      </w:r>
      <w:r w:rsidRPr="00326AF7">
        <w:rPr>
          <w:lang w:val="en-CA"/>
        </w:rPr>
        <w:t xml:space="preserve">.0: </w:t>
      </w:r>
      <w:hyperlink r:id="rId17" w:history="1">
        <w:r w:rsidR="002D6408" w:rsidRPr="00716379">
          <w:rPr>
            <w:rStyle w:val="Hyperlink"/>
          </w:rPr>
          <w:t>https://vcgit.hhi.fraunhofer.de/ecm/ECM/-/tree/ECM-14.0</w:t>
        </w:r>
      </w:hyperlink>
      <w:bookmarkEnd w:id="4"/>
      <w:bookmarkEnd w:id="5"/>
    </w:p>
    <w:p w14:paraId="1546B92A" w14:textId="77777777" w:rsidR="00D8231B" w:rsidRDefault="00D8231B" w:rsidP="00D8231B">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lang w:val="en-CA"/>
        </w:rPr>
      </w:pPr>
      <w:bookmarkStart w:id="7" w:name="_Ref163477199"/>
      <w:r w:rsidRPr="00AA6636">
        <w:rPr>
          <w:lang w:val="en-CA"/>
        </w:rPr>
        <w:t xml:space="preserve">M. </w:t>
      </w:r>
      <w:proofErr w:type="spellStart"/>
      <w:r w:rsidRPr="00AA6636">
        <w:rPr>
          <w:lang w:val="en-CA"/>
        </w:rPr>
        <w:t>Karczewicz</w:t>
      </w:r>
      <w:proofErr w:type="spellEnd"/>
      <w:r w:rsidRPr="00AA6636">
        <w:rPr>
          <w:lang w:val="en-CA"/>
        </w:rPr>
        <w:t>, Y. Ye, “Common Test Conditions and evaluation procedures for enhanced compression tool testing”</w:t>
      </w:r>
      <w:r w:rsidRPr="00AA6636">
        <w:t>,</w:t>
      </w:r>
      <w:r w:rsidRPr="00AA6636">
        <w:rPr>
          <w:lang w:val="en-CA"/>
        </w:rPr>
        <w:t xml:space="preserve"> </w:t>
      </w:r>
      <w:r>
        <w:rPr>
          <w:lang w:val="en-CA"/>
        </w:rPr>
        <w:t xml:space="preserve">document </w:t>
      </w:r>
      <w:r w:rsidRPr="00AA6636">
        <w:rPr>
          <w:lang w:val="en-CA"/>
        </w:rPr>
        <w:t>JVET-</w:t>
      </w:r>
      <w:r>
        <w:rPr>
          <w:lang w:val="en-CA"/>
        </w:rPr>
        <w:t>AF</w:t>
      </w:r>
      <w:r w:rsidRPr="00AA6636">
        <w:rPr>
          <w:lang w:val="en-CA"/>
        </w:rPr>
        <w:t xml:space="preserve">2017, </w:t>
      </w:r>
      <w:r>
        <w:rPr>
          <w:lang w:val="en-CA"/>
        </w:rPr>
        <w:t>Oct</w:t>
      </w:r>
      <w:r w:rsidRPr="00AA6636">
        <w:rPr>
          <w:lang w:val="en-CA"/>
        </w:rPr>
        <w:t>. 202</w:t>
      </w:r>
      <w:r>
        <w:rPr>
          <w:lang w:val="en-CA"/>
        </w:rPr>
        <w:t>3</w:t>
      </w:r>
      <w:r w:rsidRPr="00AA6636">
        <w:rPr>
          <w:lang w:val="en-CA"/>
        </w:rPr>
        <w:t>.</w:t>
      </w:r>
      <w:bookmarkEnd w:id="2"/>
      <w:bookmarkEnd w:id="7"/>
    </w:p>
    <w:p w14:paraId="6BEB5B22" w14:textId="77777777" w:rsidR="00E51F4D" w:rsidRPr="0065135D" w:rsidRDefault="00E51F4D" w:rsidP="00E51F4D">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lang w:val="en-CA"/>
        </w:rPr>
      </w:pPr>
    </w:p>
    <w:p w14:paraId="5F0CF8E4" w14:textId="33A65A25"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95349CB" w14:textId="232F4F07" w:rsidR="0057633D" w:rsidRPr="005B217D" w:rsidRDefault="0057633D" w:rsidP="0057633D">
      <w:pPr>
        <w:rPr>
          <w:szCs w:val="22"/>
          <w:lang w:val="en-CA"/>
        </w:rPr>
      </w:pPr>
      <w:r>
        <w:rPr>
          <w:b/>
          <w:szCs w:val="22"/>
          <w:lang w:val="en-CA"/>
        </w:rPr>
        <w:t>TCL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B42C75C" w:rsidR="007F1F8B" w:rsidRPr="005B217D" w:rsidRDefault="007F1F8B" w:rsidP="0057633D">
      <w:pPr>
        <w:rPr>
          <w:szCs w:val="22"/>
          <w:lang w:val="en-CA"/>
        </w:rPr>
      </w:pPr>
    </w:p>
    <w:sectPr w:rsidR="007F1F8B" w:rsidRPr="005B217D" w:rsidSect="00925CE2">
      <w:footerReference w:type="default" r:id="rId18"/>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AFA315" w14:textId="77777777" w:rsidR="0079086B" w:rsidRDefault="0079086B">
      <w:r>
        <w:separator/>
      </w:r>
    </w:p>
  </w:endnote>
  <w:endnote w:type="continuationSeparator" w:id="0">
    <w:p w14:paraId="3040ADB8" w14:textId="77777777" w:rsidR="0079086B" w:rsidRDefault="0079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Bold">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KaiTi">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046F8F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51F4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A14ED">
      <w:rPr>
        <w:rStyle w:val="PageNumber"/>
        <w:noProof/>
      </w:rPr>
      <w:t>2024-11-03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87AE51" w14:textId="77777777" w:rsidR="0079086B" w:rsidRDefault="0079086B">
      <w:r>
        <w:separator/>
      </w:r>
    </w:p>
  </w:footnote>
  <w:footnote w:type="continuationSeparator" w:id="0">
    <w:p w14:paraId="62055674" w14:textId="77777777" w:rsidR="0079086B" w:rsidRDefault="0079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77FE5"/>
    <w:multiLevelType w:val="hybridMultilevel"/>
    <w:tmpl w:val="7D6AB3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0294A"/>
    <w:multiLevelType w:val="hybridMultilevel"/>
    <w:tmpl w:val="7310AA8E"/>
    <w:lvl w:ilvl="0" w:tplc="BCF814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6D6A81"/>
    <w:multiLevelType w:val="hybridMultilevel"/>
    <w:tmpl w:val="BC4EB630"/>
    <w:lvl w:ilvl="0" w:tplc="C90C8FD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8DC5B5F"/>
    <w:multiLevelType w:val="hybridMultilevel"/>
    <w:tmpl w:val="1A626E32"/>
    <w:lvl w:ilvl="0" w:tplc="CCE2772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FF65B66"/>
    <w:multiLevelType w:val="hybridMultilevel"/>
    <w:tmpl w:val="47D666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345142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92236">
    <w:abstractNumId w:val="12"/>
  </w:num>
  <w:num w:numId="3" w16cid:durableId="1784379016">
    <w:abstractNumId w:val="11"/>
  </w:num>
  <w:num w:numId="4" w16cid:durableId="1012488474">
    <w:abstractNumId w:val="8"/>
  </w:num>
  <w:num w:numId="5" w16cid:durableId="388961354">
    <w:abstractNumId w:val="9"/>
  </w:num>
  <w:num w:numId="6" w16cid:durableId="1971206805">
    <w:abstractNumId w:val="5"/>
  </w:num>
  <w:num w:numId="7" w16cid:durableId="469590751">
    <w:abstractNumId w:val="7"/>
  </w:num>
  <w:num w:numId="8" w16cid:durableId="1109011136">
    <w:abstractNumId w:val="5"/>
  </w:num>
  <w:num w:numId="9" w16cid:durableId="245841192">
    <w:abstractNumId w:val="1"/>
  </w:num>
  <w:num w:numId="10" w16cid:durableId="1774090432">
    <w:abstractNumId w:val="3"/>
  </w:num>
  <w:num w:numId="11" w16cid:durableId="745568353">
    <w:abstractNumId w:val="2"/>
  </w:num>
  <w:num w:numId="12" w16cid:durableId="1142767452">
    <w:abstractNumId w:val="6"/>
  </w:num>
  <w:num w:numId="13" w16cid:durableId="1046369906">
    <w:abstractNumId w:val="10"/>
  </w:num>
  <w:num w:numId="14" w16cid:durableId="1227033274">
    <w:abstractNumId w:val="14"/>
  </w:num>
  <w:num w:numId="15" w16cid:durableId="15510678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430889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E33"/>
    <w:rsid w:val="000308A3"/>
    <w:rsid w:val="000358B8"/>
    <w:rsid w:val="00044D67"/>
    <w:rsid w:val="0004543A"/>
    <w:rsid w:val="000458BC"/>
    <w:rsid w:val="00045C41"/>
    <w:rsid w:val="00046C03"/>
    <w:rsid w:val="00055661"/>
    <w:rsid w:val="00065039"/>
    <w:rsid w:val="0007614F"/>
    <w:rsid w:val="00081398"/>
    <w:rsid w:val="00084393"/>
    <w:rsid w:val="00085D13"/>
    <w:rsid w:val="000865E1"/>
    <w:rsid w:val="00092AF4"/>
    <w:rsid w:val="00094479"/>
    <w:rsid w:val="000962AC"/>
    <w:rsid w:val="000A19D0"/>
    <w:rsid w:val="000B0C0F"/>
    <w:rsid w:val="000B1C6B"/>
    <w:rsid w:val="000B1D14"/>
    <w:rsid w:val="000B4142"/>
    <w:rsid w:val="000B4FF9"/>
    <w:rsid w:val="000C09AC"/>
    <w:rsid w:val="000C228D"/>
    <w:rsid w:val="000C2BAA"/>
    <w:rsid w:val="000C5F4C"/>
    <w:rsid w:val="000E00F3"/>
    <w:rsid w:val="000F158C"/>
    <w:rsid w:val="00102F3D"/>
    <w:rsid w:val="00124E38"/>
    <w:rsid w:val="0012580B"/>
    <w:rsid w:val="00131F90"/>
    <w:rsid w:val="0013458C"/>
    <w:rsid w:val="00135130"/>
    <w:rsid w:val="0013526E"/>
    <w:rsid w:val="00136C14"/>
    <w:rsid w:val="00146152"/>
    <w:rsid w:val="00155526"/>
    <w:rsid w:val="001572A0"/>
    <w:rsid w:val="00160E2F"/>
    <w:rsid w:val="00171371"/>
    <w:rsid w:val="00175A24"/>
    <w:rsid w:val="001814DB"/>
    <w:rsid w:val="0018699A"/>
    <w:rsid w:val="00187E58"/>
    <w:rsid w:val="001A297E"/>
    <w:rsid w:val="001A368E"/>
    <w:rsid w:val="001A7329"/>
    <w:rsid w:val="001A792F"/>
    <w:rsid w:val="001B191B"/>
    <w:rsid w:val="001B2C62"/>
    <w:rsid w:val="001B4E28"/>
    <w:rsid w:val="001C324D"/>
    <w:rsid w:val="001C3525"/>
    <w:rsid w:val="001C3AFB"/>
    <w:rsid w:val="001C7C8C"/>
    <w:rsid w:val="001D07F0"/>
    <w:rsid w:val="001D0FCE"/>
    <w:rsid w:val="001D1BD2"/>
    <w:rsid w:val="001D55C1"/>
    <w:rsid w:val="001E0248"/>
    <w:rsid w:val="001E02BE"/>
    <w:rsid w:val="001E271F"/>
    <w:rsid w:val="001E346C"/>
    <w:rsid w:val="001E3B37"/>
    <w:rsid w:val="001F241B"/>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0DFD"/>
    <w:rsid w:val="00247CB5"/>
    <w:rsid w:val="00247E1E"/>
    <w:rsid w:val="00252799"/>
    <w:rsid w:val="00263398"/>
    <w:rsid w:val="00263B99"/>
    <w:rsid w:val="002647D8"/>
    <w:rsid w:val="00266F06"/>
    <w:rsid w:val="00275BCF"/>
    <w:rsid w:val="00280613"/>
    <w:rsid w:val="00284A3D"/>
    <w:rsid w:val="00291E36"/>
    <w:rsid w:val="00292257"/>
    <w:rsid w:val="002964E4"/>
    <w:rsid w:val="002A0823"/>
    <w:rsid w:val="002A31C7"/>
    <w:rsid w:val="002A54E0"/>
    <w:rsid w:val="002B1595"/>
    <w:rsid w:val="002B191D"/>
    <w:rsid w:val="002B2E83"/>
    <w:rsid w:val="002D0AF6"/>
    <w:rsid w:val="002D6408"/>
    <w:rsid w:val="002E6696"/>
    <w:rsid w:val="002F164D"/>
    <w:rsid w:val="003021BC"/>
    <w:rsid w:val="00306206"/>
    <w:rsid w:val="003112F7"/>
    <w:rsid w:val="00317D85"/>
    <w:rsid w:val="00327C56"/>
    <w:rsid w:val="003315A1"/>
    <w:rsid w:val="003373EC"/>
    <w:rsid w:val="00342FF4"/>
    <w:rsid w:val="00344645"/>
    <w:rsid w:val="00344E5A"/>
    <w:rsid w:val="00346148"/>
    <w:rsid w:val="003669EA"/>
    <w:rsid w:val="003706CC"/>
    <w:rsid w:val="00376CAB"/>
    <w:rsid w:val="00377710"/>
    <w:rsid w:val="00393E62"/>
    <w:rsid w:val="003A25F5"/>
    <w:rsid w:val="003A2D8E"/>
    <w:rsid w:val="003A7CE6"/>
    <w:rsid w:val="003C0977"/>
    <w:rsid w:val="003C20E4"/>
    <w:rsid w:val="003D6342"/>
    <w:rsid w:val="003E6F90"/>
    <w:rsid w:val="003E733B"/>
    <w:rsid w:val="003E73ED"/>
    <w:rsid w:val="003F5D0F"/>
    <w:rsid w:val="0040039B"/>
    <w:rsid w:val="00414101"/>
    <w:rsid w:val="004219CF"/>
    <w:rsid w:val="004234F0"/>
    <w:rsid w:val="00427EEC"/>
    <w:rsid w:val="00433DDB"/>
    <w:rsid w:val="00435A29"/>
    <w:rsid w:val="00435BDC"/>
    <w:rsid w:val="00437619"/>
    <w:rsid w:val="0045138D"/>
    <w:rsid w:val="00456229"/>
    <w:rsid w:val="004642E1"/>
    <w:rsid w:val="004656FB"/>
    <w:rsid w:val="00465A1E"/>
    <w:rsid w:val="004665A9"/>
    <w:rsid w:val="0046797E"/>
    <w:rsid w:val="00474CFA"/>
    <w:rsid w:val="00476CC5"/>
    <w:rsid w:val="0049445A"/>
    <w:rsid w:val="004957D9"/>
    <w:rsid w:val="00495E8E"/>
    <w:rsid w:val="004A1F58"/>
    <w:rsid w:val="004A2A63"/>
    <w:rsid w:val="004B210C"/>
    <w:rsid w:val="004B3091"/>
    <w:rsid w:val="004B6170"/>
    <w:rsid w:val="004B7BAF"/>
    <w:rsid w:val="004C6008"/>
    <w:rsid w:val="004D405F"/>
    <w:rsid w:val="004E4F4F"/>
    <w:rsid w:val="004E6789"/>
    <w:rsid w:val="004F61E3"/>
    <w:rsid w:val="00502E10"/>
    <w:rsid w:val="0050354E"/>
    <w:rsid w:val="005042D2"/>
    <w:rsid w:val="0050628C"/>
    <w:rsid w:val="0051015C"/>
    <w:rsid w:val="00510C4E"/>
    <w:rsid w:val="00516CF1"/>
    <w:rsid w:val="005216EC"/>
    <w:rsid w:val="00531AE9"/>
    <w:rsid w:val="00536188"/>
    <w:rsid w:val="0054357B"/>
    <w:rsid w:val="00544EF5"/>
    <w:rsid w:val="00546EEC"/>
    <w:rsid w:val="00550A66"/>
    <w:rsid w:val="00567EC7"/>
    <w:rsid w:val="00570013"/>
    <w:rsid w:val="005753EC"/>
    <w:rsid w:val="0057633D"/>
    <w:rsid w:val="005801A2"/>
    <w:rsid w:val="005952A5"/>
    <w:rsid w:val="005A01B3"/>
    <w:rsid w:val="005A33A1"/>
    <w:rsid w:val="005B217D"/>
    <w:rsid w:val="005C385F"/>
    <w:rsid w:val="005C7C26"/>
    <w:rsid w:val="005D7CD2"/>
    <w:rsid w:val="005E1AC6"/>
    <w:rsid w:val="005E3F2B"/>
    <w:rsid w:val="005E405A"/>
    <w:rsid w:val="005F0481"/>
    <w:rsid w:val="005F6EF1"/>
    <w:rsid w:val="005F6F1B"/>
    <w:rsid w:val="006038BC"/>
    <w:rsid w:val="00615995"/>
    <w:rsid w:val="00616155"/>
    <w:rsid w:val="00624B33"/>
    <w:rsid w:val="0062612D"/>
    <w:rsid w:val="0063041A"/>
    <w:rsid w:val="00630AA2"/>
    <w:rsid w:val="00631D8B"/>
    <w:rsid w:val="00646707"/>
    <w:rsid w:val="00647AB6"/>
    <w:rsid w:val="006570D7"/>
    <w:rsid w:val="00657F7E"/>
    <w:rsid w:val="00662E58"/>
    <w:rsid w:val="00663420"/>
    <w:rsid w:val="006637F2"/>
    <w:rsid w:val="006642A5"/>
    <w:rsid w:val="00664DCF"/>
    <w:rsid w:val="0069348F"/>
    <w:rsid w:val="00696C38"/>
    <w:rsid w:val="006A0E5C"/>
    <w:rsid w:val="006A48E6"/>
    <w:rsid w:val="006C5D39"/>
    <w:rsid w:val="006C6F00"/>
    <w:rsid w:val="006D0EE9"/>
    <w:rsid w:val="006D6D9B"/>
    <w:rsid w:val="006D6EFA"/>
    <w:rsid w:val="006E0EE7"/>
    <w:rsid w:val="006E2810"/>
    <w:rsid w:val="006E5139"/>
    <w:rsid w:val="006E5417"/>
    <w:rsid w:val="006F0794"/>
    <w:rsid w:val="006F2822"/>
    <w:rsid w:val="006F5034"/>
    <w:rsid w:val="006F6E01"/>
    <w:rsid w:val="006F71A4"/>
    <w:rsid w:val="006F7528"/>
    <w:rsid w:val="007023DE"/>
    <w:rsid w:val="00712F60"/>
    <w:rsid w:val="00720E3B"/>
    <w:rsid w:val="00732178"/>
    <w:rsid w:val="0073249C"/>
    <w:rsid w:val="00735925"/>
    <w:rsid w:val="0074393F"/>
    <w:rsid w:val="00745F6B"/>
    <w:rsid w:val="0075175B"/>
    <w:rsid w:val="0075585E"/>
    <w:rsid w:val="00770571"/>
    <w:rsid w:val="007768FF"/>
    <w:rsid w:val="00777075"/>
    <w:rsid w:val="007824D3"/>
    <w:rsid w:val="00787DFD"/>
    <w:rsid w:val="0079086B"/>
    <w:rsid w:val="00796C14"/>
    <w:rsid w:val="00796EE3"/>
    <w:rsid w:val="007A14ED"/>
    <w:rsid w:val="007A7D29"/>
    <w:rsid w:val="007B4AB8"/>
    <w:rsid w:val="007C081C"/>
    <w:rsid w:val="007C7983"/>
    <w:rsid w:val="007D1181"/>
    <w:rsid w:val="007E01A3"/>
    <w:rsid w:val="007E7AAE"/>
    <w:rsid w:val="007F1F8B"/>
    <w:rsid w:val="007F6205"/>
    <w:rsid w:val="007F67A1"/>
    <w:rsid w:val="00801A7B"/>
    <w:rsid w:val="00811C05"/>
    <w:rsid w:val="0081626F"/>
    <w:rsid w:val="008206C8"/>
    <w:rsid w:val="0085472D"/>
    <w:rsid w:val="0086387C"/>
    <w:rsid w:val="00874A6C"/>
    <w:rsid w:val="00876C65"/>
    <w:rsid w:val="00882F72"/>
    <w:rsid w:val="008936AD"/>
    <w:rsid w:val="00893DC4"/>
    <w:rsid w:val="008A147E"/>
    <w:rsid w:val="008A42F1"/>
    <w:rsid w:val="008A4B4C"/>
    <w:rsid w:val="008B4656"/>
    <w:rsid w:val="008C239F"/>
    <w:rsid w:val="008D0139"/>
    <w:rsid w:val="008E290C"/>
    <w:rsid w:val="008E480C"/>
    <w:rsid w:val="008F526A"/>
    <w:rsid w:val="008F64AF"/>
    <w:rsid w:val="00904D9F"/>
    <w:rsid w:val="00905674"/>
    <w:rsid w:val="00907757"/>
    <w:rsid w:val="00916CDB"/>
    <w:rsid w:val="009204F4"/>
    <w:rsid w:val="009212B0"/>
    <w:rsid w:val="00921970"/>
    <w:rsid w:val="00921FA1"/>
    <w:rsid w:val="009234A5"/>
    <w:rsid w:val="009234F8"/>
    <w:rsid w:val="00925CE2"/>
    <w:rsid w:val="00933453"/>
    <w:rsid w:val="009336F7"/>
    <w:rsid w:val="0093636C"/>
    <w:rsid w:val="009374A7"/>
    <w:rsid w:val="00937F03"/>
    <w:rsid w:val="0094264A"/>
    <w:rsid w:val="00955F6D"/>
    <w:rsid w:val="00977C16"/>
    <w:rsid w:val="00981566"/>
    <w:rsid w:val="00982364"/>
    <w:rsid w:val="0098551D"/>
    <w:rsid w:val="00985DCB"/>
    <w:rsid w:val="0099518F"/>
    <w:rsid w:val="009A523D"/>
    <w:rsid w:val="009B02A1"/>
    <w:rsid w:val="009B3361"/>
    <w:rsid w:val="009B7F3F"/>
    <w:rsid w:val="009C66B9"/>
    <w:rsid w:val="009D4C50"/>
    <w:rsid w:val="009D7CE6"/>
    <w:rsid w:val="009E448E"/>
    <w:rsid w:val="009F496B"/>
    <w:rsid w:val="009F7C6E"/>
    <w:rsid w:val="00A01439"/>
    <w:rsid w:val="00A02E61"/>
    <w:rsid w:val="00A05CFF"/>
    <w:rsid w:val="00A13048"/>
    <w:rsid w:val="00A251CD"/>
    <w:rsid w:val="00A46843"/>
    <w:rsid w:val="00A56B97"/>
    <w:rsid w:val="00A6093D"/>
    <w:rsid w:val="00A703CE"/>
    <w:rsid w:val="00A72017"/>
    <w:rsid w:val="00A767DC"/>
    <w:rsid w:val="00A76A6D"/>
    <w:rsid w:val="00A83253"/>
    <w:rsid w:val="00A87219"/>
    <w:rsid w:val="00A979D6"/>
    <w:rsid w:val="00AA637C"/>
    <w:rsid w:val="00AA6E84"/>
    <w:rsid w:val="00AB1A1C"/>
    <w:rsid w:val="00AB3456"/>
    <w:rsid w:val="00AB4721"/>
    <w:rsid w:val="00AB7405"/>
    <w:rsid w:val="00AD05A8"/>
    <w:rsid w:val="00AE341B"/>
    <w:rsid w:val="00AE4EA0"/>
    <w:rsid w:val="00AF51C5"/>
    <w:rsid w:val="00AF633C"/>
    <w:rsid w:val="00B01905"/>
    <w:rsid w:val="00B07CA7"/>
    <w:rsid w:val="00B1279A"/>
    <w:rsid w:val="00B3640F"/>
    <w:rsid w:val="00B4194A"/>
    <w:rsid w:val="00B437E8"/>
    <w:rsid w:val="00B51F2C"/>
    <w:rsid w:val="00B5222E"/>
    <w:rsid w:val="00B53179"/>
    <w:rsid w:val="00B532EA"/>
    <w:rsid w:val="00B57A23"/>
    <w:rsid w:val="00B600CD"/>
    <w:rsid w:val="00B61750"/>
    <w:rsid w:val="00B61C96"/>
    <w:rsid w:val="00B73A2A"/>
    <w:rsid w:val="00B75A51"/>
    <w:rsid w:val="00B827C6"/>
    <w:rsid w:val="00B90BE9"/>
    <w:rsid w:val="00B94B06"/>
    <w:rsid w:val="00B94C28"/>
    <w:rsid w:val="00BC10BA"/>
    <w:rsid w:val="00BC5AFD"/>
    <w:rsid w:val="00C00DDE"/>
    <w:rsid w:val="00C04F43"/>
    <w:rsid w:val="00C05271"/>
    <w:rsid w:val="00C0609D"/>
    <w:rsid w:val="00C115AB"/>
    <w:rsid w:val="00C11670"/>
    <w:rsid w:val="00C12768"/>
    <w:rsid w:val="00C26CCB"/>
    <w:rsid w:val="00C30249"/>
    <w:rsid w:val="00C35F74"/>
    <w:rsid w:val="00C3723B"/>
    <w:rsid w:val="00C42466"/>
    <w:rsid w:val="00C439AC"/>
    <w:rsid w:val="00C606C9"/>
    <w:rsid w:val="00C655E2"/>
    <w:rsid w:val="00C73AA5"/>
    <w:rsid w:val="00C80288"/>
    <w:rsid w:val="00C836F0"/>
    <w:rsid w:val="00C84003"/>
    <w:rsid w:val="00C8581D"/>
    <w:rsid w:val="00C90650"/>
    <w:rsid w:val="00C97D78"/>
    <w:rsid w:val="00CC2AAE"/>
    <w:rsid w:val="00CC5A42"/>
    <w:rsid w:val="00CC6059"/>
    <w:rsid w:val="00CD0EAB"/>
    <w:rsid w:val="00CD1E60"/>
    <w:rsid w:val="00CE5E02"/>
    <w:rsid w:val="00CF34DB"/>
    <w:rsid w:val="00CF3917"/>
    <w:rsid w:val="00CF558F"/>
    <w:rsid w:val="00CF6516"/>
    <w:rsid w:val="00D010C0"/>
    <w:rsid w:val="00D06B8B"/>
    <w:rsid w:val="00D073E2"/>
    <w:rsid w:val="00D1511D"/>
    <w:rsid w:val="00D1555A"/>
    <w:rsid w:val="00D446EC"/>
    <w:rsid w:val="00D51BF0"/>
    <w:rsid w:val="00D531DB"/>
    <w:rsid w:val="00D55942"/>
    <w:rsid w:val="00D61B3D"/>
    <w:rsid w:val="00D807BF"/>
    <w:rsid w:val="00D81CC3"/>
    <w:rsid w:val="00D8231B"/>
    <w:rsid w:val="00D82FCC"/>
    <w:rsid w:val="00D84DF5"/>
    <w:rsid w:val="00DA17FC"/>
    <w:rsid w:val="00DA7887"/>
    <w:rsid w:val="00DB2C26"/>
    <w:rsid w:val="00DB45C3"/>
    <w:rsid w:val="00DD02F4"/>
    <w:rsid w:val="00DD3CD6"/>
    <w:rsid w:val="00DD6622"/>
    <w:rsid w:val="00DE1C7C"/>
    <w:rsid w:val="00DE5FED"/>
    <w:rsid w:val="00DE6B43"/>
    <w:rsid w:val="00E041C6"/>
    <w:rsid w:val="00E11923"/>
    <w:rsid w:val="00E207D8"/>
    <w:rsid w:val="00E262D4"/>
    <w:rsid w:val="00E36250"/>
    <w:rsid w:val="00E36841"/>
    <w:rsid w:val="00E47F2D"/>
    <w:rsid w:val="00E51F4D"/>
    <w:rsid w:val="00E54511"/>
    <w:rsid w:val="00E56E1B"/>
    <w:rsid w:val="00E60EDC"/>
    <w:rsid w:val="00E61DAC"/>
    <w:rsid w:val="00E627D5"/>
    <w:rsid w:val="00E71D8F"/>
    <w:rsid w:val="00E72B80"/>
    <w:rsid w:val="00E75FE3"/>
    <w:rsid w:val="00E86C4C"/>
    <w:rsid w:val="00E879BB"/>
    <w:rsid w:val="00E907A3"/>
    <w:rsid w:val="00E97484"/>
    <w:rsid w:val="00EA5AE0"/>
    <w:rsid w:val="00EB56E1"/>
    <w:rsid w:val="00EB7AB1"/>
    <w:rsid w:val="00EC32BD"/>
    <w:rsid w:val="00ED536F"/>
    <w:rsid w:val="00EE0EF5"/>
    <w:rsid w:val="00EE24D6"/>
    <w:rsid w:val="00EE5517"/>
    <w:rsid w:val="00EE7CD8"/>
    <w:rsid w:val="00EF37F6"/>
    <w:rsid w:val="00EF48CC"/>
    <w:rsid w:val="00EF4DAE"/>
    <w:rsid w:val="00F00801"/>
    <w:rsid w:val="00F02C8C"/>
    <w:rsid w:val="00F2488D"/>
    <w:rsid w:val="00F519D5"/>
    <w:rsid w:val="00F601A0"/>
    <w:rsid w:val="00F712E9"/>
    <w:rsid w:val="00F73032"/>
    <w:rsid w:val="00F82AD3"/>
    <w:rsid w:val="00F83D89"/>
    <w:rsid w:val="00F848FC"/>
    <w:rsid w:val="00F906F6"/>
    <w:rsid w:val="00F9282A"/>
    <w:rsid w:val="00F96BAD"/>
    <w:rsid w:val="00FA139D"/>
    <w:rsid w:val="00FA5B50"/>
    <w:rsid w:val="00FA60F5"/>
    <w:rsid w:val="00FB0E84"/>
    <w:rsid w:val="00FB382F"/>
    <w:rsid w:val="00FB705C"/>
    <w:rsid w:val="00FC2405"/>
    <w:rsid w:val="00FC2BA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D8231B"/>
    <w:pPr>
      <w:ind w:left="720"/>
      <w:contextualSpacing/>
      <w:textAlignment w:val="auto"/>
    </w:pPr>
    <w:rPr>
      <w:rFonts w:eastAsia="SimSun"/>
    </w:rPr>
  </w:style>
  <w:style w:type="character" w:customStyle="1" w:styleId="ListParagraphChar">
    <w:name w:val="List Paragraph Char"/>
    <w:link w:val="ListParagraph"/>
    <w:uiPriority w:val="34"/>
    <w:rsid w:val="00D8231B"/>
    <w:rPr>
      <w:rFonts w:eastAsia="SimSun"/>
      <w:sz w:val="22"/>
    </w:rPr>
  </w:style>
  <w:style w:type="character" w:customStyle="1" w:styleId="UnresolvedMention1">
    <w:name w:val="Unresolved Mention1"/>
    <w:basedOn w:val="DefaultParagraphFont"/>
    <w:uiPriority w:val="99"/>
    <w:semiHidden/>
    <w:unhideWhenUsed/>
    <w:rsid w:val="002D6408"/>
    <w:rPr>
      <w:color w:val="605E5C"/>
      <w:shd w:val="clear" w:color="auto" w:fill="E1DFDD"/>
    </w:rPr>
  </w:style>
  <w:style w:type="character" w:styleId="UnresolvedMention">
    <w:name w:val="Unresolved Mention"/>
    <w:basedOn w:val="DefaultParagraphFont"/>
    <w:uiPriority w:val="99"/>
    <w:semiHidden/>
    <w:unhideWhenUsed/>
    <w:rsid w:val="001D55C1"/>
    <w:rPr>
      <w:color w:val="605E5C"/>
      <w:shd w:val="clear" w:color="auto" w:fill="E1DFDD"/>
    </w:rPr>
  </w:style>
  <w:style w:type="paragraph" w:styleId="BodyText">
    <w:name w:val="Body Text"/>
    <w:basedOn w:val="Normal"/>
    <w:link w:val="BodyTextChar"/>
    <w:qFormat/>
    <w:rsid w:val="00510C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after="120"/>
      <w:jc w:val="left"/>
      <w:textAlignment w:val="auto"/>
    </w:pPr>
    <w:rPr>
      <w:rFonts w:eastAsia="KaiTi"/>
      <w:snapToGrid w:val="0"/>
      <w:sz w:val="21"/>
      <w:lang w:val="en-GB" w:eastAsia="zh-CN"/>
    </w:rPr>
  </w:style>
  <w:style w:type="character" w:customStyle="1" w:styleId="BodyTextChar">
    <w:name w:val="Body Text Char"/>
    <w:basedOn w:val="DefaultParagraphFont"/>
    <w:link w:val="BodyText"/>
    <w:qFormat/>
    <w:rsid w:val="00510C4E"/>
    <w:rPr>
      <w:rFonts w:eastAsia="KaiTi"/>
      <w:snapToGrid w:val="0"/>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8700">
      <w:bodyDiv w:val="1"/>
      <w:marLeft w:val="0"/>
      <w:marRight w:val="0"/>
      <w:marTop w:val="0"/>
      <w:marBottom w:val="0"/>
      <w:divBdr>
        <w:top w:val="none" w:sz="0" w:space="0" w:color="auto"/>
        <w:left w:val="none" w:sz="0" w:space="0" w:color="auto"/>
        <w:bottom w:val="none" w:sz="0" w:space="0" w:color="auto"/>
        <w:right w:val="none" w:sz="0" w:space="0" w:color="auto"/>
      </w:divBdr>
    </w:div>
    <w:div w:id="77943894">
      <w:bodyDiv w:val="1"/>
      <w:marLeft w:val="0"/>
      <w:marRight w:val="0"/>
      <w:marTop w:val="0"/>
      <w:marBottom w:val="0"/>
      <w:divBdr>
        <w:top w:val="none" w:sz="0" w:space="0" w:color="auto"/>
        <w:left w:val="none" w:sz="0" w:space="0" w:color="auto"/>
        <w:bottom w:val="none" w:sz="0" w:space="0" w:color="auto"/>
        <w:right w:val="none" w:sz="0" w:space="0" w:color="auto"/>
      </w:divBdr>
    </w:div>
    <w:div w:id="93211710">
      <w:bodyDiv w:val="1"/>
      <w:marLeft w:val="0"/>
      <w:marRight w:val="0"/>
      <w:marTop w:val="0"/>
      <w:marBottom w:val="0"/>
      <w:divBdr>
        <w:top w:val="none" w:sz="0" w:space="0" w:color="auto"/>
        <w:left w:val="none" w:sz="0" w:space="0" w:color="auto"/>
        <w:bottom w:val="none" w:sz="0" w:space="0" w:color="auto"/>
        <w:right w:val="none" w:sz="0" w:space="0" w:color="auto"/>
      </w:divBdr>
    </w:div>
    <w:div w:id="355742070">
      <w:bodyDiv w:val="1"/>
      <w:marLeft w:val="0"/>
      <w:marRight w:val="0"/>
      <w:marTop w:val="0"/>
      <w:marBottom w:val="0"/>
      <w:divBdr>
        <w:top w:val="none" w:sz="0" w:space="0" w:color="auto"/>
        <w:left w:val="none" w:sz="0" w:space="0" w:color="auto"/>
        <w:bottom w:val="none" w:sz="0" w:space="0" w:color="auto"/>
        <w:right w:val="none" w:sz="0" w:space="0" w:color="auto"/>
      </w:divBdr>
    </w:div>
    <w:div w:id="491333571">
      <w:bodyDiv w:val="1"/>
      <w:marLeft w:val="0"/>
      <w:marRight w:val="0"/>
      <w:marTop w:val="0"/>
      <w:marBottom w:val="0"/>
      <w:divBdr>
        <w:top w:val="none" w:sz="0" w:space="0" w:color="auto"/>
        <w:left w:val="none" w:sz="0" w:space="0" w:color="auto"/>
        <w:bottom w:val="none" w:sz="0" w:space="0" w:color="auto"/>
        <w:right w:val="none" w:sz="0" w:space="0" w:color="auto"/>
      </w:divBdr>
    </w:div>
    <w:div w:id="545487709">
      <w:bodyDiv w:val="1"/>
      <w:marLeft w:val="0"/>
      <w:marRight w:val="0"/>
      <w:marTop w:val="0"/>
      <w:marBottom w:val="0"/>
      <w:divBdr>
        <w:top w:val="none" w:sz="0" w:space="0" w:color="auto"/>
        <w:left w:val="none" w:sz="0" w:space="0" w:color="auto"/>
        <w:bottom w:val="none" w:sz="0" w:space="0" w:color="auto"/>
        <w:right w:val="none" w:sz="0" w:space="0" w:color="auto"/>
      </w:divBdr>
    </w:div>
    <w:div w:id="695473333">
      <w:bodyDiv w:val="1"/>
      <w:marLeft w:val="0"/>
      <w:marRight w:val="0"/>
      <w:marTop w:val="0"/>
      <w:marBottom w:val="0"/>
      <w:divBdr>
        <w:top w:val="none" w:sz="0" w:space="0" w:color="auto"/>
        <w:left w:val="none" w:sz="0" w:space="0" w:color="auto"/>
        <w:bottom w:val="none" w:sz="0" w:space="0" w:color="auto"/>
        <w:right w:val="none" w:sz="0" w:space="0" w:color="auto"/>
      </w:divBdr>
    </w:div>
    <w:div w:id="1504083449">
      <w:bodyDiv w:val="1"/>
      <w:marLeft w:val="0"/>
      <w:marRight w:val="0"/>
      <w:marTop w:val="0"/>
      <w:marBottom w:val="0"/>
      <w:divBdr>
        <w:top w:val="none" w:sz="0" w:space="0" w:color="auto"/>
        <w:left w:val="none" w:sz="0" w:space="0" w:color="auto"/>
        <w:bottom w:val="none" w:sz="0" w:space="0" w:color="auto"/>
        <w:right w:val="none" w:sz="0" w:space="0" w:color="auto"/>
      </w:divBdr>
    </w:div>
    <w:div w:id="15953590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acek.k@tcl.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ianyu.dong@tcl.com" TargetMode="External"/><Relationship Id="rId17" Type="http://schemas.openxmlformats.org/officeDocument/2006/relationships/hyperlink" Target="https://vcgit.hhi.fraunhofer.de/ecm/ECM/-/tree/ECM-14.0"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sily.rufitskiy@tcl.com"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alexey.filippov@tc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hongdong.qin@tc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70453-6A7C-4379-AB8D-61BAD1B07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4</Pages>
  <Words>1313</Words>
  <Characters>7489</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alexey.filippov</cp:lastModifiedBy>
  <cp:revision>110</cp:revision>
  <cp:lastPrinted>1900-01-01T08:00:00Z</cp:lastPrinted>
  <dcterms:created xsi:type="dcterms:W3CDTF">2024-07-31T10:42:00Z</dcterms:created>
  <dcterms:modified xsi:type="dcterms:W3CDTF">2024-11-03T10:19:00Z</dcterms:modified>
</cp:coreProperties>
</file>