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35th Meeting</w:t>
            </w:r>
            <w:r>
              <w:rPr>
                <w:lang w:val="en-CA"/>
              </w:rPr>
              <w:t>, Sapporo, JP, 12–19 July 2024</w:t>
            </w:r>
          </w:p>
        </w:tc>
        <w:tc>
          <w:tcPr>
            <w:tcW w:w="3060" w:type="dxa"/>
          </w:tcPr>
          <w:p>
            <w:pPr>
              <w:tabs>
                <w:tab w:val="left" w:pos="7200"/>
              </w:tabs>
              <w:rPr>
                <w:rFonts w:hint="eastAsia" w:eastAsia="宋体"/>
                <w:u w:val="single"/>
                <w:lang w:val="en-US" w:eastAsia="zh-CN"/>
              </w:rPr>
            </w:pPr>
            <w:r>
              <w:rPr>
                <w:lang w:val="en-CA"/>
              </w:rPr>
              <w:t>Document: JVET-AI</w:t>
            </w:r>
            <w:r>
              <w:rPr>
                <w:rFonts w:hint="eastAsia" w:eastAsia="宋体"/>
                <w:lang w:val="en-US" w:eastAsia="zh-CN"/>
              </w:rPr>
              <w:t>0294</w:t>
            </w:r>
            <w:r>
              <w:rPr>
                <w:lang w:val="en-CA"/>
              </w:rPr>
              <w:t>-v</w:t>
            </w:r>
            <w:r>
              <w:rPr>
                <w:rFonts w:hint="eastAsia" w:eastAsia="宋体"/>
                <w:lang w:val="en-US" w:eastAsia="zh-CN"/>
              </w:rPr>
              <w:t>1</w:t>
            </w:r>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Crosscheck of JVET-AI0</w:t>
            </w:r>
            <w:r>
              <w:rPr>
                <w:rFonts w:hint="eastAsia" w:eastAsia="宋体"/>
                <w:b/>
                <w:szCs w:val="22"/>
                <w:lang w:val="en-US" w:eastAsia="zh-CN"/>
              </w:rPr>
              <w:t>088</w:t>
            </w:r>
            <w:r>
              <w:rPr>
                <w:b/>
                <w:szCs w:val="22"/>
                <w:lang w:val="en-CA"/>
              </w:rPr>
              <w:t xml:space="preserve"> (</w:t>
            </w:r>
            <w:r>
              <w:rPr>
                <w:rFonts w:hint="eastAsia"/>
                <w:b/>
                <w:szCs w:val="22"/>
                <w:lang w:val="en-CA"/>
              </w:rPr>
              <w:t>EE2-related: Block Vector-Guided Chain Motion Vector Prediction</w:t>
            </w:r>
            <w:r>
              <w:rPr>
                <w:b/>
                <w:szCs w:val="22"/>
                <w:lang w:val="en-CA"/>
              </w:rPr>
              <w: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Report</w:t>
            </w:r>
          </w:p>
        </w:tc>
      </w:tr>
      <w:tr>
        <w:tblPrEx>
          <w:tblCellMar>
            <w:top w:w="0" w:type="dxa"/>
            <w:left w:w="108" w:type="dxa"/>
            <w:bottom w:w="0" w:type="dxa"/>
            <w:right w:w="108" w:type="dxa"/>
          </w:tblCellMar>
        </w:tblPrEx>
        <w:tc>
          <w:tcPr>
            <w:tcW w:w="1458" w:type="dxa"/>
          </w:tcPr>
          <w:p>
            <w:pPr>
              <w:spacing w:before="60" w:after="60"/>
              <w:rPr>
                <w:rFonts w:hint="eastAsia" w:eastAsia="宋体"/>
                <w:i/>
                <w:szCs w:val="22"/>
                <w:lang w:val="en-CA" w:eastAsia="zh-CN"/>
              </w:rPr>
            </w:pPr>
            <w:r>
              <w:rPr>
                <w:i/>
                <w:szCs w:val="22"/>
                <w:lang w:val="en-CA"/>
              </w:rPr>
              <w:t>Author(s) or</w:t>
            </w:r>
          </w:p>
          <w:p>
            <w:pPr>
              <w:spacing w:before="60" w:after="60"/>
              <w:rPr>
                <w:i/>
                <w:szCs w:val="22"/>
                <w:lang w:val="en-CA"/>
              </w:rPr>
            </w:pPr>
            <w:r>
              <w:rPr>
                <w:i/>
                <w:szCs w:val="22"/>
                <w:lang w:val="en-CA"/>
              </w:rPr>
              <w:t>Contact(s):</w:t>
            </w:r>
          </w:p>
        </w:tc>
        <w:tc>
          <w:tcPr>
            <w:tcW w:w="3942" w:type="dxa"/>
          </w:tcPr>
          <w:p>
            <w:pPr>
              <w:spacing w:before="60" w:after="60"/>
              <w:rPr>
                <w:rFonts w:hint="eastAsia" w:eastAsia="宋体"/>
                <w:szCs w:val="22"/>
                <w:lang w:val="en-US" w:eastAsia="zh-CN"/>
              </w:rPr>
            </w:pPr>
            <w:r>
              <w:rPr>
                <w:rFonts w:hint="eastAsia" w:eastAsia="宋体"/>
                <w:szCs w:val="22"/>
                <w:lang w:val="en-US" w:eastAsia="zh-CN"/>
              </w:rPr>
              <w:t>Zhaoyu Li</w:t>
            </w:r>
          </w:p>
          <w:p>
            <w:pPr>
              <w:spacing w:before="60" w:after="60"/>
              <w:rPr>
                <w:rFonts w:hint="default" w:eastAsia="宋体"/>
                <w:szCs w:val="22"/>
                <w:lang w:val="en-US" w:eastAsia="zh-CN"/>
              </w:rPr>
            </w:pPr>
            <w:r>
              <w:rPr>
                <w:rFonts w:hint="eastAsia" w:eastAsia="宋体"/>
                <w:szCs w:val="22"/>
                <w:lang w:val="en-US" w:eastAsia="zh-CN"/>
              </w:rPr>
              <w:t>Jiaye Fu</w:t>
            </w:r>
          </w:p>
        </w:tc>
        <w:tc>
          <w:tcPr>
            <w:tcW w:w="900" w:type="dxa"/>
          </w:tcPr>
          <w:p>
            <w:pPr>
              <w:spacing w:before="60" w:after="60"/>
              <w:rPr>
                <w:rFonts w:hint="eastAsia" w:eastAsia="宋体"/>
                <w:szCs w:val="22"/>
                <w:lang w:val="en-CA" w:eastAsia="zh-CN"/>
              </w:rPr>
            </w:pPr>
          </w:p>
          <w:p>
            <w:pPr>
              <w:spacing w:before="60" w:after="60"/>
              <w:rPr>
                <w:rFonts w:hint="eastAsia" w:eastAsia="宋体"/>
                <w:szCs w:val="22"/>
                <w:lang w:val="en-CA" w:eastAsia="zh-CN"/>
              </w:rPr>
            </w:pPr>
            <w:r>
              <w:rPr>
                <w:szCs w:val="22"/>
                <w:lang w:val="en-CA"/>
              </w:rPr>
              <w:t>Tel:</w:t>
            </w:r>
          </w:p>
          <w:p>
            <w:pPr>
              <w:spacing w:before="60" w:after="60"/>
              <w:rPr>
                <w:szCs w:val="22"/>
                <w:lang w:val="en-CA"/>
              </w:rPr>
            </w:pPr>
            <w:r>
              <w:rPr>
                <w:szCs w:val="22"/>
                <w:lang w:val="en-CA"/>
              </w:rPr>
              <w:t>Email:</w:t>
            </w:r>
          </w:p>
        </w:tc>
        <w:tc>
          <w:tcPr>
            <w:tcW w:w="3060" w:type="dxa"/>
          </w:tcPr>
          <w:p>
            <w:pPr>
              <w:spacing w:before="60" w:after="60"/>
              <w:rPr>
                <w:rFonts w:hint="eastAsia" w:eastAsia="宋体"/>
                <w:szCs w:val="22"/>
                <w:lang w:val="en-US" w:eastAsia="zh-CN"/>
              </w:rPr>
            </w:pPr>
          </w:p>
          <w:p>
            <w:pPr>
              <w:spacing w:before="60" w:after="60"/>
              <w:rPr>
                <w:rFonts w:hint="default" w:eastAsia="宋体"/>
                <w:szCs w:val="22"/>
                <w:lang w:val="en-US" w:eastAsia="zh-CN"/>
              </w:rPr>
            </w:pPr>
            <w:r>
              <w:rPr>
                <w:rFonts w:hint="eastAsia" w:eastAsia="宋体"/>
                <w:szCs w:val="22"/>
                <w:lang w:val="en-US" w:eastAsia="zh-CN"/>
              </w:rPr>
              <w:t>zylee@stu.pku.edu.cn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rFonts w:hint="default" w:eastAsia="宋体"/>
                <w:szCs w:val="22"/>
                <w:lang w:val="en-US" w:eastAsia="zh-CN"/>
              </w:rPr>
            </w:pPr>
            <w:r>
              <w:rPr>
                <w:rFonts w:hint="eastAsia" w:eastAsia="宋体"/>
                <w:szCs w:val="22"/>
                <w:lang w:val="en-US" w:eastAsia="zh-CN"/>
              </w:rPr>
              <w:t>PKU</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szCs w:val="22"/>
        </w:rPr>
      </w:pPr>
      <w:r>
        <w:rPr>
          <w:szCs w:val="22"/>
          <w:lang w:val="en-CA"/>
        </w:rPr>
        <w:t>This contribution reports the crosscheck results of JVET-AI</w:t>
      </w:r>
      <w:r>
        <w:rPr>
          <w:lang w:val="en-CA"/>
        </w:rPr>
        <w:t>0</w:t>
      </w:r>
      <w:r>
        <w:rPr>
          <w:rFonts w:hint="eastAsia" w:eastAsia="宋体"/>
          <w:lang w:val="en-US" w:eastAsia="zh-CN"/>
        </w:rPr>
        <w:t>88[1]</w:t>
      </w:r>
      <w:r>
        <w:rPr>
          <w:szCs w:val="22"/>
          <w:lang w:val="en-CA"/>
        </w:rPr>
        <w:t xml:space="preserve">, which proposes </w:t>
      </w:r>
      <w:r>
        <w:rPr>
          <w:rFonts w:hint="eastAsia" w:eastAsia="宋体"/>
          <w:lang w:val="en-US" w:eastAsia="zh-CN"/>
        </w:rPr>
        <w:t>a block vector guided chain motion vector prediction(BVG-CMVP) candidates. In the process of deriving the merge candidate list, first construct a set of BV candidates, use these BVs as initial guide vectors to obtain BVG-CMVP, and insert them after the CMVP candidates</w:t>
      </w:r>
      <w:r>
        <w:rPr>
          <w:szCs w:val="22"/>
          <w:lang w:val="en-CA"/>
        </w:rPr>
        <w:t>. The crosschecked source code follows the description in the proposal.</w:t>
      </w:r>
    </w:p>
    <w:p>
      <w:pPr>
        <w:pStyle w:val="2"/>
        <w:rPr>
          <w:lang w:val="en-CA"/>
        </w:rPr>
      </w:pPr>
      <w:r>
        <w:rPr>
          <w:lang w:val="en-CA"/>
        </w:rPr>
        <w:t>Introduction</w:t>
      </w:r>
    </w:p>
    <w:p>
      <w:pPr>
        <w:rPr>
          <w:szCs w:val="22"/>
          <w:lang w:val="en-CA"/>
        </w:rPr>
      </w:pPr>
      <w:r>
        <w:rPr>
          <w:szCs w:val="22"/>
          <w:lang w:val="en-CA"/>
        </w:rPr>
        <w:t xml:space="preserve">Crosscheck of the </w:t>
      </w:r>
      <w:r>
        <w:rPr>
          <w:rFonts w:hint="eastAsia" w:eastAsia="宋体"/>
          <w:szCs w:val="22"/>
          <w:lang w:val="en-US" w:eastAsia="zh-CN"/>
        </w:rPr>
        <w:t xml:space="preserve">proposal </w:t>
      </w:r>
      <w:r>
        <w:rPr>
          <w:szCs w:val="22"/>
          <w:lang w:val="en-CA"/>
        </w:rPr>
        <w:t>JVET-AI</w:t>
      </w:r>
      <w:r>
        <w:rPr>
          <w:lang w:val="en-CA"/>
        </w:rPr>
        <w:t>0</w:t>
      </w:r>
      <w:r>
        <w:rPr>
          <w:rFonts w:hint="eastAsia" w:eastAsia="宋体"/>
          <w:lang w:val="en-US" w:eastAsia="zh-CN"/>
        </w:rPr>
        <w:t xml:space="preserve">88 </w:t>
      </w:r>
      <w:r>
        <w:rPr>
          <w:szCs w:val="22"/>
          <w:lang w:val="en-CA"/>
        </w:rPr>
        <w:t xml:space="preserve">and simulation results have been conducted. Inspected source code follows the description in the proposal. </w:t>
      </w:r>
    </w:p>
    <w:p>
      <w:pPr>
        <w:pStyle w:val="2"/>
        <w:rPr>
          <w:lang w:val="en-CA"/>
        </w:rPr>
      </w:pPr>
      <w:r>
        <w:rPr>
          <w:lang w:val="en-CA"/>
        </w:rPr>
        <w:t>Cross-check results</w:t>
      </w:r>
    </w:p>
    <w:p>
      <w:pPr>
        <w:rPr>
          <w:rFonts w:hint="eastAsia"/>
          <w:lang w:val="en-US" w:eastAsia="zh-CN"/>
        </w:rPr>
      </w:pPr>
      <w:r>
        <w:rPr>
          <w:lang w:val="en-CA" w:eastAsia="zh-CN"/>
        </w:rPr>
        <w:t>Simulations were performed based on JVET Common Test Conditions [</w:t>
      </w:r>
      <w:r>
        <w:rPr>
          <w:rFonts w:hint="eastAsia"/>
          <w:lang w:val="en-US" w:eastAsia="zh-CN"/>
        </w:rPr>
        <w:t>2</w:t>
      </w:r>
      <w:r>
        <w:rPr>
          <w:lang w:val="en-CA" w:eastAsia="zh-CN"/>
        </w:rPr>
        <w:t>] using RA</w:t>
      </w:r>
      <w:r>
        <w:rPr>
          <w:rFonts w:hint="eastAsia"/>
          <w:lang w:val="en-US" w:eastAsia="zh-CN"/>
        </w:rPr>
        <w:t xml:space="preserve"> and LD</w:t>
      </w:r>
      <w:r>
        <w:rPr>
          <w:lang w:val="en-CA" w:eastAsia="zh-CN"/>
        </w:rPr>
        <w:t xml:space="preserve"> configuration</w:t>
      </w:r>
      <w:r>
        <w:rPr>
          <w:rFonts w:hint="eastAsia"/>
          <w:lang w:val="en-US" w:eastAsia="zh-CN"/>
        </w:rPr>
        <w:t>s</w:t>
      </w:r>
      <w:r>
        <w:rPr>
          <w:lang w:val="en-CA" w:eastAsia="zh-CN"/>
        </w:rPr>
        <w:t>. The cross</w:t>
      </w:r>
      <w:bookmarkStart w:id="0" w:name="_GoBack"/>
      <w:bookmarkEnd w:id="0"/>
      <w:r>
        <w:rPr>
          <w:lang w:val="en-CA" w:eastAsia="zh-CN"/>
        </w:rPr>
        <w:t>check test results are shown in the following tables. Crosscheck results match with proponents results. Some deviations in runtime can be explained by the heterogeneity of the cluster used to run the simulations</w:t>
      </w:r>
      <w:r>
        <w:rPr>
          <w:rFonts w:hint="eastAsia"/>
          <w:lang w:val="en-US" w:eastAsia="zh-CN"/>
        </w:rPr>
        <w:t>.</w:t>
      </w:r>
    </w:p>
    <w:p>
      <w:pPr>
        <w:rPr>
          <w:rFonts w:hint="default"/>
          <w:lang w:val="en-US" w:eastAsia="zh-CN"/>
        </w:rPr>
      </w:pPr>
    </w:p>
    <w:tbl>
      <w:tblPr>
        <w:tblStyle w:val="15"/>
        <w:tblW w:w="797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957"/>
        <w:gridCol w:w="957"/>
        <w:gridCol w:w="957"/>
        <w:gridCol w:w="827"/>
        <w:gridCol w:w="827"/>
        <w:gridCol w:w="1207"/>
        <w:gridCol w:w="1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1106" w:type="dxa"/>
            <w:tcBorders>
              <w:top w:val="nil"/>
              <w:left w:val="nil"/>
              <w:bottom w:val="nil"/>
              <w:right w:val="nil"/>
            </w:tcBorders>
            <w:shd w:val="clear" w:color="auto" w:fill="auto"/>
            <w:noWrap/>
            <w:vAlign w:val="center"/>
          </w:tcPr>
          <w:p>
            <w:pPr>
              <w:jc w:val="center"/>
              <w:rPr>
                <w:rFonts w:hint="eastAsia" w:ascii="Arial" w:hAnsi="Arial" w:eastAsia="宋体" w:cs="Arial"/>
                <w:i w:val="0"/>
                <w:iCs w:val="0"/>
                <w:color w:val="000000"/>
                <w:sz w:val="18"/>
                <w:szCs w:val="18"/>
                <w:u w:val="none"/>
              </w:rPr>
            </w:pPr>
          </w:p>
        </w:tc>
        <w:tc>
          <w:tcPr>
            <w:tcW w:w="6873"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Random Access Main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gridSpan w:val="7"/>
            <w:tcBorders>
              <w:top w:val="nil"/>
              <w:left w:val="single" w:color="auto"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Over ECM-1</w:t>
            </w:r>
            <w:r>
              <w:rPr>
                <w:rFonts w:hint="eastAsia" w:ascii="Arial" w:hAnsi="Arial" w:eastAsia="宋体" w:cs="Arial"/>
                <w:b/>
                <w:bCs/>
                <w:i w:val="0"/>
                <w:iCs w:val="0"/>
                <w:color w:val="000000"/>
                <w:kern w:val="0"/>
                <w:sz w:val="18"/>
                <w:szCs w:val="18"/>
                <w:u w:val="none"/>
                <w:lang w:val="en-US" w:eastAsia="zh-CN" w:bidi="ar"/>
              </w:rPr>
              <w:t>3</w:t>
            </w:r>
            <w:r>
              <w:rPr>
                <w:rFonts w:hint="default" w:ascii="Arial" w:hAnsi="Arial" w:eastAsia="宋体" w:cs="Arial"/>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auto" w:sz="8"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Y</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U</w:t>
            </w:r>
          </w:p>
        </w:tc>
        <w:tc>
          <w:tcPr>
            <w:tcW w:w="0" w:type="auto"/>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EncT</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DecT</w:t>
            </w:r>
          </w:p>
        </w:tc>
        <w:tc>
          <w:tcPr>
            <w:tcW w:w="0" w:type="auto"/>
            <w:tcBorders>
              <w:top w:val="nil"/>
              <w:left w:val="single" w:color="auto" w:sz="4"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EncVmPeak</w:t>
            </w:r>
          </w:p>
        </w:tc>
        <w:tc>
          <w:tcPr>
            <w:tcW w:w="0" w:type="auto"/>
            <w:tcBorders>
              <w:top w:val="nil"/>
              <w:left w:val="single" w:color="auto" w:sz="4" w:space="0"/>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DecVmPeak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0" w:type="auto"/>
            <w:tcBorders>
              <w:top w:val="single" w:color="auto" w:sz="8" w:space="0"/>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A1</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A2</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B</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C</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E</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957" w:type="dxa"/>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957" w:type="dxa"/>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817" w:type="dxa"/>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0" w:type="auto"/>
            <w:tcBorders>
              <w:top w:val="single" w:color="auto" w:sz="8" w:space="0"/>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Overall</w:t>
            </w:r>
          </w:p>
        </w:tc>
        <w:tc>
          <w:tcPr>
            <w:tcW w:w="95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single" w:color="auto" w:sz="8" w:space="0"/>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81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81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07" w:type="dxa"/>
            <w:tcBorders>
              <w:top w:val="single" w:color="auto" w:sz="8" w:space="0"/>
              <w:left w:val="single" w:color="auto" w:sz="4"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1217" w:type="dxa"/>
            <w:tcBorders>
              <w:top w:val="single" w:color="auto" w:sz="8" w:space="0"/>
              <w:left w:val="nil"/>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0" w:type="auto"/>
            <w:tcBorders>
              <w:top w:val="single" w:color="auto" w:sz="8" w:space="0"/>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D</w:t>
            </w:r>
          </w:p>
        </w:tc>
        <w:tc>
          <w:tcPr>
            <w:tcW w:w="95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0.01%</w:t>
            </w:r>
          </w:p>
        </w:tc>
        <w:tc>
          <w:tcPr>
            <w:tcW w:w="95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-0.02%</w:t>
            </w:r>
          </w:p>
        </w:tc>
        <w:tc>
          <w:tcPr>
            <w:tcW w:w="957" w:type="dxa"/>
            <w:tcBorders>
              <w:top w:val="single" w:color="auto" w:sz="8" w:space="0"/>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0.04%</w:t>
            </w:r>
          </w:p>
        </w:tc>
        <w:tc>
          <w:tcPr>
            <w:tcW w:w="81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100.3%</w:t>
            </w:r>
          </w:p>
        </w:tc>
        <w:tc>
          <w:tcPr>
            <w:tcW w:w="817"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100.0%</w:t>
            </w: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100.0%</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F</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957" w:type="dxa"/>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#NUM!</w:t>
            </w:r>
          </w:p>
        </w:tc>
        <w:tc>
          <w:tcPr>
            <w:tcW w:w="81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#NUM!</w:t>
            </w:r>
          </w:p>
        </w:tc>
        <w:tc>
          <w:tcPr>
            <w:tcW w:w="1207"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#NUM!</w:t>
            </w:r>
          </w:p>
        </w:tc>
        <w:tc>
          <w:tcPr>
            <w:tcW w:w="1217" w:type="dxa"/>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TGM</w:t>
            </w:r>
          </w:p>
        </w:tc>
        <w:tc>
          <w:tcPr>
            <w:tcW w:w="957" w:type="dxa"/>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-0.03%</w:t>
            </w:r>
          </w:p>
        </w:tc>
        <w:tc>
          <w:tcPr>
            <w:tcW w:w="957" w:type="dxa"/>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-0.02%</w:t>
            </w:r>
          </w:p>
        </w:tc>
        <w:tc>
          <w:tcPr>
            <w:tcW w:w="95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-0.02%</w:t>
            </w:r>
          </w:p>
        </w:tc>
        <w:tc>
          <w:tcPr>
            <w:tcW w:w="817" w:type="dxa"/>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98.9%</w:t>
            </w:r>
          </w:p>
        </w:tc>
        <w:tc>
          <w:tcPr>
            <w:tcW w:w="817" w:type="dxa"/>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98.7%</w:t>
            </w:r>
          </w:p>
        </w:tc>
        <w:tc>
          <w:tcPr>
            <w:tcW w:w="1207" w:type="dxa"/>
            <w:tcBorders>
              <w:top w:val="nil"/>
              <w:left w:val="single" w:color="auto" w:sz="4"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100.0%</w:t>
            </w:r>
          </w:p>
        </w:tc>
        <w:tc>
          <w:tcPr>
            <w:tcW w:w="1217" w:type="dxa"/>
            <w:tcBorders>
              <w:top w:val="nil"/>
              <w:left w:val="nil"/>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bl>
    <w:p>
      <w:pPr>
        <w:rPr>
          <w:szCs w:val="22"/>
          <w:lang w:val="en-CA"/>
        </w:rPr>
      </w:pPr>
    </w:p>
    <w:tbl>
      <w:tblPr>
        <w:tblStyle w:val="15"/>
        <w:tblW w:w="799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959"/>
        <w:gridCol w:w="959"/>
        <w:gridCol w:w="959"/>
        <w:gridCol w:w="819"/>
        <w:gridCol w:w="829"/>
        <w:gridCol w:w="1210"/>
        <w:gridCol w:w="12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1045" w:type="dxa"/>
            <w:tcBorders>
              <w:top w:val="nil"/>
              <w:left w:val="nil"/>
              <w:bottom w:val="nil"/>
              <w:right w:val="nil"/>
            </w:tcBorders>
            <w:shd w:val="clear" w:color="auto" w:fill="auto"/>
            <w:noWrap/>
            <w:vAlign w:val="center"/>
          </w:tcPr>
          <w:p>
            <w:pPr>
              <w:jc w:val="center"/>
              <w:rPr>
                <w:rFonts w:hint="eastAsia" w:ascii="Arial" w:hAnsi="Arial" w:eastAsia="宋体" w:cs="Arial"/>
                <w:i w:val="0"/>
                <w:iCs w:val="0"/>
                <w:color w:val="000000"/>
                <w:sz w:val="18"/>
                <w:szCs w:val="18"/>
                <w:u w:val="none"/>
              </w:rPr>
            </w:pPr>
          </w:p>
        </w:tc>
        <w:tc>
          <w:tcPr>
            <w:tcW w:w="6954" w:type="dxa"/>
            <w:gridSpan w:val="7"/>
            <w:tcBorders>
              <w:top w:val="single" w:color="auto" w:sz="8" w:space="0"/>
              <w:left w:val="single" w:color="auto" w:sz="8" w:space="0"/>
              <w:bottom w:val="single" w:color="auto"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Low delay B Main 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gridSpan w:val="7"/>
            <w:tcBorders>
              <w:top w:val="nil"/>
              <w:left w:val="single" w:color="auto" w:sz="8" w:space="0"/>
              <w:bottom w:val="nil"/>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Over ECM-1</w:t>
            </w:r>
            <w:r>
              <w:rPr>
                <w:rFonts w:hint="eastAsia" w:ascii="Arial" w:hAnsi="Arial" w:eastAsia="宋体" w:cs="Arial"/>
                <w:b/>
                <w:bCs/>
                <w:i w:val="0"/>
                <w:iCs w:val="0"/>
                <w:color w:val="000000"/>
                <w:kern w:val="0"/>
                <w:sz w:val="18"/>
                <w:szCs w:val="18"/>
                <w:u w:val="none"/>
                <w:lang w:val="en-US" w:eastAsia="zh-CN" w:bidi="ar"/>
              </w:rPr>
              <w:t>3</w:t>
            </w:r>
            <w:r>
              <w:rPr>
                <w:rFonts w:hint="default" w:ascii="Arial" w:hAnsi="Arial" w:eastAsia="宋体" w:cs="Arial"/>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auto" w:sz="8"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Y</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U</w:t>
            </w:r>
          </w:p>
        </w:tc>
        <w:tc>
          <w:tcPr>
            <w:tcW w:w="0" w:type="auto"/>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EncT</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DecT</w:t>
            </w:r>
          </w:p>
        </w:tc>
        <w:tc>
          <w:tcPr>
            <w:tcW w:w="0" w:type="auto"/>
            <w:tcBorders>
              <w:top w:val="nil"/>
              <w:left w:val="single" w:color="auto" w:sz="4"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EncVmPeak</w:t>
            </w:r>
          </w:p>
        </w:tc>
        <w:tc>
          <w:tcPr>
            <w:tcW w:w="0" w:type="auto"/>
            <w:tcBorders>
              <w:top w:val="nil"/>
              <w:left w:val="single" w:color="auto" w:sz="4" w:space="0"/>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DecVmPeak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0" w:type="auto"/>
            <w:tcBorders>
              <w:top w:val="single" w:color="auto" w:sz="8" w:space="0"/>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A2</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nil"/>
            </w:tcBorders>
            <w:shd w:val="clear" w:color="auto" w:fill="auto"/>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B</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C</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-0.05%</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0.27%</w:t>
            </w:r>
          </w:p>
        </w:tc>
        <w:tc>
          <w:tcPr>
            <w:tcW w:w="0" w:type="auto"/>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0.39%</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100.2%</w:t>
            </w: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100.0%</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0" w:type="auto"/>
            <w:tcBorders>
              <w:top w:val="single" w:color="auto" w:sz="8" w:space="0"/>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Overall</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auto" w:sz="8" w:space="0"/>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auto" w:sz="8" w:space="0"/>
              <w:left w:val="single" w:color="auto" w:sz="4"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0" w:type="auto"/>
            <w:tcBorders>
              <w:top w:val="single" w:color="auto" w:sz="8" w:space="0"/>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D</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-0.04%</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-0.89%</w:t>
            </w:r>
          </w:p>
        </w:tc>
        <w:tc>
          <w:tcPr>
            <w:tcW w:w="0" w:type="auto"/>
            <w:tcBorders>
              <w:top w:val="single" w:color="auto" w:sz="8" w:space="0"/>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-0.64%</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99.4%</w:t>
            </w:r>
          </w:p>
        </w:tc>
        <w:tc>
          <w:tcPr>
            <w:tcW w:w="0" w:type="auto"/>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99.5%</w:t>
            </w: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100.0%</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0" w:type="auto"/>
            <w:tcBorders>
              <w:top w:val="nil"/>
              <w:left w:val="single" w:color="auto" w:sz="8" w:space="0"/>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F</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Class TGM</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#VALUE!</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single" w:color="auto" w:sz="4" w:space="0"/>
              <w:bottom w:val="single" w:color="auto" w:sz="8" w:space="0"/>
              <w:right w:val="nil"/>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c>
          <w:tcPr>
            <w:tcW w:w="0" w:type="auto"/>
            <w:tcBorders>
              <w:top w:val="nil"/>
              <w:left w:val="nil"/>
              <w:bottom w:val="single" w:color="auto" w:sz="8" w:space="0"/>
              <w:right w:val="single" w:color="auto" w:sz="8"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#DIV/0!</w:t>
            </w:r>
          </w:p>
        </w:tc>
      </w:tr>
    </w:tbl>
    <w:p>
      <w:pPr>
        <w:rPr>
          <w:szCs w:val="22"/>
          <w:lang w:val="en-CA"/>
        </w:rPr>
      </w:pPr>
    </w:p>
    <w:p>
      <w:pPr>
        <w:pStyle w:val="2"/>
        <w:rPr>
          <w:rFonts w:eastAsiaTheme="minorEastAsia"/>
          <w:lang w:val="en-CA"/>
        </w:rPr>
      </w:pPr>
      <w:r>
        <w:rPr>
          <w:rFonts w:eastAsiaTheme="minorEastAsia"/>
          <w:lang w:val="en-CA"/>
        </w:rPr>
        <w:t>References</w:t>
      </w:r>
    </w:p>
    <w:p>
      <w:pPr>
        <w:numPr>
          <w:ilvl w:val="0"/>
          <w:numId w:val="2"/>
        </w:numPr>
        <w:overflowPunct/>
        <w:autoSpaceDE/>
        <w:adjustRightInd/>
        <w:spacing w:before="0"/>
        <w:textAlignment w:val="auto"/>
        <w:rPr>
          <w:lang w:val="fr-FR"/>
        </w:rPr>
      </w:pPr>
      <w:r>
        <w:rPr>
          <w:rFonts w:hint="eastAsia"/>
          <w:szCs w:val="22"/>
          <w:lang w:val="fr-FR"/>
        </w:rPr>
        <w:t>M. Jia</w:t>
      </w:r>
      <w:r>
        <w:rPr>
          <w:szCs w:val="22"/>
          <w:lang w:val="fr-FR"/>
        </w:rPr>
        <w:t xml:space="preserve"> et al, </w:t>
      </w:r>
      <w:r>
        <w:rPr>
          <w:lang w:val="fr-FR"/>
        </w:rPr>
        <w:t>“</w:t>
      </w:r>
      <w:r>
        <w:rPr>
          <w:rFonts w:hint="eastAsia"/>
          <w:lang w:val="fr-FR"/>
        </w:rPr>
        <w:t>EE2-related: Block Vector-Guided Chain Motion Vector Prediction</w:t>
      </w:r>
      <w:r>
        <w:rPr>
          <w:lang w:val="fr-FR"/>
        </w:rPr>
        <w:t>” JVET-AI0</w:t>
      </w:r>
      <w:r>
        <w:rPr>
          <w:rFonts w:hint="eastAsia" w:eastAsia="宋体"/>
          <w:lang w:val="en-US" w:eastAsia="zh-CN"/>
        </w:rPr>
        <w:t>088</w:t>
      </w:r>
      <w:r>
        <w:rPr>
          <w:lang w:val="fr-FR"/>
        </w:rPr>
        <w:t>, July 2024, Sapporo.</w:t>
      </w:r>
    </w:p>
    <w:p>
      <w:pPr>
        <w:numPr>
          <w:ilvl w:val="0"/>
          <w:numId w:val="2"/>
        </w:numPr>
        <w:overflowPunct/>
        <w:autoSpaceDE/>
        <w:adjustRightInd/>
        <w:spacing w:before="0"/>
        <w:contextualSpacing/>
        <w:textAlignment w:val="auto"/>
      </w:pPr>
      <w:r>
        <w:rPr>
          <w:rFonts w:eastAsia="宋体"/>
          <w:lang w:eastAsia="ja-JP"/>
        </w:rPr>
        <w:t>M. Karczewicz and Y. Ye, "Common Test Conditions and evaluation procedures for enhanced compression tool testing," Joint Video Experts Team (JVET) of ITU-T SG 16 WP 3 and ISO/IEC JTC 1/SC 29, JVET-AF2017, 32nd Meeting, Hannover, Oct. 2023.</w:t>
      </w:r>
    </w:p>
    <w:p>
      <w:pPr>
        <w:rPr>
          <w:szCs w:val="22"/>
        </w:rPr>
      </w:pPr>
    </w:p>
    <w:p>
      <w:pPr>
        <w:pStyle w:val="2"/>
        <w:rPr>
          <w:lang w:val="en-CA"/>
        </w:rPr>
      </w:pPr>
      <w:r>
        <w:rPr>
          <w:lang w:val="en-CA"/>
        </w:rPr>
        <w:t>Patent rights declaration(s)</w:t>
      </w:r>
    </w:p>
    <w:p>
      <w:pPr>
        <w:rPr>
          <w:lang w:val="en-CA"/>
        </w:rPr>
      </w:pPr>
      <w:r>
        <w:rPr>
          <w:rFonts w:hint="eastAsia" w:eastAsia="宋体"/>
          <w:b/>
          <w:bCs/>
          <w:lang w:val="en-US" w:eastAsia="zh-CN"/>
        </w:rPr>
        <w:t>PKU</w:t>
      </w:r>
      <w:r>
        <w:rPr>
          <w:b/>
          <w:bCs/>
          <w:lang w:val="en-CA"/>
        </w:rPr>
        <w:t xml:space="preserve"> does not have any current or pending patent rights relating to the technology described in this contribution.</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r>
      <w:rPr>
        <w:rStyle w:val="17"/>
      </w:rPr>
      <w:t>2024-07-12</w:t>
    </w:r>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519471AA"/>
    <w:multiLevelType w:val="multilevel"/>
    <w:tmpl w:val="519471AA"/>
    <w:lvl w:ilvl="0" w:tentative="0">
      <w:start w:val="1"/>
      <w:numFmt w:val="decimal"/>
      <w:lvlText w:val="[%1]"/>
      <w:lvlJc w:val="left"/>
      <w:pPr>
        <w:ind w:left="360" w:hanging="360"/>
      </w:pPr>
      <w:rPr>
        <w:lang w:val="en-C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0ZDRiZmI2OTI3NjA2MzY2MmJhZjc2NTU0YzQ2ZTQifQ=="/>
  </w:docVars>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3585421"/>
    <w:rsid w:val="2D971AE8"/>
    <w:rsid w:val="450B48D5"/>
    <w:rsid w:val="551A100C"/>
    <w:rsid w:val="6E197152"/>
    <w:rsid w:val="7B787C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Überschrift 2 Zchn"/>
    <w:link w:val="3"/>
    <w:qFormat/>
    <w:uiPriority w:val="0"/>
    <w:rPr>
      <w:b/>
      <w:bCs/>
      <w:i/>
      <w:iCs/>
      <w:sz w:val="28"/>
      <w:szCs w:val="28"/>
      <w:lang w:eastAsia="en-US"/>
    </w:rPr>
  </w:style>
  <w:style w:type="character" w:customStyle="1" w:styleId="21">
    <w:name w:val="Überschrift 3 Zchn"/>
    <w:link w:val="4"/>
    <w:qFormat/>
    <w:uiPriority w:val="0"/>
    <w:rPr>
      <w:b/>
      <w:bCs/>
      <w:sz w:val="26"/>
      <w:szCs w:val="26"/>
      <w:lang w:eastAsia="en-US"/>
    </w:rPr>
  </w:style>
  <w:style w:type="character" w:customStyle="1" w:styleId="22">
    <w:name w:val="Überschrift 4 Zchn"/>
    <w:link w:val="5"/>
    <w:qFormat/>
    <w:uiPriority w:val="0"/>
    <w:rPr>
      <w:rFonts w:ascii="Times New Roman Bold" w:hAnsi="Times New Roman Bold"/>
      <w:b/>
      <w:bCs/>
      <w:sz w:val="24"/>
      <w:szCs w:val="28"/>
    </w:rPr>
  </w:style>
  <w:style w:type="character" w:customStyle="1" w:styleId="23">
    <w:name w:val="Überschrift 5 Zchn"/>
    <w:link w:val="6"/>
    <w:qFormat/>
    <w:uiPriority w:val="0"/>
    <w:rPr>
      <w:b/>
      <w:bCs/>
      <w:i/>
      <w:iCs/>
      <w:sz w:val="24"/>
      <w:szCs w:val="26"/>
    </w:rPr>
  </w:style>
  <w:style w:type="character" w:customStyle="1" w:styleId="24">
    <w:name w:val="Überschrift 6 Zchn"/>
    <w:link w:val="7"/>
    <w:qFormat/>
    <w:uiPriority w:val="0"/>
    <w:rPr>
      <w:b/>
      <w:bCs/>
      <w:sz w:val="22"/>
      <w:szCs w:val="22"/>
      <w:lang w:eastAsia="en-US"/>
    </w:rPr>
  </w:style>
  <w:style w:type="character" w:customStyle="1" w:styleId="25">
    <w:name w:val="Überschrift 7 Zchn"/>
    <w:link w:val="8"/>
    <w:qFormat/>
    <w:uiPriority w:val="0"/>
    <w:rPr>
      <w:sz w:val="22"/>
      <w:szCs w:val="24"/>
    </w:rPr>
  </w:style>
  <w:style w:type="character" w:customStyle="1" w:styleId="26">
    <w:name w:val="Überschrift 8 Zchn"/>
    <w:link w:val="9"/>
    <w:qFormat/>
    <w:uiPriority w:val="0"/>
    <w:rPr>
      <w:i/>
      <w:iCs/>
      <w:sz w:val="22"/>
      <w:szCs w:val="24"/>
    </w:rPr>
  </w:style>
  <w:style w:type="character" w:customStyle="1" w:styleId="27">
    <w:name w:val="Überschrift 9 Zchn"/>
    <w:link w:val="10"/>
    <w:qFormat/>
    <w:uiPriority w:val="0"/>
    <w:rPr>
      <w:b/>
      <w:sz w:val="22"/>
      <w:szCs w:val="22"/>
      <w:lang w:eastAsia="en-US"/>
    </w:rPr>
  </w:style>
  <w:style w:type="character" w:customStyle="1" w:styleId="28">
    <w:name w:val="Dokumentstruktur Zchn"/>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paragraph" w:styleId="3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2</Pages>
  <Words>432</Words>
  <Characters>2513</Characters>
  <Lines>61</Lines>
  <Paragraphs>16</Paragraphs>
  <TotalTime>13</TotalTime>
  <ScaleCrop>false</ScaleCrop>
  <LinksUpToDate>false</LinksUpToDate>
  <CharactersWithSpaces>2792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2024-05-05T15:46:00Z</dcterms:created>
  <dc:creator>Gary J. Sullivan &amp; Jens-Rainer Ohm</dc:creator>
  <cp:keywords>JCT-VC, MPEG, VCEG</cp:keywords>
  <cp:lastModifiedBy>lenovo</cp:lastModifiedBy>
  <cp:lastPrinted>2411-12-31T08:00:00Z</cp:lastPrinted>
  <dcterms:modified xsi:type="dcterms:W3CDTF">2024-07-12T13:24:14Z</dcterms:modified>
  <dc:title>Joint Collaborative Team on Video Coding (JCT-VC)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FCF01BA8F74D421CB3A12D0C0966FBC9_12</vt:lpwstr>
  </property>
</Properties>
</file>