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5ECF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0C48AE"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E72EE3">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C25577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E72EE3" w:rsidRPr="00E72EE3">
              <w:rPr>
                <w:rFonts w:hint="eastAsia"/>
                <w:lang w:val="en-CA" w:eastAsia="zh-CN"/>
              </w:rPr>
              <w:t>0280</w:t>
            </w:r>
            <w:r w:rsidR="006A0E5C" w:rsidRPr="00E72EE3">
              <w:rPr>
                <w:lang w:val="en-CA"/>
              </w:rPr>
              <w:t>-v</w:t>
            </w:r>
            <w:r w:rsidR="00E72EE3" w:rsidRPr="00E72EE3">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A73ED9" w:rsidR="00E61DAC" w:rsidRPr="005B217D" w:rsidRDefault="00E72EE3" w:rsidP="009D7CE6">
            <w:pPr>
              <w:spacing w:before="60" w:after="60"/>
              <w:rPr>
                <w:b/>
                <w:szCs w:val="22"/>
                <w:lang w:val="en-CA"/>
              </w:rPr>
            </w:pPr>
            <w:r>
              <w:rPr>
                <w:b/>
                <w:szCs w:val="22"/>
                <w:lang w:val="en-CA"/>
              </w:rPr>
              <w:t>C</w:t>
            </w:r>
            <w:r>
              <w:rPr>
                <w:rFonts w:hint="eastAsia"/>
                <w:b/>
                <w:szCs w:val="22"/>
                <w:lang w:val="en-CA" w:eastAsia="zh-CN"/>
              </w:rPr>
              <w:t>ro</w:t>
            </w:r>
            <w:r>
              <w:rPr>
                <w:b/>
                <w:szCs w:val="22"/>
                <w:lang w:val="en-CA"/>
              </w:rPr>
              <w:t xml:space="preserve">sscheck of </w:t>
            </w:r>
            <w:r w:rsidRPr="00E72EE3">
              <w:rPr>
                <w:b/>
                <w:szCs w:val="22"/>
                <w:lang w:val="en-CA"/>
              </w:rPr>
              <w:t xml:space="preserve">JVET-AH0107 </w:t>
            </w:r>
            <w:bookmarkStart w:id="0" w:name="_Hlk164259382"/>
            <w:r w:rsidRPr="00E72EE3">
              <w:rPr>
                <w:b/>
                <w:szCs w:val="22"/>
                <w:lang w:val="en-CA"/>
              </w:rPr>
              <w:t>(EE1-3.1: Deep Reference Frame Generation for Inter Prediction Enhancement)</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EC89B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D0DFD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FA3017" w:rsidR="00E61DAC" w:rsidRPr="005B217D" w:rsidRDefault="00E72EE3">
            <w:pPr>
              <w:spacing w:before="60" w:after="60"/>
              <w:rPr>
                <w:szCs w:val="22"/>
                <w:lang w:val="en-CA"/>
              </w:rPr>
            </w:pPr>
            <w:r>
              <w:rPr>
                <w:szCs w:val="22"/>
                <w:lang w:val="en-CA"/>
              </w:rPr>
              <w:t>Zhihuang Xie</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BD8A99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E72EE3">
              <w:rPr>
                <w:szCs w:val="22"/>
                <w:lang w:val="en-CA"/>
              </w:rPr>
              <w:t>xiezhihuang@oppo.com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A7B08C4" w:rsidR="00E61DAC" w:rsidRPr="005B217D" w:rsidRDefault="00E72EE3">
            <w:pPr>
              <w:spacing w:before="60" w:after="60"/>
              <w:rPr>
                <w:rFonts w:hint="eastAsia"/>
                <w:szCs w:val="22"/>
                <w:lang w:val="en-CA" w:eastAsia="zh-CN"/>
              </w:rPr>
            </w:pPr>
            <w:r>
              <w:rPr>
                <w:rFonts w:hint="eastAsia"/>
                <w:szCs w:val="22"/>
                <w:lang w:val="en-CA" w:eastAsia="zh-CN"/>
              </w:rPr>
              <w:t>O</w:t>
            </w:r>
            <w:r>
              <w:rPr>
                <w:szCs w:val="22"/>
                <w:lang w:val="en-CA" w:eastAsia="zh-CN"/>
              </w:rPr>
              <w:t>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19AC501" w:rsidR="00263398" w:rsidRDefault="00E72EE3" w:rsidP="009234A5">
      <w:pPr>
        <w:rPr>
          <w:lang w:val="en-CA" w:eastAsia="zh-CN"/>
        </w:rPr>
      </w:pPr>
      <w:r>
        <w:rPr>
          <w:lang w:val="en-CA"/>
        </w:rPr>
        <w:t xml:space="preserve">This contribution reports the cross-check results of JVET-AH0107 </w:t>
      </w:r>
      <w:r w:rsidRPr="00E72EE3">
        <w:rPr>
          <w:lang w:val="en-CA"/>
        </w:rPr>
        <w:t>(EE1-3.1: Deep Reference Frame Generation for Inter Prediction Enhancement)</w:t>
      </w:r>
      <w:r>
        <w:rPr>
          <w:rFonts w:hint="eastAsia"/>
          <w:lang w:val="en-CA" w:eastAsia="zh-CN"/>
        </w:rPr>
        <w:t>,</w:t>
      </w:r>
      <w:r>
        <w:rPr>
          <w:lang w:val="en-CA" w:eastAsia="zh-CN"/>
        </w:rPr>
        <w:t xml:space="preserve"> which investigates the neural-network based inter prediction in this round of EE1. Training cross-check were conducted for LDRF and HDRF in this meeting cycle, and simulation results compared with proponents’</w:t>
      </w:r>
      <w:r w:rsidR="003A256F">
        <w:rPr>
          <w:lang w:val="en-CA" w:eastAsia="zh-CN"/>
        </w:rPr>
        <w:t xml:space="preserve"> results</w:t>
      </w:r>
      <w:r>
        <w:rPr>
          <w:lang w:val="en-CA" w:eastAsia="zh-CN"/>
        </w:rPr>
        <w:t xml:space="preserve"> are summrized as follows:</w:t>
      </w:r>
    </w:p>
    <w:p w14:paraId="2C55DDC3" w14:textId="3D9B2C62" w:rsidR="00E72EE3" w:rsidRDefault="00E72EE3" w:rsidP="009234A5">
      <w:pPr>
        <w:rPr>
          <w:lang w:val="en-CA" w:eastAsia="zh-CN"/>
        </w:rPr>
      </w:pPr>
      <w:r>
        <w:rPr>
          <w:rFonts w:hint="eastAsia"/>
          <w:lang w:val="en-CA" w:eastAsia="zh-CN"/>
        </w:rPr>
        <w:t>L</w:t>
      </w:r>
      <w:r>
        <w:rPr>
          <w:lang w:val="en-CA" w:eastAsia="zh-CN"/>
        </w:rPr>
        <w:t xml:space="preserve">DRF: </w:t>
      </w:r>
      <w:r w:rsidR="003E3318">
        <w:rPr>
          <w:lang w:val="en-CA" w:eastAsia="zh-CN"/>
        </w:rPr>
        <w:t>0.00%(Y), -0.10 %(U), -0.08%(V)</w:t>
      </w:r>
    </w:p>
    <w:p w14:paraId="4C745D8E" w14:textId="07BC87F5" w:rsidR="00E72EE3" w:rsidRPr="005B217D" w:rsidRDefault="00E72EE3" w:rsidP="009234A5">
      <w:pPr>
        <w:rPr>
          <w:rFonts w:hint="eastAsia"/>
          <w:szCs w:val="22"/>
          <w:lang w:val="en-CA" w:eastAsia="zh-CN"/>
        </w:rPr>
      </w:pPr>
      <w:r>
        <w:rPr>
          <w:rFonts w:hint="eastAsia"/>
          <w:szCs w:val="22"/>
          <w:lang w:val="en-CA" w:eastAsia="zh-CN"/>
        </w:rPr>
        <w:t>H</w:t>
      </w:r>
      <w:r>
        <w:rPr>
          <w:szCs w:val="22"/>
          <w:lang w:val="en-CA" w:eastAsia="zh-CN"/>
        </w:rPr>
        <w:t>DRF:</w:t>
      </w:r>
    </w:p>
    <w:p w14:paraId="7D2AC1F0" w14:textId="32E28D59" w:rsidR="00745F6B" w:rsidRPr="005B217D" w:rsidRDefault="00745F6B" w:rsidP="00E11923">
      <w:pPr>
        <w:pStyle w:val="1"/>
        <w:rPr>
          <w:lang w:val="en-CA"/>
        </w:rPr>
      </w:pPr>
      <w:r w:rsidRPr="005B217D">
        <w:rPr>
          <w:lang w:val="en-CA"/>
        </w:rPr>
        <w:t>Introduction</w:t>
      </w:r>
    </w:p>
    <w:p w14:paraId="0BF48F0C" w14:textId="5934CEA3" w:rsidR="003A256F" w:rsidRDefault="00E72EE3" w:rsidP="009234A5">
      <w:pPr>
        <w:rPr>
          <w:szCs w:val="22"/>
          <w:lang w:val="en-CA"/>
        </w:rPr>
      </w:pPr>
      <w:r>
        <w:rPr>
          <w:szCs w:val="22"/>
          <w:lang w:val="en-CA"/>
        </w:rPr>
        <w:t xml:space="preserve">EE1-3.1 </w:t>
      </w:r>
      <w:r w:rsidRPr="00E72EE3">
        <w:rPr>
          <w:szCs w:val="22"/>
          <w:lang w:val="en-CA"/>
        </w:rPr>
        <w:t>proposes a deep reference frame generation (DRF) method to enhance VVC inter prediction.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59E830C2" w14:textId="62690001" w:rsidR="003A256F" w:rsidRDefault="003A256F" w:rsidP="009234A5">
      <w:pPr>
        <w:rPr>
          <w:szCs w:val="22"/>
          <w:lang w:val="en-CA"/>
        </w:rPr>
      </w:pPr>
      <w:r w:rsidRPr="003A256F">
        <w:rPr>
          <w:szCs w:val="22"/>
          <w:lang w:val="en-CA"/>
        </w:rPr>
        <w:t xml:space="preserve">Building upon the low operation point deep reference frame generation (LDRF) network from JVET-AG0122, </w:t>
      </w:r>
      <w:r>
        <w:rPr>
          <w:szCs w:val="22"/>
          <w:lang w:val="en-CA"/>
        </w:rPr>
        <w:t>EE1-3.1</w:t>
      </w:r>
      <w:r w:rsidRPr="003A256F">
        <w:rPr>
          <w:szCs w:val="22"/>
          <w:lang w:val="en-CA"/>
        </w:rPr>
        <w:t xml:space="preserve"> proposes a high operation point deep reference frame generation (HDRF) network, in which optical flows are calculated without scaling.</w:t>
      </w:r>
    </w:p>
    <w:p w14:paraId="0990456F" w14:textId="72A7E2B9" w:rsidR="003A256F" w:rsidRDefault="003A256F" w:rsidP="003A256F">
      <w:pPr>
        <w:pStyle w:val="1"/>
        <w:rPr>
          <w:lang w:val="en-CA" w:eastAsia="zh-CN"/>
        </w:rPr>
      </w:pPr>
      <w:r>
        <w:rPr>
          <w:rFonts w:hint="eastAsia"/>
          <w:lang w:val="en-CA" w:eastAsia="zh-CN"/>
        </w:rPr>
        <w:t>C</w:t>
      </w:r>
      <w:r>
        <w:rPr>
          <w:lang w:val="en-CA" w:eastAsia="zh-CN"/>
        </w:rPr>
        <w:t>rosscheck reports</w:t>
      </w:r>
    </w:p>
    <w:p w14:paraId="2DB1C8C5" w14:textId="1443865F" w:rsidR="003A256F" w:rsidRDefault="003A256F" w:rsidP="003A256F">
      <w:pPr>
        <w:rPr>
          <w:lang w:val="en-CA" w:eastAsia="zh-CN"/>
        </w:rPr>
      </w:pPr>
      <w:r>
        <w:rPr>
          <w:rFonts w:hint="eastAsia"/>
          <w:lang w:val="en-CA" w:eastAsia="zh-CN"/>
        </w:rPr>
        <w:t>T</w:t>
      </w:r>
      <w:r>
        <w:rPr>
          <w:lang w:val="en-CA" w:eastAsia="zh-CN"/>
        </w:rPr>
        <w:t>wo training tasks were conducted in this contribution to verify the performance of EE1-3.1. One is training crosscheck of LDRF and another is HDRF. Vimeo dataset is used to train those two models and encoded by NNVC-7.1 with both NnIntra and NnLOP Filter enabled.</w:t>
      </w:r>
    </w:p>
    <w:p w14:paraId="7AF6D52F" w14:textId="5819877A" w:rsidR="003A256F" w:rsidRDefault="003A256F" w:rsidP="003A256F">
      <w:pPr>
        <w:rPr>
          <w:lang w:val="en-CA" w:eastAsia="zh-CN"/>
        </w:rPr>
      </w:pPr>
      <w:r>
        <w:rPr>
          <w:rFonts w:hint="eastAsia"/>
          <w:lang w:val="en-CA" w:eastAsia="zh-CN"/>
        </w:rPr>
        <w:t>F</w:t>
      </w:r>
      <w:r>
        <w:rPr>
          <w:lang w:val="en-CA" w:eastAsia="zh-CN"/>
        </w:rPr>
        <w:t>ollow the guidance</w:t>
      </w:r>
      <w:r w:rsidR="00DC02A6">
        <w:rPr>
          <w:lang w:val="en-CA" w:eastAsia="zh-CN"/>
        </w:rPr>
        <w:t xml:space="preserve"> and training scripts</w:t>
      </w:r>
      <w:r>
        <w:rPr>
          <w:lang w:val="en-CA" w:eastAsia="zh-CN"/>
        </w:rPr>
        <w:t xml:space="preserve"> provided by proponents, the training process is successfully completed. Then</w:t>
      </w:r>
      <w:r w:rsidR="00DC02A6">
        <w:rPr>
          <w:lang w:val="en-CA" w:eastAsia="zh-CN"/>
        </w:rPr>
        <w:t xml:space="preserve"> the best</w:t>
      </w:r>
      <w:r>
        <w:rPr>
          <w:lang w:val="en-CA" w:eastAsia="zh-CN"/>
        </w:rPr>
        <w:t xml:space="preserve"> checkpoint models </w:t>
      </w:r>
      <w:r w:rsidR="00DC02A6">
        <w:rPr>
          <w:lang w:val="en-CA" w:eastAsia="zh-CN"/>
        </w:rPr>
        <w:t xml:space="preserve">in valid-tests </w:t>
      </w:r>
      <w:r>
        <w:rPr>
          <w:lang w:val="en-CA" w:eastAsia="zh-CN"/>
        </w:rPr>
        <w:t>were converted to float-sadl and doing inference tests.</w:t>
      </w:r>
    </w:p>
    <w:p w14:paraId="19BE36B2" w14:textId="4A0B12FF" w:rsidR="003A256F" w:rsidRDefault="003A256F" w:rsidP="003A256F">
      <w:pPr>
        <w:rPr>
          <w:rFonts w:hint="eastAsia"/>
          <w:lang w:val="en-CA" w:eastAsia="zh-CN"/>
        </w:rPr>
      </w:pPr>
      <w:r>
        <w:rPr>
          <w:lang w:val="en-CA" w:eastAsia="zh-CN"/>
        </w:rPr>
        <w:t>Simulation results are shown as follows:</w:t>
      </w:r>
    </w:p>
    <w:p w14:paraId="29FEB15F" w14:textId="37DFE75D" w:rsidR="003A256F" w:rsidRDefault="003A256F" w:rsidP="003A256F">
      <w:pPr>
        <w:pStyle w:val="2"/>
        <w:rPr>
          <w:lang w:val="en-CA" w:eastAsia="zh-CN"/>
        </w:rPr>
      </w:pPr>
      <w:r>
        <w:rPr>
          <w:rFonts w:hint="eastAsia"/>
          <w:lang w:val="en-CA" w:eastAsia="zh-CN"/>
        </w:rPr>
        <w:t>L</w:t>
      </w:r>
      <w:r>
        <w:rPr>
          <w:lang w:val="en-CA" w:eastAsia="zh-CN"/>
        </w:rPr>
        <w:t>DRF</w:t>
      </w:r>
    </w:p>
    <w:p w14:paraId="23BBACFC" w14:textId="66A1E9E6" w:rsidR="003A256F" w:rsidRDefault="00DC02A6" w:rsidP="00DC02A6">
      <w:pPr>
        <w:jc w:val="center"/>
        <w:rPr>
          <w:lang w:val="en-CA" w:eastAsia="zh-CN"/>
        </w:rPr>
      </w:pPr>
      <w:r>
        <w:rPr>
          <w:rFonts w:hint="eastAsia"/>
          <w:lang w:val="en-CA" w:eastAsia="zh-CN"/>
        </w:rPr>
        <w:t>T</w:t>
      </w:r>
      <w:r>
        <w:rPr>
          <w:lang w:val="en-CA" w:eastAsia="zh-CN"/>
        </w:rPr>
        <w:t>able. 1 retrained LDRF vs. NNVC-8.0</w:t>
      </w:r>
    </w:p>
    <w:tbl>
      <w:tblPr>
        <w:tblW w:w="9500" w:type="dxa"/>
        <w:tblLook w:val="04A0" w:firstRow="1" w:lastRow="0" w:firstColumn="1" w:lastColumn="0" w:noHBand="0" w:noVBand="1"/>
      </w:tblPr>
      <w:tblGrid>
        <w:gridCol w:w="1640"/>
        <w:gridCol w:w="1002"/>
        <w:gridCol w:w="1017"/>
        <w:gridCol w:w="1002"/>
        <w:gridCol w:w="959"/>
        <w:gridCol w:w="973"/>
        <w:gridCol w:w="959"/>
        <w:gridCol w:w="692"/>
        <w:gridCol w:w="1256"/>
      </w:tblGrid>
      <w:tr w:rsidR="00DC02A6" w:rsidRPr="00DC02A6" w14:paraId="57F70E6C" w14:textId="77777777" w:rsidTr="00DC02A6">
        <w:trPr>
          <w:trHeight w:val="255"/>
        </w:trPr>
        <w:tc>
          <w:tcPr>
            <w:tcW w:w="1640" w:type="dxa"/>
            <w:tcBorders>
              <w:top w:val="nil"/>
              <w:left w:val="nil"/>
              <w:bottom w:val="nil"/>
              <w:right w:val="nil"/>
            </w:tcBorders>
            <w:shd w:val="clear" w:color="auto" w:fill="auto"/>
            <w:noWrap/>
            <w:vAlign w:val="center"/>
            <w:hideMark/>
          </w:tcPr>
          <w:p w14:paraId="6C01A4B7"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618FEE3"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C02A6">
              <w:rPr>
                <w:rFonts w:ascii="Arial" w:eastAsia="宋体" w:hAnsi="Arial" w:cs="Arial"/>
                <w:b/>
                <w:bCs/>
                <w:color w:val="000000"/>
                <w:sz w:val="18"/>
                <w:szCs w:val="18"/>
                <w:lang w:eastAsia="zh-CN"/>
              </w:rPr>
              <w:t xml:space="preserve">Random access Main10 </w:t>
            </w:r>
          </w:p>
        </w:tc>
      </w:tr>
      <w:tr w:rsidR="00DC02A6" w:rsidRPr="00DC02A6" w14:paraId="739C65EA" w14:textId="77777777" w:rsidTr="00DC02A6">
        <w:trPr>
          <w:trHeight w:val="255"/>
        </w:trPr>
        <w:tc>
          <w:tcPr>
            <w:tcW w:w="1640" w:type="dxa"/>
            <w:tcBorders>
              <w:top w:val="nil"/>
              <w:left w:val="nil"/>
              <w:bottom w:val="nil"/>
              <w:right w:val="nil"/>
            </w:tcBorders>
            <w:shd w:val="clear" w:color="auto" w:fill="auto"/>
            <w:noWrap/>
            <w:vAlign w:val="center"/>
            <w:hideMark/>
          </w:tcPr>
          <w:p w14:paraId="3BF13BC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308EDC0B" w14:textId="06CEC3C2"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C02A6">
              <w:rPr>
                <w:rFonts w:ascii="Arial" w:eastAsia="宋体" w:hAnsi="Arial" w:cs="Arial"/>
                <w:b/>
                <w:bCs/>
                <w:color w:val="000000"/>
                <w:sz w:val="18"/>
                <w:szCs w:val="18"/>
                <w:lang w:eastAsia="zh-CN"/>
              </w:rPr>
              <w:t>BD-rate Over NNVC-</w:t>
            </w:r>
            <w:r>
              <w:rPr>
                <w:rFonts w:ascii="Arial" w:eastAsia="宋体" w:hAnsi="Arial" w:cs="Arial"/>
                <w:b/>
                <w:bCs/>
                <w:color w:val="000000"/>
                <w:sz w:val="18"/>
                <w:szCs w:val="18"/>
                <w:lang w:eastAsia="zh-CN"/>
              </w:rPr>
              <w:t>8</w:t>
            </w:r>
            <w:r w:rsidRPr="00DC02A6">
              <w:rPr>
                <w:rFonts w:ascii="Arial" w:eastAsia="宋体" w:hAnsi="Arial" w:cs="Arial"/>
                <w:b/>
                <w:bCs/>
                <w:color w:val="000000"/>
                <w:sz w:val="18"/>
                <w:szCs w:val="18"/>
                <w:lang w:eastAsia="zh-CN"/>
              </w:rPr>
              <w:t>.0</w:t>
            </w:r>
          </w:p>
        </w:tc>
      </w:tr>
      <w:tr w:rsidR="00DC02A6" w:rsidRPr="00DC02A6" w14:paraId="42BC15EC" w14:textId="77777777" w:rsidTr="00DC02A6">
        <w:trPr>
          <w:trHeight w:val="255"/>
        </w:trPr>
        <w:tc>
          <w:tcPr>
            <w:tcW w:w="1640" w:type="dxa"/>
            <w:tcBorders>
              <w:top w:val="nil"/>
              <w:left w:val="nil"/>
              <w:bottom w:val="nil"/>
              <w:right w:val="nil"/>
            </w:tcBorders>
            <w:shd w:val="clear" w:color="auto" w:fill="auto"/>
            <w:noWrap/>
            <w:vAlign w:val="center"/>
            <w:hideMark/>
          </w:tcPr>
          <w:p w14:paraId="51FEACA1"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2" w:type="dxa"/>
            <w:tcBorders>
              <w:top w:val="nil"/>
              <w:left w:val="single" w:sz="8" w:space="0" w:color="auto"/>
              <w:bottom w:val="single" w:sz="8" w:space="0" w:color="auto"/>
              <w:right w:val="nil"/>
            </w:tcBorders>
            <w:shd w:val="clear" w:color="auto" w:fill="auto"/>
            <w:noWrap/>
            <w:vAlign w:val="center"/>
            <w:hideMark/>
          </w:tcPr>
          <w:p w14:paraId="3231889C"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Y-PSNR</w:t>
            </w:r>
          </w:p>
        </w:tc>
        <w:tc>
          <w:tcPr>
            <w:tcW w:w="1017" w:type="dxa"/>
            <w:tcBorders>
              <w:top w:val="nil"/>
              <w:left w:val="nil"/>
              <w:bottom w:val="single" w:sz="8" w:space="0" w:color="auto"/>
              <w:right w:val="nil"/>
            </w:tcBorders>
            <w:shd w:val="clear" w:color="auto" w:fill="auto"/>
            <w:noWrap/>
            <w:vAlign w:val="center"/>
            <w:hideMark/>
          </w:tcPr>
          <w:p w14:paraId="3152A6A2"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U-PSNR</w:t>
            </w:r>
          </w:p>
        </w:tc>
        <w:tc>
          <w:tcPr>
            <w:tcW w:w="1002" w:type="dxa"/>
            <w:tcBorders>
              <w:top w:val="nil"/>
              <w:left w:val="nil"/>
              <w:bottom w:val="single" w:sz="8" w:space="0" w:color="auto"/>
              <w:right w:val="single" w:sz="4" w:space="0" w:color="auto"/>
            </w:tcBorders>
            <w:shd w:val="clear" w:color="auto" w:fill="auto"/>
            <w:noWrap/>
            <w:vAlign w:val="center"/>
            <w:hideMark/>
          </w:tcPr>
          <w:p w14:paraId="4ACF662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V-PSNR</w:t>
            </w:r>
          </w:p>
        </w:tc>
        <w:tc>
          <w:tcPr>
            <w:tcW w:w="959" w:type="dxa"/>
            <w:tcBorders>
              <w:top w:val="nil"/>
              <w:left w:val="single" w:sz="8" w:space="0" w:color="auto"/>
              <w:bottom w:val="single" w:sz="8" w:space="0" w:color="auto"/>
              <w:right w:val="nil"/>
            </w:tcBorders>
            <w:shd w:val="clear" w:color="auto" w:fill="auto"/>
            <w:noWrap/>
            <w:vAlign w:val="center"/>
            <w:hideMark/>
          </w:tcPr>
          <w:p w14:paraId="118E9CB8"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Y-MSIM</w:t>
            </w:r>
          </w:p>
        </w:tc>
        <w:tc>
          <w:tcPr>
            <w:tcW w:w="973" w:type="dxa"/>
            <w:tcBorders>
              <w:top w:val="nil"/>
              <w:left w:val="nil"/>
              <w:bottom w:val="single" w:sz="8" w:space="0" w:color="auto"/>
              <w:right w:val="nil"/>
            </w:tcBorders>
            <w:shd w:val="clear" w:color="auto" w:fill="auto"/>
            <w:noWrap/>
            <w:vAlign w:val="center"/>
            <w:hideMark/>
          </w:tcPr>
          <w:p w14:paraId="271EFB50"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U-MSIM</w:t>
            </w:r>
          </w:p>
        </w:tc>
        <w:tc>
          <w:tcPr>
            <w:tcW w:w="959" w:type="dxa"/>
            <w:tcBorders>
              <w:top w:val="nil"/>
              <w:left w:val="nil"/>
              <w:bottom w:val="single" w:sz="8" w:space="0" w:color="auto"/>
              <w:right w:val="single" w:sz="4" w:space="0" w:color="auto"/>
            </w:tcBorders>
            <w:shd w:val="clear" w:color="auto" w:fill="auto"/>
            <w:noWrap/>
            <w:vAlign w:val="center"/>
            <w:hideMark/>
          </w:tcPr>
          <w:p w14:paraId="6A9BF5F1"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V-MSIM</w:t>
            </w:r>
          </w:p>
        </w:tc>
        <w:tc>
          <w:tcPr>
            <w:tcW w:w="692" w:type="dxa"/>
            <w:tcBorders>
              <w:top w:val="nil"/>
              <w:left w:val="nil"/>
              <w:bottom w:val="single" w:sz="8" w:space="0" w:color="auto"/>
              <w:right w:val="nil"/>
            </w:tcBorders>
            <w:shd w:val="clear" w:color="auto" w:fill="auto"/>
            <w:noWrap/>
            <w:vAlign w:val="center"/>
            <w:hideMark/>
          </w:tcPr>
          <w:p w14:paraId="7C36FC22"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EncT</w:t>
            </w:r>
          </w:p>
        </w:tc>
        <w:tc>
          <w:tcPr>
            <w:tcW w:w="1256" w:type="dxa"/>
            <w:tcBorders>
              <w:top w:val="nil"/>
              <w:left w:val="nil"/>
              <w:bottom w:val="single" w:sz="8" w:space="0" w:color="auto"/>
              <w:right w:val="nil"/>
            </w:tcBorders>
            <w:shd w:val="clear" w:color="auto" w:fill="auto"/>
            <w:noWrap/>
            <w:vAlign w:val="center"/>
            <w:hideMark/>
          </w:tcPr>
          <w:p w14:paraId="64739F88"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DecT CPU</w:t>
            </w:r>
          </w:p>
        </w:tc>
      </w:tr>
      <w:tr w:rsidR="00DC02A6" w:rsidRPr="00DC02A6" w14:paraId="0FDE3D9F" w14:textId="77777777" w:rsidTr="009C24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1DFB1"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Class A1</w:t>
            </w:r>
          </w:p>
        </w:tc>
        <w:tc>
          <w:tcPr>
            <w:tcW w:w="1002" w:type="dxa"/>
            <w:tcBorders>
              <w:top w:val="nil"/>
              <w:left w:val="nil"/>
              <w:bottom w:val="nil"/>
              <w:right w:val="nil"/>
            </w:tcBorders>
            <w:shd w:val="clear" w:color="auto" w:fill="auto"/>
            <w:noWrap/>
            <w:vAlign w:val="center"/>
            <w:hideMark/>
          </w:tcPr>
          <w:p w14:paraId="110F64CB"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-1.68%</w:t>
            </w:r>
          </w:p>
        </w:tc>
        <w:tc>
          <w:tcPr>
            <w:tcW w:w="1017" w:type="dxa"/>
            <w:tcBorders>
              <w:top w:val="nil"/>
              <w:left w:val="nil"/>
              <w:bottom w:val="nil"/>
              <w:right w:val="nil"/>
            </w:tcBorders>
            <w:shd w:val="clear" w:color="auto" w:fill="auto"/>
            <w:noWrap/>
            <w:vAlign w:val="center"/>
            <w:hideMark/>
          </w:tcPr>
          <w:p w14:paraId="169A6AE8"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-2.38%</w:t>
            </w:r>
          </w:p>
        </w:tc>
        <w:tc>
          <w:tcPr>
            <w:tcW w:w="1002" w:type="dxa"/>
            <w:tcBorders>
              <w:top w:val="nil"/>
              <w:left w:val="nil"/>
              <w:bottom w:val="nil"/>
              <w:right w:val="single" w:sz="4" w:space="0" w:color="auto"/>
            </w:tcBorders>
            <w:shd w:val="clear" w:color="auto" w:fill="auto"/>
            <w:noWrap/>
            <w:vAlign w:val="center"/>
            <w:hideMark/>
          </w:tcPr>
          <w:p w14:paraId="3D0411BC"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-2.42%</w:t>
            </w:r>
          </w:p>
        </w:tc>
        <w:tc>
          <w:tcPr>
            <w:tcW w:w="959" w:type="dxa"/>
            <w:tcBorders>
              <w:top w:val="nil"/>
              <w:left w:val="single" w:sz="8" w:space="0" w:color="auto"/>
              <w:bottom w:val="nil"/>
              <w:right w:val="nil"/>
            </w:tcBorders>
            <w:shd w:val="clear" w:color="auto" w:fill="auto"/>
            <w:noWrap/>
            <w:vAlign w:val="center"/>
            <w:hideMark/>
          </w:tcPr>
          <w:p w14:paraId="60292FC3"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-2.12%</w:t>
            </w:r>
          </w:p>
        </w:tc>
        <w:tc>
          <w:tcPr>
            <w:tcW w:w="973" w:type="dxa"/>
            <w:tcBorders>
              <w:top w:val="single" w:sz="8" w:space="0" w:color="auto"/>
              <w:left w:val="nil"/>
              <w:bottom w:val="nil"/>
              <w:right w:val="nil"/>
            </w:tcBorders>
            <w:shd w:val="clear" w:color="000000" w:fill="CCFFCC"/>
            <w:noWrap/>
            <w:vAlign w:val="center"/>
            <w:hideMark/>
          </w:tcPr>
          <w:p w14:paraId="271A3D35"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-3.83%</w:t>
            </w:r>
          </w:p>
        </w:tc>
        <w:tc>
          <w:tcPr>
            <w:tcW w:w="959" w:type="dxa"/>
            <w:tcBorders>
              <w:top w:val="single" w:sz="8" w:space="0" w:color="auto"/>
              <w:left w:val="nil"/>
              <w:bottom w:val="nil"/>
              <w:right w:val="single" w:sz="4" w:space="0" w:color="auto"/>
            </w:tcBorders>
            <w:shd w:val="clear" w:color="000000" w:fill="CCFFCC"/>
            <w:noWrap/>
            <w:vAlign w:val="center"/>
            <w:hideMark/>
          </w:tcPr>
          <w:p w14:paraId="34AAED47"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-3.20%</w:t>
            </w:r>
          </w:p>
        </w:tc>
        <w:tc>
          <w:tcPr>
            <w:tcW w:w="692" w:type="dxa"/>
            <w:tcBorders>
              <w:top w:val="nil"/>
              <w:left w:val="nil"/>
              <w:bottom w:val="nil"/>
              <w:right w:val="nil"/>
            </w:tcBorders>
            <w:shd w:val="clear" w:color="auto" w:fill="auto"/>
            <w:noWrap/>
            <w:vAlign w:val="center"/>
            <w:hideMark/>
          </w:tcPr>
          <w:p w14:paraId="1C5D7A2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114%</w:t>
            </w:r>
          </w:p>
        </w:tc>
        <w:tc>
          <w:tcPr>
            <w:tcW w:w="1256" w:type="dxa"/>
            <w:tcBorders>
              <w:top w:val="nil"/>
              <w:left w:val="nil"/>
              <w:bottom w:val="nil"/>
              <w:right w:val="nil"/>
            </w:tcBorders>
            <w:shd w:val="clear" w:color="auto" w:fill="auto"/>
            <w:noWrap/>
            <w:vAlign w:val="center"/>
          </w:tcPr>
          <w:p w14:paraId="492447AB" w14:textId="0E448240"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02A6" w:rsidRPr="00DC02A6" w14:paraId="1AD48398"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EEAFB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Class A2</w:t>
            </w:r>
          </w:p>
        </w:tc>
        <w:tc>
          <w:tcPr>
            <w:tcW w:w="1002" w:type="dxa"/>
            <w:tcBorders>
              <w:top w:val="nil"/>
              <w:left w:val="nil"/>
              <w:bottom w:val="nil"/>
              <w:right w:val="nil"/>
            </w:tcBorders>
            <w:shd w:val="clear" w:color="auto" w:fill="auto"/>
            <w:noWrap/>
            <w:vAlign w:val="center"/>
            <w:hideMark/>
          </w:tcPr>
          <w:p w14:paraId="6ED7C6BC"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-2.34%</w:t>
            </w:r>
          </w:p>
        </w:tc>
        <w:tc>
          <w:tcPr>
            <w:tcW w:w="1017" w:type="dxa"/>
            <w:tcBorders>
              <w:top w:val="nil"/>
              <w:left w:val="nil"/>
              <w:bottom w:val="nil"/>
              <w:right w:val="nil"/>
            </w:tcBorders>
            <w:shd w:val="clear" w:color="auto" w:fill="auto"/>
            <w:noWrap/>
            <w:vAlign w:val="center"/>
            <w:hideMark/>
          </w:tcPr>
          <w:p w14:paraId="66F01088"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-2.64%</w:t>
            </w:r>
          </w:p>
        </w:tc>
        <w:tc>
          <w:tcPr>
            <w:tcW w:w="1002" w:type="dxa"/>
            <w:tcBorders>
              <w:top w:val="nil"/>
              <w:left w:val="nil"/>
              <w:bottom w:val="nil"/>
              <w:right w:val="single" w:sz="4" w:space="0" w:color="auto"/>
            </w:tcBorders>
            <w:shd w:val="clear" w:color="auto" w:fill="auto"/>
            <w:noWrap/>
            <w:vAlign w:val="center"/>
            <w:hideMark/>
          </w:tcPr>
          <w:p w14:paraId="22B7238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-1.04%</w:t>
            </w:r>
          </w:p>
        </w:tc>
        <w:tc>
          <w:tcPr>
            <w:tcW w:w="959" w:type="dxa"/>
            <w:tcBorders>
              <w:top w:val="nil"/>
              <w:left w:val="single" w:sz="8" w:space="0" w:color="auto"/>
              <w:bottom w:val="nil"/>
              <w:right w:val="nil"/>
            </w:tcBorders>
            <w:shd w:val="clear" w:color="auto" w:fill="auto"/>
            <w:noWrap/>
            <w:vAlign w:val="center"/>
            <w:hideMark/>
          </w:tcPr>
          <w:p w14:paraId="66DA97A8"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-2.86%</w:t>
            </w:r>
          </w:p>
        </w:tc>
        <w:tc>
          <w:tcPr>
            <w:tcW w:w="973" w:type="dxa"/>
            <w:tcBorders>
              <w:top w:val="nil"/>
              <w:left w:val="nil"/>
              <w:bottom w:val="nil"/>
              <w:right w:val="nil"/>
            </w:tcBorders>
            <w:shd w:val="clear" w:color="000000" w:fill="CCFFCC"/>
            <w:noWrap/>
            <w:vAlign w:val="center"/>
            <w:hideMark/>
          </w:tcPr>
          <w:p w14:paraId="6AF8E8E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-3.80%</w:t>
            </w:r>
          </w:p>
        </w:tc>
        <w:tc>
          <w:tcPr>
            <w:tcW w:w="959" w:type="dxa"/>
            <w:tcBorders>
              <w:top w:val="nil"/>
              <w:left w:val="nil"/>
              <w:bottom w:val="nil"/>
              <w:right w:val="single" w:sz="4" w:space="0" w:color="auto"/>
            </w:tcBorders>
            <w:shd w:val="clear" w:color="auto" w:fill="auto"/>
            <w:noWrap/>
            <w:vAlign w:val="center"/>
            <w:hideMark/>
          </w:tcPr>
          <w:p w14:paraId="6A0C2D8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DC02A6">
              <w:rPr>
                <w:rFonts w:ascii="Arial" w:eastAsia="宋体" w:hAnsi="Arial" w:cs="Arial"/>
                <w:color w:val="BFBFBF"/>
                <w:sz w:val="18"/>
                <w:szCs w:val="18"/>
                <w:lang w:eastAsia="zh-CN"/>
              </w:rPr>
              <w:t>-2.87%</w:t>
            </w:r>
          </w:p>
        </w:tc>
        <w:tc>
          <w:tcPr>
            <w:tcW w:w="692" w:type="dxa"/>
            <w:tcBorders>
              <w:top w:val="nil"/>
              <w:left w:val="nil"/>
              <w:bottom w:val="nil"/>
              <w:right w:val="nil"/>
            </w:tcBorders>
            <w:shd w:val="clear" w:color="auto" w:fill="auto"/>
            <w:noWrap/>
            <w:vAlign w:val="center"/>
            <w:hideMark/>
          </w:tcPr>
          <w:p w14:paraId="703B69AF"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116%</w:t>
            </w:r>
          </w:p>
        </w:tc>
        <w:tc>
          <w:tcPr>
            <w:tcW w:w="1256" w:type="dxa"/>
            <w:tcBorders>
              <w:top w:val="nil"/>
              <w:left w:val="nil"/>
              <w:bottom w:val="nil"/>
              <w:right w:val="nil"/>
            </w:tcBorders>
            <w:shd w:val="clear" w:color="auto" w:fill="auto"/>
            <w:noWrap/>
            <w:vAlign w:val="center"/>
          </w:tcPr>
          <w:p w14:paraId="32525004" w14:textId="75459A14"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02A6" w:rsidRPr="00DC02A6" w14:paraId="44C5997E"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9256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Class B</w:t>
            </w:r>
          </w:p>
        </w:tc>
        <w:tc>
          <w:tcPr>
            <w:tcW w:w="1002" w:type="dxa"/>
            <w:tcBorders>
              <w:top w:val="nil"/>
              <w:left w:val="nil"/>
              <w:bottom w:val="nil"/>
              <w:right w:val="nil"/>
            </w:tcBorders>
            <w:shd w:val="clear" w:color="auto" w:fill="auto"/>
            <w:noWrap/>
            <w:vAlign w:val="center"/>
            <w:hideMark/>
          </w:tcPr>
          <w:p w14:paraId="70ACA952"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-1.32%</w:t>
            </w:r>
          </w:p>
        </w:tc>
        <w:tc>
          <w:tcPr>
            <w:tcW w:w="1017" w:type="dxa"/>
            <w:tcBorders>
              <w:top w:val="nil"/>
              <w:left w:val="nil"/>
              <w:bottom w:val="nil"/>
              <w:right w:val="nil"/>
            </w:tcBorders>
            <w:shd w:val="clear" w:color="auto" w:fill="auto"/>
            <w:noWrap/>
            <w:vAlign w:val="center"/>
            <w:hideMark/>
          </w:tcPr>
          <w:p w14:paraId="2AE8A4E1"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-1.00%</w:t>
            </w:r>
          </w:p>
        </w:tc>
        <w:tc>
          <w:tcPr>
            <w:tcW w:w="1002" w:type="dxa"/>
            <w:tcBorders>
              <w:top w:val="nil"/>
              <w:left w:val="nil"/>
              <w:bottom w:val="nil"/>
              <w:right w:val="single" w:sz="4" w:space="0" w:color="auto"/>
            </w:tcBorders>
            <w:shd w:val="clear" w:color="auto" w:fill="auto"/>
            <w:noWrap/>
            <w:vAlign w:val="center"/>
            <w:hideMark/>
          </w:tcPr>
          <w:p w14:paraId="3A0A0968"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-1.23%</w:t>
            </w:r>
          </w:p>
        </w:tc>
        <w:tc>
          <w:tcPr>
            <w:tcW w:w="959" w:type="dxa"/>
            <w:tcBorders>
              <w:top w:val="nil"/>
              <w:left w:val="single" w:sz="8" w:space="0" w:color="auto"/>
              <w:bottom w:val="nil"/>
              <w:right w:val="nil"/>
            </w:tcBorders>
            <w:shd w:val="clear" w:color="auto" w:fill="auto"/>
            <w:noWrap/>
            <w:vAlign w:val="center"/>
            <w:hideMark/>
          </w:tcPr>
          <w:p w14:paraId="2E17A111"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-1.98%</w:t>
            </w:r>
          </w:p>
        </w:tc>
        <w:tc>
          <w:tcPr>
            <w:tcW w:w="973" w:type="dxa"/>
            <w:tcBorders>
              <w:top w:val="nil"/>
              <w:left w:val="nil"/>
              <w:bottom w:val="nil"/>
              <w:right w:val="nil"/>
            </w:tcBorders>
            <w:shd w:val="clear" w:color="auto" w:fill="auto"/>
            <w:noWrap/>
            <w:vAlign w:val="center"/>
            <w:hideMark/>
          </w:tcPr>
          <w:p w14:paraId="5B8ACB30"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DC02A6">
              <w:rPr>
                <w:rFonts w:ascii="Arial" w:eastAsia="宋体" w:hAnsi="Arial" w:cs="Arial"/>
                <w:color w:val="BFBFBF"/>
                <w:sz w:val="18"/>
                <w:szCs w:val="18"/>
                <w:lang w:eastAsia="zh-CN"/>
              </w:rPr>
              <w:t>-2.53%</w:t>
            </w:r>
          </w:p>
        </w:tc>
        <w:tc>
          <w:tcPr>
            <w:tcW w:w="959" w:type="dxa"/>
            <w:tcBorders>
              <w:top w:val="nil"/>
              <w:left w:val="nil"/>
              <w:bottom w:val="nil"/>
              <w:right w:val="single" w:sz="4" w:space="0" w:color="auto"/>
            </w:tcBorders>
            <w:shd w:val="clear" w:color="000000" w:fill="CCFFCC"/>
            <w:noWrap/>
            <w:vAlign w:val="center"/>
            <w:hideMark/>
          </w:tcPr>
          <w:p w14:paraId="76A1CB3F"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-3.14%</w:t>
            </w:r>
          </w:p>
        </w:tc>
        <w:tc>
          <w:tcPr>
            <w:tcW w:w="692" w:type="dxa"/>
            <w:tcBorders>
              <w:top w:val="nil"/>
              <w:left w:val="nil"/>
              <w:bottom w:val="nil"/>
              <w:right w:val="nil"/>
            </w:tcBorders>
            <w:shd w:val="clear" w:color="auto" w:fill="auto"/>
            <w:noWrap/>
            <w:vAlign w:val="center"/>
            <w:hideMark/>
          </w:tcPr>
          <w:p w14:paraId="37FF35C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88%</w:t>
            </w:r>
          </w:p>
        </w:tc>
        <w:tc>
          <w:tcPr>
            <w:tcW w:w="1256" w:type="dxa"/>
            <w:tcBorders>
              <w:top w:val="nil"/>
              <w:left w:val="nil"/>
              <w:bottom w:val="nil"/>
              <w:right w:val="nil"/>
            </w:tcBorders>
            <w:shd w:val="clear" w:color="auto" w:fill="auto"/>
            <w:noWrap/>
            <w:vAlign w:val="center"/>
          </w:tcPr>
          <w:p w14:paraId="54BF2A46" w14:textId="0A34E063"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02A6" w:rsidRPr="00DC02A6" w14:paraId="5A041C0C"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E5D5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Class C</w:t>
            </w:r>
          </w:p>
        </w:tc>
        <w:tc>
          <w:tcPr>
            <w:tcW w:w="1002" w:type="dxa"/>
            <w:tcBorders>
              <w:top w:val="nil"/>
              <w:left w:val="nil"/>
              <w:bottom w:val="nil"/>
              <w:right w:val="nil"/>
            </w:tcBorders>
            <w:shd w:val="clear" w:color="auto" w:fill="auto"/>
            <w:noWrap/>
            <w:vAlign w:val="center"/>
            <w:hideMark/>
          </w:tcPr>
          <w:p w14:paraId="357012B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-1.58%</w:t>
            </w:r>
          </w:p>
        </w:tc>
        <w:tc>
          <w:tcPr>
            <w:tcW w:w="1017" w:type="dxa"/>
            <w:tcBorders>
              <w:top w:val="nil"/>
              <w:left w:val="nil"/>
              <w:bottom w:val="nil"/>
              <w:right w:val="nil"/>
            </w:tcBorders>
            <w:shd w:val="clear" w:color="auto" w:fill="auto"/>
            <w:noWrap/>
            <w:vAlign w:val="center"/>
            <w:hideMark/>
          </w:tcPr>
          <w:p w14:paraId="278B128F"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-1.24%</w:t>
            </w:r>
          </w:p>
        </w:tc>
        <w:tc>
          <w:tcPr>
            <w:tcW w:w="1002" w:type="dxa"/>
            <w:tcBorders>
              <w:top w:val="nil"/>
              <w:left w:val="nil"/>
              <w:bottom w:val="nil"/>
              <w:right w:val="single" w:sz="4" w:space="0" w:color="auto"/>
            </w:tcBorders>
            <w:shd w:val="clear" w:color="auto" w:fill="auto"/>
            <w:noWrap/>
            <w:vAlign w:val="center"/>
            <w:hideMark/>
          </w:tcPr>
          <w:p w14:paraId="1D53B924"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-0.96%</w:t>
            </w:r>
          </w:p>
        </w:tc>
        <w:tc>
          <w:tcPr>
            <w:tcW w:w="959" w:type="dxa"/>
            <w:tcBorders>
              <w:top w:val="nil"/>
              <w:left w:val="single" w:sz="8" w:space="0" w:color="auto"/>
              <w:bottom w:val="nil"/>
              <w:right w:val="nil"/>
            </w:tcBorders>
            <w:shd w:val="clear" w:color="auto" w:fill="auto"/>
            <w:noWrap/>
            <w:vAlign w:val="center"/>
            <w:hideMark/>
          </w:tcPr>
          <w:p w14:paraId="2FF24E9B"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-2.88%</w:t>
            </w:r>
          </w:p>
        </w:tc>
        <w:tc>
          <w:tcPr>
            <w:tcW w:w="973" w:type="dxa"/>
            <w:tcBorders>
              <w:top w:val="nil"/>
              <w:left w:val="nil"/>
              <w:bottom w:val="nil"/>
              <w:right w:val="nil"/>
            </w:tcBorders>
            <w:shd w:val="clear" w:color="000000" w:fill="CCFFCC"/>
            <w:noWrap/>
            <w:vAlign w:val="center"/>
            <w:hideMark/>
          </w:tcPr>
          <w:p w14:paraId="7DBE5072"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-3.08%</w:t>
            </w:r>
          </w:p>
        </w:tc>
        <w:tc>
          <w:tcPr>
            <w:tcW w:w="959" w:type="dxa"/>
            <w:tcBorders>
              <w:top w:val="nil"/>
              <w:left w:val="nil"/>
              <w:bottom w:val="nil"/>
              <w:right w:val="single" w:sz="4" w:space="0" w:color="auto"/>
            </w:tcBorders>
            <w:shd w:val="clear" w:color="auto" w:fill="auto"/>
            <w:noWrap/>
            <w:vAlign w:val="center"/>
            <w:hideMark/>
          </w:tcPr>
          <w:p w14:paraId="092111D7"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DC02A6">
              <w:rPr>
                <w:rFonts w:ascii="Arial" w:eastAsia="宋体" w:hAnsi="Arial" w:cs="Arial"/>
                <w:color w:val="BFBFBF"/>
                <w:sz w:val="18"/>
                <w:szCs w:val="18"/>
                <w:lang w:eastAsia="zh-CN"/>
              </w:rPr>
              <w:t>-2.92%</w:t>
            </w:r>
          </w:p>
        </w:tc>
        <w:tc>
          <w:tcPr>
            <w:tcW w:w="692" w:type="dxa"/>
            <w:tcBorders>
              <w:top w:val="nil"/>
              <w:left w:val="nil"/>
              <w:bottom w:val="nil"/>
              <w:right w:val="nil"/>
            </w:tcBorders>
            <w:shd w:val="clear" w:color="auto" w:fill="auto"/>
            <w:noWrap/>
            <w:vAlign w:val="center"/>
            <w:hideMark/>
          </w:tcPr>
          <w:p w14:paraId="54B6124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101%</w:t>
            </w:r>
          </w:p>
        </w:tc>
        <w:tc>
          <w:tcPr>
            <w:tcW w:w="1256" w:type="dxa"/>
            <w:tcBorders>
              <w:top w:val="nil"/>
              <w:left w:val="nil"/>
              <w:bottom w:val="nil"/>
              <w:right w:val="nil"/>
            </w:tcBorders>
            <w:shd w:val="clear" w:color="auto" w:fill="auto"/>
            <w:noWrap/>
            <w:vAlign w:val="center"/>
          </w:tcPr>
          <w:p w14:paraId="67E868A9" w14:textId="2990F7D4"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02A6" w:rsidRPr="00DC02A6" w14:paraId="381DC169"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B4CD7A"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Class E</w:t>
            </w:r>
          </w:p>
        </w:tc>
        <w:tc>
          <w:tcPr>
            <w:tcW w:w="1002" w:type="dxa"/>
            <w:tcBorders>
              <w:top w:val="nil"/>
              <w:left w:val="nil"/>
              <w:bottom w:val="nil"/>
              <w:right w:val="nil"/>
            </w:tcBorders>
            <w:shd w:val="clear" w:color="auto" w:fill="auto"/>
            <w:noWrap/>
            <w:vAlign w:val="center"/>
            <w:hideMark/>
          </w:tcPr>
          <w:p w14:paraId="353BA85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 xml:space="preserve">　</w:t>
            </w:r>
          </w:p>
        </w:tc>
        <w:tc>
          <w:tcPr>
            <w:tcW w:w="1017" w:type="dxa"/>
            <w:tcBorders>
              <w:top w:val="nil"/>
              <w:left w:val="nil"/>
              <w:bottom w:val="nil"/>
              <w:right w:val="nil"/>
            </w:tcBorders>
            <w:shd w:val="clear" w:color="auto" w:fill="auto"/>
            <w:noWrap/>
            <w:vAlign w:val="center"/>
            <w:hideMark/>
          </w:tcPr>
          <w:p w14:paraId="4CB62ECE"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02" w:type="dxa"/>
            <w:tcBorders>
              <w:top w:val="nil"/>
              <w:left w:val="nil"/>
              <w:bottom w:val="nil"/>
              <w:right w:val="single" w:sz="4" w:space="0" w:color="auto"/>
            </w:tcBorders>
            <w:shd w:val="clear" w:color="auto" w:fill="auto"/>
            <w:noWrap/>
            <w:vAlign w:val="center"/>
            <w:hideMark/>
          </w:tcPr>
          <w:p w14:paraId="042E71D3"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 xml:space="preserve">　</w:t>
            </w:r>
          </w:p>
        </w:tc>
        <w:tc>
          <w:tcPr>
            <w:tcW w:w="959" w:type="dxa"/>
            <w:tcBorders>
              <w:top w:val="nil"/>
              <w:left w:val="single" w:sz="8" w:space="0" w:color="auto"/>
              <w:bottom w:val="nil"/>
              <w:right w:val="nil"/>
            </w:tcBorders>
            <w:shd w:val="clear" w:color="auto" w:fill="auto"/>
            <w:noWrap/>
            <w:vAlign w:val="center"/>
            <w:hideMark/>
          </w:tcPr>
          <w:p w14:paraId="04D16F17"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 xml:space="preserve">　</w:t>
            </w:r>
          </w:p>
        </w:tc>
        <w:tc>
          <w:tcPr>
            <w:tcW w:w="973" w:type="dxa"/>
            <w:tcBorders>
              <w:top w:val="nil"/>
              <w:left w:val="nil"/>
              <w:bottom w:val="nil"/>
              <w:right w:val="nil"/>
            </w:tcBorders>
            <w:shd w:val="clear" w:color="auto" w:fill="auto"/>
            <w:noWrap/>
            <w:vAlign w:val="center"/>
            <w:hideMark/>
          </w:tcPr>
          <w:p w14:paraId="719F8B1C"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9" w:type="dxa"/>
            <w:tcBorders>
              <w:top w:val="nil"/>
              <w:left w:val="nil"/>
              <w:bottom w:val="nil"/>
              <w:right w:val="single" w:sz="4" w:space="0" w:color="auto"/>
            </w:tcBorders>
            <w:shd w:val="clear" w:color="auto" w:fill="auto"/>
            <w:noWrap/>
            <w:vAlign w:val="center"/>
            <w:hideMark/>
          </w:tcPr>
          <w:p w14:paraId="10A8B580"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DC02A6">
              <w:rPr>
                <w:rFonts w:ascii="Arial" w:eastAsia="宋体" w:hAnsi="Arial" w:cs="Arial"/>
                <w:color w:val="BFBFBF"/>
                <w:sz w:val="18"/>
                <w:szCs w:val="18"/>
                <w:lang w:eastAsia="zh-CN"/>
              </w:rPr>
              <w:t xml:space="preserve">　</w:t>
            </w:r>
          </w:p>
        </w:tc>
        <w:tc>
          <w:tcPr>
            <w:tcW w:w="692" w:type="dxa"/>
            <w:tcBorders>
              <w:top w:val="nil"/>
              <w:left w:val="nil"/>
              <w:bottom w:val="nil"/>
              <w:right w:val="nil"/>
            </w:tcBorders>
            <w:shd w:val="clear" w:color="auto" w:fill="auto"/>
            <w:noWrap/>
            <w:vAlign w:val="center"/>
            <w:hideMark/>
          </w:tcPr>
          <w:p w14:paraId="33479A9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 xml:space="preserve">　</w:t>
            </w:r>
          </w:p>
        </w:tc>
        <w:tc>
          <w:tcPr>
            <w:tcW w:w="1256" w:type="dxa"/>
            <w:tcBorders>
              <w:top w:val="nil"/>
              <w:left w:val="nil"/>
              <w:bottom w:val="nil"/>
              <w:right w:val="nil"/>
            </w:tcBorders>
            <w:shd w:val="clear" w:color="auto" w:fill="auto"/>
            <w:noWrap/>
            <w:vAlign w:val="center"/>
          </w:tcPr>
          <w:p w14:paraId="5D0230FA"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02A6" w:rsidRPr="00DC02A6" w14:paraId="5A141515" w14:textId="77777777" w:rsidTr="009C24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1A3C5"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C02A6">
              <w:rPr>
                <w:rFonts w:ascii="Arial" w:eastAsia="宋体" w:hAnsi="Arial" w:cs="Arial"/>
                <w:b/>
                <w:bCs/>
                <w:color w:val="000000"/>
                <w:sz w:val="18"/>
                <w:szCs w:val="18"/>
                <w:lang w:eastAsia="zh-CN"/>
              </w:rPr>
              <w:t>Overall</w:t>
            </w:r>
          </w:p>
        </w:tc>
        <w:tc>
          <w:tcPr>
            <w:tcW w:w="1002" w:type="dxa"/>
            <w:tcBorders>
              <w:top w:val="single" w:sz="8" w:space="0" w:color="auto"/>
              <w:left w:val="nil"/>
              <w:bottom w:val="nil"/>
              <w:right w:val="nil"/>
            </w:tcBorders>
            <w:shd w:val="clear" w:color="auto" w:fill="auto"/>
            <w:noWrap/>
            <w:vAlign w:val="center"/>
            <w:hideMark/>
          </w:tcPr>
          <w:p w14:paraId="3644B979"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-1.66%</w:t>
            </w:r>
          </w:p>
        </w:tc>
        <w:tc>
          <w:tcPr>
            <w:tcW w:w="1017" w:type="dxa"/>
            <w:tcBorders>
              <w:top w:val="single" w:sz="8" w:space="0" w:color="auto"/>
              <w:left w:val="nil"/>
              <w:bottom w:val="nil"/>
              <w:right w:val="nil"/>
            </w:tcBorders>
            <w:shd w:val="clear" w:color="auto" w:fill="auto"/>
            <w:noWrap/>
            <w:vAlign w:val="center"/>
            <w:hideMark/>
          </w:tcPr>
          <w:p w14:paraId="058C28EF"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-1.67%</w:t>
            </w:r>
          </w:p>
        </w:tc>
        <w:tc>
          <w:tcPr>
            <w:tcW w:w="1002" w:type="dxa"/>
            <w:tcBorders>
              <w:top w:val="single" w:sz="8" w:space="0" w:color="auto"/>
              <w:left w:val="nil"/>
              <w:bottom w:val="nil"/>
              <w:right w:val="single" w:sz="4" w:space="0" w:color="auto"/>
            </w:tcBorders>
            <w:shd w:val="clear" w:color="auto" w:fill="auto"/>
            <w:noWrap/>
            <w:vAlign w:val="center"/>
            <w:hideMark/>
          </w:tcPr>
          <w:p w14:paraId="6D0B015C"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-1.36%</w:t>
            </w:r>
          </w:p>
        </w:tc>
        <w:tc>
          <w:tcPr>
            <w:tcW w:w="959" w:type="dxa"/>
            <w:tcBorders>
              <w:top w:val="single" w:sz="8" w:space="0" w:color="auto"/>
              <w:left w:val="single" w:sz="8" w:space="0" w:color="auto"/>
              <w:bottom w:val="nil"/>
              <w:right w:val="nil"/>
            </w:tcBorders>
            <w:shd w:val="clear" w:color="auto" w:fill="auto"/>
            <w:noWrap/>
            <w:vAlign w:val="center"/>
            <w:hideMark/>
          </w:tcPr>
          <w:p w14:paraId="5A400A86"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-2.42%</w:t>
            </w:r>
          </w:p>
        </w:tc>
        <w:tc>
          <w:tcPr>
            <w:tcW w:w="973" w:type="dxa"/>
            <w:tcBorders>
              <w:top w:val="single" w:sz="8" w:space="0" w:color="auto"/>
              <w:left w:val="nil"/>
              <w:bottom w:val="nil"/>
              <w:right w:val="nil"/>
            </w:tcBorders>
            <w:shd w:val="clear" w:color="000000" w:fill="CCFFCC"/>
            <w:noWrap/>
            <w:vAlign w:val="center"/>
            <w:hideMark/>
          </w:tcPr>
          <w:p w14:paraId="65E0AA4B"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-3.19%</w:t>
            </w:r>
          </w:p>
        </w:tc>
        <w:tc>
          <w:tcPr>
            <w:tcW w:w="959" w:type="dxa"/>
            <w:tcBorders>
              <w:top w:val="single" w:sz="8" w:space="0" w:color="auto"/>
              <w:left w:val="nil"/>
              <w:bottom w:val="nil"/>
              <w:right w:val="single" w:sz="4" w:space="0" w:color="auto"/>
            </w:tcBorders>
            <w:shd w:val="clear" w:color="000000" w:fill="CCFFCC"/>
            <w:noWrap/>
            <w:vAlign w:val="center"/>
            <w:hideMark/>
          </w:tcPr>
          <w:p w14:paraId="76F1E37F"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C02A6">
              <w:rPr>
                <w:rFonts w:ascii="Arial" w:eastAsia="宋体" w:hAnsi="Arial" w:cs="Arial"/>
                <w:sz w:val="18"/>
                <w:szCs w:val="18"/>
                <w:lang w:eastAsia="zh-CN"/>
              </w:rPr>
              <w:t>-3.04%</w:t>
            </w:r>
          </w:p>
        </w:tc>
        <w:tc>
          <w:tcPr>
            <w:tcW w:w="692" w:type="dxa"/>
            <w:tcBorders>
              <w:top w:val="single" w:sz="8" w:space="0" w:color="auto"/>
              <w:left w:val="nil"/>
              <w:bottom w:val="nil"/>
              <w:right w:val="nil"/>
            </w:tcBorders>
            <w:shd w:val="clear" w:color="auto" w:fill="auto"/>
            <w:noWrap/>
            <w:vAlign w:val="center"/>
            <w:hideMark/>
          </w:tcPr>
          <w:p w14:paraId="38B180B0"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102%</w:t>
            </w:r>
          </w:p>
        </w:tc>
        <w:tc>
          <w:tcPr>
            <w:tcW w:w="1256" w:type="dxa"/>
            <w:tcBorders>
              <w:top w:val="single" w:sz="8" w:space="0" w:color="auto"/>
              <w:left w:val="nil"/>
              <w:bottom w:val="nil"/>
              <w:right w:val="nil"/>
            </w:tcBorders>
            <w:shd w:val="clear" w:color="auto" w:fill="auto"/>
            <w:noWrap/>
            <w:vAlign w:val="center"/>
          </w:tcPr>
          <w:p w14:paraId="0CA2BC07" w14:textId="39804CE5"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C02A6" w:rsidRPr="00DC02A6" w14:paraId="138209A2" w14:textId="77777777" w:rsidTr="009C24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79BDD7"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Class D</w:t>
            </w:r>
          </w:p>
        </w:tc>
        <w:tc>
          <w:tcPr>
            <w:tcW w:w="1002" w:type="dxa"/>
            <w:tcBorders>
              <w:top w:val="single" w:sz="8" w:space="0" w:color="auto"/>
              <w:left w:val="single" w:sz="8" w:space="0" w:color="auto"/>
              <w:bottom w:val="nil"/>
              <w:right w:val="nil"/>
            </w:tcBorders>
            <w:shd w:val="clear" w:color="auto" w:fill="auto"/>
            <w:noWrap/>
            <w:vAlign w:val="center"/>
            <w:hideMark/>
          </w:tcPr>
          <w:p w14:paraId="0C74BA93"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-1.16%</w:t>
            </w:r>
          </w:p>
        </w:tc>
        <w:tc>
          <w:tcPr>
            <w:tcW w:w="1017" w:type="dxa"/>
            <w:tcBorders>
              <w:top w:val="single" w:sz="8" w:space="0" w:color="auto"/>
              <w:left w:val="nil"/>
              <w:bottom w:val="nil"/>
              <w:right w:val="nil"/>
            </w:tcBorders>
            <w:shd w:val="clear" w:color="auto" w:fill="auto"/>
            <w:noWrap/>
            <w:vAlign w:val="center"/>
            <w:hideMark/>
          </w:tcPr>
          <w:p w14:paraId="7526483B"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0.16%</w:t>
            </w:r>
          </w:p>
        </w:tc>
        <w:tc>
          <w:tcPr>
            <w:tcW w:w="1002" w:type="dxa"/>
            <w:tcBorders>
              <w:top w:val="single" w:sz="8" w:space="0" w:color="auto"/>
              <w:left w:val="nil"/>
              <w:bottom w:val="nil"/>
              <w:right w:val="single" w:sz="4" w:space="0" w:color="auto"/>
            </w:tcBorders>
            <w:shd w:val="clear" w:color="auto" w:fill="auto"/>
            <w:noWrap/>
            <w:vAlign w:val="center"/>
            <w:hideMark/>
          </w:tcPr>
          <w:p w14:paraId="58ADED6D"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0.71%</w:t>
            </w:r>
          </w:p>
        </w:tc>
        <w:tc>
          <w:tcPr>
            <w:tcW w:w="959" w:type="dxa"/>
            <w:tcBorders>
              <w:top w:val="single" w:sz="8" w:space="0" w:color="auto"/>
              <w:left w:val="single" w:sz="8" w:space="0" w:color="auto"/>
              <w:bottom w:val="nil"/>
              <w:right w:val="nil"/>
            </w:tcBorders>
            <w:shd w:val="clear" w:color="auto" w:fill="auto"/>
            <w:noWrap/>
            <w:vAlign w:val="center"/>
            <w:hideMark/>
          </w:tcPr>
          <w:p w14:paraId="237A6151"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-2.28%</w:t>
            </w:r>
          </w:p>
        </w:tc>
        <w:tc>
          <w:tcPr>
            <w:tcW w:w="973" w:type="dxa"/>
            <w:tcBorders>
              <w:top w:val="single" w:sz="8" w:space="0" w:color="auto"/>
              <w:left w:val="nil"/>
              <w:bottom w:val="nil"/>
              <w:right w:val="nil"/>
            </w:tcBorders>
            <w:shd w:val="clear" w:color="auto" w:fill="auto"/>
            <w:noWrap/>
            <w:vAlign w:val="center"/>
            <w:hideMark/>
          </w:tcPr>
          <w:p w14:paraId="28F4176D"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DC02A6">
              <w:rPr>
                <w:rFonts w:ascii="Arial" w:eastAsia="宋体" w:hAnsi="Arial" w:cs="Arial"/>
                <w:color w:val="BFBFBF"/>
                <w:sz w:val="18"/>
                <w:szCs w:val="18"/>
                <w:lang w:eastAsia="zh-CN"/>
              </w:rPr>
              <w:t>-2.07%</w:t>
            </w:r>
          </w:p>
        </w:tc>
        <w:tc>
          <w:tcPr>
            <w:tcW w:w="959" w:type="dxa"/>
            <w:tcBorders>
              <w:top w:val="single" w:sz="8" w:space="0" w:color="auto"/>
              <w:left w:val="nil"/>
              <w:bottom w:val="nil"/>
              <w:right w:val="single" w:sz="4" w:space="0" w:color="auto"/>
            </w:tcBorders>
            <w:shd w:val="clear" w:color="auto" w:fill="auto"/>
            <w:noWrap/>
            <w:vAlign w:val="center"/>
            <w:hideMark/>
          </w:tcPr>
          <w:p w14:paraId="37337083"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DC02A6">
              <w:rPr>
                <w:rFonts w:ascii="Arial" w:eastAsia="宋体" w:hAnsi="Arial" w:cs="Arial"/>
                <w:color w:val="BFBFBF"/>
                <w:sz w:val="18"/>
                <w:szCs w:val="18"/>
                <w:lang w:eastAsia="zh-CN"/>
              </w:rPr>
              <w:t>-1.74%</w:t>
            </w:r>
          </w:p>
        </w:tc>
        <w:tc>
          <w:tcPr>
            <w:tcW w:w="692" w:type="dxa"/>
            <w:tcBorders>
              <w:top w:val="single" w:sz="8" w:space="0" w:color="auto"/>
              <w:left w:val="nil"/>
              <w:bottom w:val="nil"/>
              <w:right w:val="nil"/>
            </w:tcBorders>
            <w:shd w:val="clear" w:color="auto" w:fill="auto"/>
            <w:noWrap/>
            <w:vAlign w:val="center"/>
            <w:hideMark/>
          </w:tcPr>
          <w:p w14:paraId="4B70291B" w14:textId="77777777"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C02A6">
              <w:rPr>
                <w:rFonts w:ascii="Arial" w:eastAsia="宋体" w:hAnsi="Arial" w:cs="Arial"/>
                <w:color w:val="000000"/>
                <w:sz w:val="18"/>
                <w:szCs w:val="18"/>
                <w:lang w:eastAsia="zh-CN"/>
              </w:rPr>
              <w:t>90%</w:t>
            </w:r>
          </w:p>
        </w:tc>
        <w:tc>
          <w:tcPr>
            <w:tcW w:w="1256" w:type="dxa"/>
            <w:tcBorders>
              <w:top w:val="single" w:sz="8" w:space="0" w:color="auto"/>
              <w:left w:val="nil"/>
              <w:bottom w:val="nil"/>
              <w:right w:val="nil"/>
            </w:tcBorders>
            <w:shd w:val="clear" w:color="auto" w:fill="auto"/>
            <w:noWrap/>
            <w:vAlign w:val="center"/>
          </w:tcPr>
          <w:p w14:paraId="28E5D0A5" w14:textId="0A12AE9C" w:rsidR="00DC02A6" w:rsidRPr="00DC02A6" w:rsidRDefault="00DC02A6" w:rsidP="00DC0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3EE6B950" w14:textId="77777777" w:rsidR="009C248F" w:rsidRDefault="009C248F" w:rsidP="009C248F">
      <w:pPr>
        <w:rPr>
          <w:lang w:val="en-CA" w:eastAsia="zh-CN"/>
        </w:rPr>
      </w:pPr>
      <w:r>
        <w:rPr>
          <w:rFonts w:hint="eastAsia"/>
          <w:lang w:val="en-CA" w:eastAsia="zh-CN"/>
        </w:rPr>
        <w:t>*</w:t>
      </w:r>
      <w:r>
        <w:rPr>
          <w:lang w:val="en-CA" w:eastAsia="zh-CN"/>
        </w:rPr>
        <w:t>Please note that the running time is not reliable.</w:t>
      </w:r>
    </w:p>
    <w:p w14:paraId="2ACC1BF6" w14:textId="091337A4" w:rsidR="003E3318" w:rsidRDefault="003E3318" w:rsidP="003E3318">
      <w:pPr>
        <w:jc w:val="center"/>
        <w:rPr>
          <w:lang w:val="en-CA" w:eastAsia="zh-CN"/>
        </w:rPr>
      </w:pPr>
      <w:r>
        <w:rPr>
          <w:rFonts w:hint="eastAsia"/>
          <w:lang w:val="en-CA" w:eastAsia="zh-CN"/>
        </w:rPr>
        <w:t>T</w:t>
      </w:r>
      <w:r>
        <w:rPr>
          <w:lang w:val="en-CA" w:eastAsia="zh-CN"/>
        </w:rPr>
        <w:t xml:space="preserve">able. </w:t>
      </w:r>
      <w:r>
        <w:rPr>
          <w:lang w:val="en-CA" w:eastAsia="zh-CN"/>
        </w:rPr>
        <w:t>2</w:t>
      </w:r>
      <w:r>
        <w:rPr>
          <w:lang w:val="en-CA" w:eastAsia="zh-CN"/>
        </w:rPr>
        <w:t xml:space="preserve"> retrained LDRF vs. </w:t>
      </w:r>
      <w:r>
        <w:rPr>
          <w:lang w:val="en-CA" w:eastAsia="zh-CN"/>
        </w:rPr>
        <w:t>JVET-AH0107’s LDRF</w:t>
      </w:r>
    </w:p>
    <w:tbl>
      <w:tblPr>
        <w:tblW w:w="9501" w:type="dxa"/>
        <w:tblLook w:val="04A0" w:firstRow="1" w:lastRow="0" w:firstColumn="1" w:lastColumn="0" w:noHBand="0" w:noVBand="1"/>
      </w:tblPr>
      <w:tblGrid>
        <w:gridCol w:w="1640"/>
        <w:gridCol w:w="1010"/>
        <w:gridCol w:w="1024"/>
        <w:gridCol w:w="1010"/>
        <w:gridCol w:w="966"/>
        <w:gridCol w:w="980"/>
        <w:gridCol w:w="966"/>
        <w:gridCol w:w="640"/>
        <w:gridCol w:w="1265"/>
      </w:tblGrid>
      <w:tr w:rsidR="003E3318" w:rsidRPr="003E3318" w14:paraId="73008C87" w14:textId="77777777" w:rsidTr="003E3318">
        <w:trPr>
          <w:trHeight w:val="255"/>
        </w:trPr>
        <w:tc>
          <w:tcPr>
            <w:tcW w:w="1640" w:type="dxa"/>
            <w:tcBorders>
              <w:top w:val="nil"/>
              <w:left w:val="nil"/>
              <w:bottom w:val="nil"/>
              <w:right w:val="nil"/>
            </w:tcBorders>
            <w:shd w:val="clear" w:color="auto" w:fill="auto"/>
            <w:noWrap/>
            <w:vAlign w:val="center"/>
            <w:hideMark/>
          </w:tcPr>
          <w:p w14:paraId="445FE4F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861" w:type="dxa"/>
            <w:gridSpan w:val="8"/>
            <w:tcBorders>
              <w:top w:val="nil"/>
              <w:left w:val="nil"/>
              <w:bottom w:val="single" w:sz="8" w:space="0" w:color="auto"/>
              <w:right w:val="nil"/>
            </w:tcBorders>
            <w:shd w:val="clear" w:color="auto" w:fill="auto"/>
            <w:noWrap/>
            <w:vAlign w:val="center"/>
            <w:hideMark/>
          </w:tcPr>
          <w:p w14:paraId="2DDF851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E3318">
              <w:rPr>
                <w:rFonts w:ascii="Arial" w:eastAsia="宋体" w:hAnsi="Arial" w:cs="Arial"/>
                <w:b/>
                <w:bCs/>
                <w:color w:val="000000"/>
                <w:sz w:val="18"/>
                <w:szCs w:val="18"/>
                <w:lang w:eastAsia="zh-CN"/>
              </w:rPr>
              <w:t xml:space="preserve">Random access Main10 </w:t>
            </w:r>
          </w:p>
        </w:tc>
      </w:tr>
      <w:tr w:rsidR="003E3318" w:rsidRPr="003E3318" w14:paraId="5E752BA7" w14:textId="77777777" w:rsidTr="003E3318">
        <w:trPr>
          <w:trHeight w:val="255"/>
        </w:trPr>
        <w:tc>
          <w:tcPr>
            <w:tcW w:w="1640" w:type="dxa"/>
            <w:tcBorders>
              <w:top w:val="nil"/>
              <w:left w:val="nil"/>
              <w:bottom w:val="nil"/>
              <w:right w:val="nil"/>
            </w:tcBorders>
            <w:shd w:val="clear" w:color="auto" w:fill="auto"/>
            <w:noWrap/>
            <w:vAlign w:val="center"/>
            <w:hideMark/>
          </w:tcPr>
          <w:p w14:paraId="771C0F73"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861" w:type="dxa"/>
            <w:gridSpan w:val="8"/>
            <w:tcBorders>
              <w:top w:val="single" w:sz="8" w:space="0" w:color="auto"/>
              <w:left w:val="single" w:sz="8" w:space="0" w:color="auto"/>
              <w:bottom w:val="single" w:sz="8" w:space="0" w:color="auto"/>
              <w:right w:val="nil"/>
            </w:tcBorders>
            <w:shd w:val="clear" w:color="auto" w:fill="auto"/>
            <w:noWrap/>
            <w:vAlign w:val="center"/>
            <w:hideMark/>
          </w:tcPr>
          <w:p w14:paraId="0A89AB16" w14:textId="423DF9A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E3318">
              <w:rPr>
                <w:rFonts w:ascii="Arial" w:eastAsia="宋体" w:hAnsi="Arial" w:cs="Arial"/>
                <w:b/>
                <w:bCs/>
                <w:color w:val="000000"/>
                <w:sz w:val="18"/>
                <w:szCs w:val="18"/>
                <w:lang w:eastAsia="zh-CN"/>
              </w:rPr>
              <w:t xml:space="preserve">BD-rate Over </w:t>
            </w:r>
            <w:r>
              <w:rPr>
                <w:rFonts w:ascii="Arial" w:eastAsia="宋体" w:hAnsi="Arial" w:cs="Arial"/>
                <w:b/>
                <w:bCs/>
                <w:color w:val="000000"/>
                <w:sz w:val="18"/>
                <w:szCs w:val="18"/>
                <w:lang w:eastAsia="zh-CN"/>
              </w:rPr>
              <w:t>JVET-AH0107 LDRF</w:t>
            </w:r>
          </w:p>
        </w:tc>
      </w:tr>
      <w:tr w:rsidR="003E3318" w:rsidRPr="003E3318" w14:paraId="1925E324" w14:textId="77777777" w:rsidTr="003E3318">
        <w:trPr>
          <w:trHeight w:val="255"/>
        </w:trPr>
        <w:tc>
          <w:tcPr>
            <w:tcW w:w="1640" w:type="dxa"/>
            <w:tcBorders>
              <w:top w:val="nil"/>
              <w:left w:val="nil"/>
              <w:bottom w:val="nil"/>
              <w:right w:val="nil"/>
            </w:tcBorders>
            <w:shd w:val="clear" w:color="auto" w:fill="auto"/>
            <w:noWrap/>
            <w:vAlign w:val="center"/>
            <w:hideMark/>
          </w:tcPr>
          <w:p w14:paraId="50189C8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0" w:type="dxa"/>
            <w:tcBorders>
              <w:top w:val="nil"/>
              <w:left w:val="single" w:sz="8" w:space="0" w:color="auto"/>
              <w:bottom w:val="single" w:sz="8" w:space="0" w:color="auto"/>
              <w:right w:val="nil"/>
            </w:tcBorders>
            <w:shd w:val="clear" w:color="auto" w:fill="auto"/>
            <w:noWrap/>
            <w:vAlign w:val="center"/>
            <w:hideMark/>
          </w:tcPr>
          <w:p w14:paraId="5B38DDD9"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Y-PSNR</w:t>
            </w:r>
          </w:p>
        </w:tc>
        <w:tc>
          <w:tcPr>
            <w:tcW w:w="1024" w:type="dxa"/>
            <w:tcBorders>
              <w:top w:val="nil"/>
              <w:left w:val="nil"/>
              <w:bottom w:val="single" w:sz="8" w:space="0" w:color="auto"/>
              <w:right w:val="nil"/>
            </w:tcBorders>
            <w:shd w:val="clear" w:color="auto" w:fill="auto"/>
            <w:noWrap/>
            <w:vAlign w:val="center"/>
            <w:hideMark/>
          </w:tcPr>
          <w:p w14:paraId="2FA3B7A2"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U-PSNR</w:t>
            </w:r>
          </w:p>
        </w:tc>
        <w:tc>
          <w:tcPr>
            <w:tcW w:w="1010" w:type="dxa"/>
            <w:tcBorders>
              <w:top w:val="nil"/>
              <w:left w:val="nil"/>
              <w:bottom w:val="single" w:sz="8" w:space="0" w:color="auto"/>
              <w:right w:val="single" w:sz="4" w:space="0" w:color="auto"/>
            </w:tcBorders>
            <w:shd w:val="clear" w:color="auto" w:fill="auto"/>
            <w:noWrap/>
            <w:vAlign w:val="center"/>
            <w:hideMark/>
          </w:tcPr>
          <w:p w14:paraId="36C8879C"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V-PSNR</w:t>
            </w:r>
          </w:p>
        </w:tc>
        <w:tc>
          <w:tcPr>
            <w:tcW w:w="966" w:type="dxa"/>
            <w:tcBorders>
              <w:top w:val="nil"/>
              <w:left w:val="single" w:sz="8" w:space="0" w:color="auto"/>
              <w:bottom w:val="single" w:sz="8" w:space="0" w:color="auto"/>
              <w:right w:val="nil"/>
            </w:tcBorders>
            <w:shd w:val="clear" w:color="auto" w:fill="auto"/>
            <w:noWrap/>
            <w:vAlign w:val="center"/>
            <w:hideMark/>
          </w:tcPr>
          <w:p w14:paraId="460749A2"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Y-MSIM</w:t>
            </w:r>
          </w:p>
        </w:tc>
        <w:tc>
          <w:tcPr>
            <w:tcW w:w="980" w:type="dxa"/>
            <w:tcBorders>
              <w:top w:val="nil"/>
              <w:left w:val="nil"/>
              <w:bottom w:val="single" w:sz="8" w:space="0" w:color="auto"/>
              <w:right w:val="nil"/>
            </w:tcBorders>
            <w:shd w:val="clear" w:color="auto" w:fill="auto"/>
            <w:noWrap/>
            <w:vAlign w:val="center"/>
            <w:hideMark/>
          </w:tcPr>
          <w:p w14:paraId="20A09D27"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U-MSIM</w:t>
            </w:r>
          </w:p>
        </w:tc>
        <w:tc>
          <w:tcPr>
            <w:tcW w:w="966" w:type="dxa"/>
            <w:tcBorders>
              <w:top w:val="nil"/>
              <w:left w:val="nil"/>
              <w:bottom w:val="single" w:sz="8" w:space="0" w:color="auto"/>
              <w:right w:val="single" w:sz="4" w:space="0" w:color="auto"/>
            </w:tcBorders>
            <w:shd w:val="clear" w:color="auto" w:fill="auto"/>
            <w:noWrap/>
            <w:vAlign w:val="center"/>
            <w:hideMark/>
          </w:tcPr>
          <w:p w14:paraId="4CB997B7"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V-MSIM</w:t>
            </w:r>
          </w:p>
        </w:tc>
        <w:tc>
          <w:tcPr>
            <w:tcW w:w="640" w:type="dxa"/>
            <w:tcBorders>
              <w:top w:val="nil"/>
              <w:left w:val="nil"/>
              <w:bottom w:val="single" w:sz="8" w:space="0" w:color="auto"/>
              <w:right w:val="nil"/>
            </w:tcBorders>
            <w:shd w:val="clear" w:color="auto" w:fill="auto"/>
            <w:noWrap/>
            <w:vAlign w:val="center"/>
            <w:hideMark/>
          </w:tcPr>
          <w:p w14:paraId="06FE2A5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EncT</w:t>
            </w:r>
          </w:p>
        </w:tc>
        <w:tc>
          <w:tcPr>
            <w:tcW w:w="1265" w:type="dxa"/>
            <w:tcBorders>
              <w:top w:val="nil"/>
              <w:left w:val="nil"/>
              <w:bottom w:val="single" w:sz="8" w:space="0" w:color="auto"/>
              <w:right w:val="nil"/>
            </w:tcBorders>
            <w:shd w:val="clear" w:color="auto" w:fill="auto"/>
            <w:noWrap/>
            <w:vAlign w:val="center"/>
            <w:hideMark/>
          </w:tcPr>
          <w:p w14:paraId="5FAA08F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DecT CPU</w:t>
            </w:r>
          </w:p>
        </w:tc>
      </w:tr>
      <w:tr w:rsidR="003E3318" w:rsidRPr="003E3318" w14:paraId="67A21907" w14:textId="77777777" w:rsidTr="009C24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78A88"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Class A1</w:t>
            </w:r>
          </w:p>
        </w:tc>
        <w:tc>
          <w:tcPr>
            <w:tcW w:w="1010" w:type="dxa"/>
            <w:tcBorders>
              <w:top w:val="nil"/>
              <w:left w:val="nil"/>
              <w:bottom w:val="nil"/>
              <w:right w:val="nil"/>
            </w:tcBorders>
            <w:shd w:val="clear" w:color="auto" w:fill="auto"/>
            <w:noWrap/>
            <w:vAlign w:val="center"/>
            <w:hideMark/>
          </w:tcPr>
          <w:p w14:paraId="33DA74EC"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0.04%</w:t>
            </w:r>
          </w:p>
        </w:tc>
        <w:tc>
          <w:tcPr>
            <w:tcW w:w="1024" w:type="dxa"/>
            <w:tcBorders>
              <w:top w:val="nil"/>
              <w:left w:val="nil"/>
              <w:bottom w:val="nil"/>
              <w:right w:val="nil"/>
            </w:tcBorders>
            <w:shd w:val="clear" w:color="auto" w:fill="auto"/>
            <w:noWrap/>
            <w:vAlign w:val="center"/>
            <w:hideMark/>
          </w:tcPr>
          <w:p w14:paraId="5EC462B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-0.39%</w:t>
            </w:r>
          </w:p>
        </w:tc>
        <w:tc>
          <w:tcPr>
            <w:tcW w:w="1010" w:type="dxa"/>
            <w:tcBorders>
              <w:top w:val="nil"/>
              <w:left w:val="nil"/>
              <w:bottom w:val="nil"/>
              <w:right w:val="single" w:sz="4" w:space="0" w:color="auto"/>
            </w:tcBorders>
            <w:shd w:val="clear" w:color="auto" w:fill="auto"/>
            <w:noWrap/>
            <w:vAlign w:val="center"/>
            <w:hideMark/>
          </w:tcPr>
          <w:p w14:paraId="2F0AFBCA"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-0.10%</w:t>
            </w:r>
          </w:p>
        </w:tc>
        <w:tc>
          <w:tcPr>
            <w:tcW w:w="966" w:type="dxa"/>
            <w:tcBorders>
              <w:top w:val="nil"/>
              <w:left w:val="single" w:sz="8" w:space="0" w:color="auto"/>
              <w:bottom w:val="nil"/>
              <w:right w:val="nil"/>
            </w:tcBorders>
            <w:shd w:val="clear" w:color="auto" w:fill="auto"/>
            <w:noWrap/>
            <w:vAlign w:val="center"/>
            <w:hideMark/>
          </w:tcPr>
          <w:p w14:paraId="536A45E7"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0.02%</w:t>
            </w:r>
          </w:p>
        </w:tc>
        <w:tc>
          <w:tcPr>
            <w:tcW w:w="980" w:type="dxa"/>
            <w:tcBorders>
              <w:top w:val="nil"/>
              <w:left w:val="nil"/>
              <w:bottom w:val="nil"/>
              <w:right w:val="nil"/>
            </w:tcBorders>
            <w:shd w:val="clear" w:color="auto" w:fill="auto"/>
            <w:noWrap/>
            <w:vAlign w:val="center"/>
            <w:hideMark/>
          </w:tcPr>
          <w:p w14:paraId="2F08A0BC"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-1.49%</w:t>
            </w:r>
          </w:p>
        </w:tc>
        <w:tc>
          <w:tcPr>
            <w:tcW w:w="966" w:type="dxa"/>
            <w:tcBorders>
              <w:top w:val="nil"/>
              <w:left w:val="nil"/>
              <w:bottom w:val="nil"/>
              <w:right w:val="single" w:sz="4" w:space="0" w:color="auto"/>
            </w:tcBorders>
            <w:shd w:val="clear" w:color="auto" w:fill="auto"/>
            <w:noWrap/>
            <w:vAlign w:val="center"/>
            <w:hideMark/>
          </w:tcPr>
          <w:p w14:paraId="790B22C3"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-0.05%</w:t>
            </w:r>
          </w:p>
        </w:tc>
        <w:tc>
          <w:tcPr>
            <w:tcW w:w="640" w:type="dxa"/>
            <w:tcBorders>
              <w:top w:val="nil"/>
              <w:left w:val="nil"/>
              <w:bottom w:val="nil"/>
              <w:right w:val="nil"/>
            </w:tcBorders>
            <w:shd w:val="clear" w:color="auto" w:fill="auto"/>
            <w:noWrap/>
            <w:vAlign w:val="center"/>
            <w:hideMark/>
          </w:tcPr>
          <w:p w14:paraId="3B41843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91%</w:t>
            </w:r>
          </w:p>
        </w:tc>
        <w:tc>
          <w:tcPr>
            <w:tcW w:w="1265" w:type="dxa"/>
            <w:tcBorders>
              <w:top w:val="nil"/>
              <w:left w:val="nil"/>
              <w:bottom w:val="nil"/>
              <w:right w:val="nil"/>
            </w:tcBorders>
            <w:shd w:val="clear" w:color="auto" w:fill="auto"/>
            <w:noWrap/>
            <w:vAlign w:val="center"/>
          </w:tcPr>
          <w:p w14:paraId="5B79B859" w14:textId="09C139BE"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3318" w:rsidRPr="003E3318" w14:paraId="514C2E49"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A7148F"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Class A2</w:t>
            </w:r>
          </w:p>
        </w:tc>
        <w:tc>
          <w:tcPr>
            <w:tcW w:w="1010" w:type="dxa"/>
            <w:tcBorders>
              <w:top w:val="nil"/>
              <w:left w:val="nil"/>
              <w:bottom w:val="nil"/>
              <w:right w:val="nil"/>
            </w:tcBorders>
            <w:shd w:val="clear" w:color="auto" w:fill="auto"/>
            <w:noWrap/>
            <w:vAlign w:val="center"/>
            <w:hideMark/>
          </w:tcPr>
          <w:p w14:paraId="34CC84D2"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0.01%</w:t>
            </w:r>
          </w:p>
        </w:tc>
        <w:tc>
          <w:tcPr>
            <w:tcW w:w="1024" w:type="dxa"/>
            <w:tcBorders>
              <w:top w:val="nil"/>
              <w:left w:val="nil"/>
              <w:bottom w:val="nil"/>
              <w:right w:val="nil"/>
            </w:tcBorders>
            <w:shd w:val="clear" w:color="auto" w:fill="auto"/>
            <w:noWrap/>
            <w:vAlign w:val="center"/>
            <w:hideMark/>
          </w:tcPr>
          <w:p w14:paraId="2510421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-0.10%</w:t>
            </w:r>
          </w:p>
        </w:tc>
        <w:tc>
          <w:tcPr>
            <w:tcW w:w="1010" w:type="dxa"/>
            <w:tcBorders>
              <w:top w:val="nil"/>
              <w:left w:val="nil"/>
              <w:bottom w:val="nil"/>
              <w:right w:val="single" w:sz="4" w:space="0" w:color="auto"/>
            </w:tcBorders>
            <w:shd w:val="clear" w:color="auto" w:fill="auto"/>
            <w:noWrap/>
            <w:vAlign w:val="center"/>
            <w:hideMark/>
          </w:tcPr>
          <w:p w14:paraId="7BC3F8A4"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-0.04%</w:t>
            </w:r>
          </w:p>
        </w:tc>
        <w:tc>
          <w:tcPr>
            <w:tcW w:w="966" w:type="dxa"/>
            <w:tcBorders>
              <w:top w:val="nil"/>
              <w:left w:val="single" w:sz="8" w:space="0" w:color="auto"/>
              <w:bottom w:val="nil"/>
              <w:right w:val="nil"/>
            </w:tcBorders>
            <w:shd w:val="clear" w:color="auto" w:fill="auto"/>
            <w:noWrap/>
            <w:vAlign w:val="center"/>
            <w:hideMark/>
          </w:tcPr>
          <w:p w14:paraId="2826A3B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0.02%</w:t>
            </w:r>
          </w:p>
        </w:tc>
        <w:tc>
          <w:tcPr>
            <w:tcW w:w="980" w:type="dxa"/>
            <w:tcBorders>
              <w:top w:val="nil"/>
              <w:left w:val="nil"/>
              <w:bottom w:val="nil"/>
              <w:right w:val="nil"/>
            </w:tcBorders>
            <w:shd w:val="clear" w:color="auto" w:fill="auto"/>
            <w:noWrap/>
            <w:vAlign w:val="center"/>
            <w:hideMark/>
          </w:tcPr>
          <w:p w14:paraId="6D62775E"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-0.50%</w:t>
            </w:r>
          </w:p>
        </w:tc>
        <w:tc>
          <w:tcPr>
            <w:tcW w:w="966" w:type="dxa"/>
            <w:tcBorders>
              <w:top w:val="nil"/>
              <w:left w:val="nil"/>
              <w:bottom w:val="nil"/>
              <w:right w:val="single" w:sz="4" w:space="0" w:color="auto"/>
            </w:tcBorders>
            <w:shd w:val="clear" w:color="auto" w:fill="auto"/>
            <w:noWrap/>
            <w:vAlign w:val="center"/>
            <w:hideMark/>
          </w:tcPr>
          <w:p w14:paraId="758A489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0.01%</w:t>
            </w:r>
          </w:p>
        </w:tc>
        <w:tc>
          <w:tcPr>
            <w:tcW w:w="640" w:type="dxa"/>
            <w:tcBorders>
              <w:top w:val="nil"/>
              <w:left w:val="nil"/>
              <w:bottom w:val="nil"/>
              <w:right w:val="nil"/>
            </w:tcBorders>
            <w:shd w:val="clear" w:color="auto" w:fill="auto"/>
            <w:noWrap/>
            <w:vAlign w:val="center"/>
            <w:hideMark/>
          </w:tcPr>
          <w:p w14:paraId="550F6AA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95%</w:t>
            </w:r>
          </w:p>
        </w:tc>
        <w:tc>
          <w:tcPr>
            <w:tcW w:w="1265" w:type="dxa"/>
            <w:tcBorders>
              <w:top w:val="nil"/>
              <w:left w:val="nil"/>
              <w:bottom w:val="nil"/>
              <w:right w:val="nil"/>
            </w:tcBorders>
            <w:shd w:val="clear" w:color="auto" w:fill="auto"/>
            <w:noWrap/>
            <w:vAlign w:val="center"/>
          </w:tcPr>
          <w:p w14:paraId="4B7B3925" w14:textId="54D0E1CC"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3318" w:rsidRPr="003E3318" w14:paraId="671FFEBF"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988B4C"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Class B</w:t>
            </w:r>
          </w:p>
        </w:tc>
        <w:tc>
          <w:tcPr>
            <w:tcW w:w="1010" w:type="dxa"/>
            <w:tcBorders>
              <w:top w:val="nil"/>
              <w:left w:val="nil"/>
              <w:bottom w:val="nil"/>
              <w:right w:val="nil"/>
            </w:tcBorders>
            <w:shd w:val="clear" w:color="auto" w:fill="auto"/>
            <w:noWrap/>
            <w:vAlign w:val="center"/>
            <w:hideMark/>
          </w:tcPr>
          <w:p w14:paraId="6124C83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0.00%</w:t>
            </w:r>
          </w:p>
        </w:tc>
        <w:tc>
          <w:tcPr>
            <w:tcW w:w="1024" w:type="dxa"/>
            <w:tcBorders>
              <w:top w:val="nil"/>
              <w:left w:val="nil"/>
              <w:bottom w:val="nil"/>
              <w:right w:val="nil"/>
            </w:tcBorders>
            <w:shd w:val="clear" w:color="auto" w:fill="auto"/>
            <w:noWrap/>
            <w:vAlign w:val="center"/>
            <w:hideMark/>
          </w:tcPr>
          <w:p w14:paraId="5B21A52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-0.01%</w:t>
            </w:r>
          </w:p>
        </w:tc>
        <w:tc>
          <w:tcPr>
            <w:tcW w:w="1010" w:type="dxa"/>
            <w:tcBorders>
              <w:top w:val="nil"/>
              <w:left w:val="nil"/>
              <w:bottom w:val="nil"/>
              <w:right w:val="single" w:sz="4" w:space="0" w:color="auto"/>
            </w:tcBorders>
            <w:shd w:val="clear" w:color="auto" w:fill="auto"/>
            <w:noWrap/>
            <w:vAlign w:val="center"/>
            <w:hideMark/>
          </w:tcPr>
          <w:p w14:paraId="34C95B0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-0.13%</w:t>
            </w:r>
          </w:p>
        </w:tc>
        <w:tc>
          <w:tcPr>
            <w:tcW w:w="966" w:type="dxa"/>
            <w:tcBorders>
              <w:top w:val="nil"/>
              <w:left w:val="single" w:sz="8" w:space="0" w:color="auto"/>
              <w:bottom w:val="nil"/>
              <w:right w:val="nil"/>
            </w:tcBorders>
            <w:shd w:val="clear" w:color="auto" w:fill="auto"/>
            <w:noWrap/>
            <w:vAlign w:val="center"/>
            <w:hideMark/>
          </w:tcPr>
          <w:p w14:paraId="2BB4F1AF"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0.05%</w:t>
            </w:r>
          </w:p>
        </w:tc>
        <w:tc>
          <w:tcPr>
            <w:tcW w:w="980" w:type="dxa"/>
            <w:tcBorders>
              <w:top w:val="nil"/>
              <w:left w:val="nil"/>
              <w:bottom w:val="nil"/>
              <w:right w:val="nil"/>
            </w:tcBorders>
            <w:shd w:val="clear" w:color="auto" w:fill="auto"/>
            <w:noWrap/>
            <w:vAlign w:val="center"/>
            <w:hideMark/>
          </w:tcPr>
          <w:p w14:paraId="57A88284"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-0.21%</w:t>
            </w:r>
          </w:p>
        </w:tc>
        <w:tc>
          <w:tcPr>
            <w:tcW w:w="966" w:type="dxa"/>
            <w:tcBorders>
              <w:top w:val="nil"/>
              <w:left w:val="nil"/>
              <w:bottom w:val="nil"/>
              <w:right w:val="single" w:sz="4" w:space="0" w:color="auto"/>
            </w:tcBorders>
            <w:shd w:val="clear" w:color="auto" w:fill="auto"/>
            <w:noWrap/>
            <w:vAlign w:val="center"/>
            <w:hideMark/>
          </w:tcPr>
          <w:p w14:paraId="76A3E7C7"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-0.30%</w:t>
            </w:r>
          </w:p>
        </w:tc>
        <w:tc>
          <w:tcPr>
            <w:tcW w:w="640" w:type="dxa"/>
            <w:tcBorders>
              <w:top w:val="nil"/>
              <w:left w:val="nil"/>
              <w:bottom w:val="nil"/>
              <w:right w:val="nil"/>
            </w:tcBorders>
            <w:shd w:val="clear" w:color="auto" w:fill="auto"/>
            <w:noWrap/>
            <w:vAlign w:val="center"/>
            <w:hideMark/>
          </w:tcPr>
          <w:p w14:paraId="08FFB7BB"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78%</w:t>
            </w:r>
          </w:p>
        </w:tc>
        <w:tc>
          <w:tcPr>
            <w:tcW w:w="1265" w:type="dxa"/>
            <w:tcBorders>
              <w:top w:val="nil"/>
              <w:left w:val="nil"/>
              <w:bottom w:val="nil"/>
              <w:right w:val="nil"/>
            </w:tcBorders>
            <w:shd w:val="clear" w:color="auto" w:fill="auto"/>
            <w:noWrap/>
            <w:vAlign w:val="center"/>
          </w:tcPr>
          <w:p w14:paraId="55382CEA" w14:textId="6C733CA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3318" w:rsidRPr="003E3318" w14:paraId="79ACDDCC"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CDB4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Class C</w:t>
            </w:r>
          </w:p>
        </w:tc>
        <w:tc>
          <w:tcPr>
            <w:tcW w:w="1010" w:type="dxa"/>
            <w:tcBorders>
              <w:top w:val="nil"/>
              <w:left w:val="nil"/>
              <w:bottom w:val="nil"/>
              <w:right w:val="nil"/>
            </w:tcBorders>
            <w:shd w:val="clear" w:color="auto" w:fill="auto"/>
            <w:noWrap/>
            <w:vAlign w:val="center"/>
            <w:hideMark/>
          </w:tcPr>
          <w:p w14:paraId="3DF3F56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-0.04%</w:t>
            </w:r>
          </w:p>
        </w:tc>
        <w:tc>
          <w:tcPr>
            <w:tcW w:w="1024" w:type="dxa"/>
            <w:tcBorders>
              <w:top w:val="nil"/>
              <w:left w:val="nil"/>
              <w:bottom w:val="nil"/>
              <w:right w:val="nil"/>
            </w:tcBorders>
            <w:shd w:val="clear" w:color="auto" w:fill="auto"/>
            <w:noWrap/>
            <w:vAlign w:val="center"/>
            <w:hideMark/>
          </w:tcPr>
          <w:p w14:paraId="5319368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0.01%</w:t>
            </w:r>
          </w:p>
        </w:tc>
        <w:tc>
          <w:tcPr>
            <w:tcW w:w="1010" w:type="dxa"/>
            <w:tcBorders>
              <w:top w:val="nil"/>
              <w:left w:val="nil"/>
              <w:bottom w:val="nil"/>
              <w:right w:val="single" w:sz="4" w:space="0" w:color="auto"/>
            </w:tcBorders>
            <w:shd w:val="clear" w:color="auto" w:fill="auto"/>
            <w:noWrap/>
            <w:vAlign w:val="center"/>
            <w:hideMark/>
          </w:tcPr>
          <w:p w14:paraId="094D7392"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-0.04%</w:t>
            </w:r>
          </w:p>
        </w:tc>
        <w:tc>
          <w:tcPr>
            <w:tcW w:w="966" w:type="dxa"/>
            <w:tcBorders>
              <w:top w:val="nil"/>
              <w:left w:val="single" w:sz="8" w:space="0" w:color="auto"/>
              <w:bottom w:val="nil"/>
              <w:right w:val="nil"/>
            </w:tcBorders>
            <w:shd w:val="clear" w:color="auto" w:fill="auto"/>
            <w:noWrap/>
            <w:vAlign w:val="center"/>
            <w:hideMark/>
          </w:tcPr>
          <w:p w14:paraId="7B57670D"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-0.03%</w:t>
            </w:r>
          </w:p>
        </w:tc>
        <w:tc>
          <w:tcPr>
            <w:tcW w:w="980" w:type="dxa"/>
            <w:tcBorders>
              <w:top w:val="nil"/>
              <w:left w:val="nil"/>
              <w:bottom w:val="nil"/>
              <w:right w:val="nil"/>
            </w:tcBorders>
            <w:shd w:val="clear" w:color="auto" w:fill="auto"/>
            <w:noWrap/>
            <w:vAlign w:val="center"/>
            <w:hideMark/>
          </w:tcPr>
          <w:p w14:paraId="631954B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-0.13%</w:t>
            </w:r>
          </w:p>
        </w:tc>
        <w:tc>
          <w:tcPr>
            <w:tcW w:w="966" w:type="dxa"/>
            <w:tcBorders>
              <w:top w:val="nil"/>
              <w:left w:val="nil"/>
              <w:bottom w:val="nil"/>
              <w:right w:val="single" w:sz="4" w:space="0" w:color="auto"/>
            </w:tcBorders>
            <w:shd w:val="clear" w:color="auto" w:fill="auto"/>
            <w:noWrap/>
            <w:vAlign w:val="center"/>
            <w:hideMark/>
          </w:tcPr>
          <w:p w14:paraId="5DD38EAD"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-0.08%</w:t>
            </w:r>
          </w:p>
        </w:tc>
        <w:tc>
          <w:tcPr>
            <w:tcW w:w="640" w:type="dxa"/>
            <w:tcBorders>
              <w:top w:val="nil"/>
              <w:left w:val="nil"/>
              <w:bottom w:val="nil"/>
              <w:right w:val="nil"/>
            </w:tcBorders>
            <w:shd w:val="clear" w:color="auto" w:fill="auto"/>
            <w:noWrap/>
            <w:vAlign w:val="center"/>
            <w:hideMark/>
          </w:tcPr>
          <w:p w14:paraId="18156468"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96%</w:t>
            </w:r>
          </w:p>
        </w:tc>
        <w:tc>
          <w:tcPr>
            <w:tcW w:w="1265" w:type="dxa"/>
            <w:tcBorders>
              <w:top w:val="nil"/>
              <w:left w:val="nil"/>
              <w:bottom w:val="nil"/>
              <w:right w:val="nil"/>
            </w:tcBorders>
            <w:shd w:val="clear" w:color="auto" w:fill="auto"/>
            <w:noWrap/>
            <w:vAlign w:val="center"/>
          </w:tcPr>
          <w:p w14:paraId="07B9B04B" w14:textId="1BEAC1F0"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3318" w:rsidRPr="003E3318" w14:paraId="7061D580" w14:textId="77777777" w:rsidTr="009C24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C5CFEB"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Class E</w:t>
            </w:r>
          </w:p>
        </w:tc>
        <w:tc>
          <w:tcPr>
            <w:tcW w:w="1010" w:type="dxa"/>
            <w:tcBorders>
              <w:top w:val="nil"/>
              <w:left w:val="nil"/>
              <w:bottom w:val="nil"/>
              <w:right w:val="nil"/>
            </w:tcBorders>
            <w:shd w:val="clear" w:color="auto" w:fill="auto"/>
            <w:noWrap/>
            <w:vAlign w:val="center"/>
            <w:hideMark/>
          </w:tcPr>
          <w:p w14:paraId="7AC67177"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 xml:space="preserve">　</w:t>
            </w:r>
          </w:p>
        </w:tc>
        <w:tc>
          <w:tcPr>
            <w:tcW w:w="1024" w:type="dxa"/>
            <w:tcBorders>
              <w:top w:val="nil"/>
              <w:left w:val="nil"/>
              <w:bottom w:val="nil"/>
              <w:right w:val="nil"/>
            </w:tcBorders>
            <w:shd w:val="clear" w:color="auto" w:fill="auto"/>
            <w:noWrap/>
            <w:vAlign w:val="center"/>
            <w:hideMark/>
          </w:tcPr>
          <w:p w14:paraId="29FBCF4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10" w:type="dxa"/>
            <w:tcBorders>
              <w:top w:val="nil"/>
              <w:left w:val="nil"/>
              <w:bottom w:val="nil"/>
              <w:right w:val="single" w:sz="4" w:space="0" w:color="auto"/>
            </w:tcBorders>
            <w:shd w:val="clear" w:color="auto" w:fill="auto"/>
            <w:noWrap/>
            <w:vAlign w:val="center"/>
            <w:hideMark/>
          </w:tcPr>
          <w:p w14:paraId="3C4AAF2E"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 xml:space="preserve">　</w:t>
            </w:r>
          </w:p>
        </w:tc>
        <w:tc>
          <w:tcPr>
            <w:tcW w:w="966" w:type="dxa"/>
            <w:tcBorders>
              <w:top w:val="nil"/>
              <w:left w:val="single" w:sz="8" w:space="0" w:color="auto"/>
              <w:bottom w:val="nil"/>
              <w:right w:val="nil"/>
            </w:tcBorders>
            <w:shd w:val="clear" w:color="auto" w:fill="auto"/>
            <w:noWrap/>
            <w:vAlign w:val="center"/>
            <w:hideMark/>
          </w:tcPr>
          <w:p w14:paraId="182F44E4"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 xml:space="preserve">　</w:t>
            </w:r>
          </w:p>
        </w:tc>
        <w:tc>
          <w:tcPr>
            <w:tcW w:w="980" w:type="dxa"/>
            <w:tcBorders>
              <w:top w:val="nil"/>
              <w:left w:val="nil"/>
              <w:bottom w:val="nil"/>
              <w:right w:val="nil"/>
            </w:tcBorders>
            <w:shd w:val="clear" w:color="auto" w:fill="auto"/>
            <w:noWrap/>
            <w:vAlign w:val="center"/>
            <w:hideMark/>
          </w:tcPr>
          <w:p w14:paraId="687295C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6" w:type="dxa"/>
            <w:tcBorders>
              <w:top w:val="nil"/>
              <w:left w:val="nil"/>
              <w:bottom w:val="nil"/>
              <w:right w:val="single" w:sz="4" w:space="0" w:color="auto"/>
            </w:tcBorders>
            <w:shd w:val="clear" w:color="auto" w:fill="auto"/>
            <w:noWrap/>
            <w:vAlign w:val="center"/>
            <w:hideMark/>
          </w:tcPr>
          <w:p w14:paraId="0EE7C61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 xml:space="preserve">　</w:t>
            </w:r>
          </w:p>
        </w:tc>
        <w:tc>
          <w:tcPr>
            <w:tcW w:w="640" w:type="dxa"/>
            <w:tcBorders>
              <w:top w:val="nil"/>
              <w:left w:val="nil"/>
              <w:bottom w:val="nil"/>
              <w:right w:val="nil"/>
            </w:tcBorders>
            <w:shd w:val="clear" w:color="auto" w:fill="auto"/>
            <w:noWrap/>
            <w:vAlign w:val="center"/>
            <w:hideMark/>
          </w:tcPr>
          <w:p w14:paraId="6CA6091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 xml:space="preserve">　</w:t>
            </w:r>
          </w:p>
        </w:tc>
        <w:tc>
          <w:tcPr>
            <w:tcW w:w="1265" w:type="dxa"/>
            <w:tcBorders>
              <w:top w:val="nil"/>
              <w:left w:val="nil"/>
              <w:bottom w:val="nil"/>
              <w:right w:val="nil"/>
            </w:tcBorders>
            <w:shd w:val="clear" w:color="auto" w:fill="auto"/>
            <w:noWrap/>
            <w:vAlign w:val="center"/>
          </w:tcPr>
          <w:p w14:paraId="38B77074"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3318" w:rsidRPr="003E3318" w14:paraId="0E3E0647" w14:textId="77777777" w:rsidTr="009C24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874A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3E3318">
              <w:rPr>
                <w:rFonts w:ascii="Arial" w:eastAsia="宋体" w:hAnsi="Arial" w:cs="Arial"/>
                <w:b/>
                <w:bCs/>
                <w:color w:val="000000"/>
                <w:sz w:val="18"/>
                <w:szCs w:val="18"/>
                <w:lang w:eastAsia="zh-CN"/>
              </w:rPr>
              <w:t>Overall</w:t>
            </w:r>
          </w:p>
        </w:tc>
        <w:tc>
          <w:tcPr>
            <w:tcW w:w="1010" w:type="dxa"/>
            <w:tcBorders>
              <w:top w:val="single" w:sz="8" w:space="0" w:color="auto"/>
              <w:left w:val="nil"/>
              <w:bottom w:val="nil"/>
              <w:right w:val="nil"/>
            </w:tcBorders>
            <w:shd w:val="clear" w:color="auto" w:fill="auto"/>
            <w:noWrap/>
            <w:vAlign w:val="center"/>
            <w:hideMark/>
          </w:tcPr>
          <w:p w14:paraId="1AB00CE7"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0.00%</w:t>
            </w:r>
          </w:p>
        </w:tc>
        <w:tc>
          <w:tcPr>
            <w:tcW w:w="1024" w:type="dxa"/>
            <w:tcBorders>
              <w:top w:val="single" w:sz="8" w:space="0" w:color="auto"/>
              <w:left w:val="nil"/>
              <w:bottom w:val="nil"/>
              <w:right w:val="nil"/>
            </w:tcBorders>
            <w:shd w:val="clear" w:color="auto" w:fill="auto"/>
            <w:noWrap/>
            <w:vAlign w:val="center"/>
            <w:hideMark/>
          </w:tcPr>
          <w:p w14:paraId="6EEBB27C"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-0.10%</w:t>
            </w:r>
          </w:p>
        </w:tc>
        <w:tc>
          <w:tcPr>
            <w:tcW w:w="1010" w:type="dxa"/>
            <w:tcBorders>
              <w:top w:val="single" w:sz="8" w:space="0" w:color="auto"/>
              <w:left w:val="nil"/>
              <w:bottom w:val="nil"/>
              <w:right w:val="single" w:sz="4" w:space="0" w:color="auto"/>
            </w:tcBorders>
            <w:shd w:val="clear" w:color="auto" w:fill="auto"/>
            <w:noWrap/>
            <w:vAlign w:val="center"/>
            <w:hideMark/>
          </w:tcPr>
          <w:p w14:paraId="632B4491"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-0.08%</w:t>
            </w:r>
          </w:p>
        </w:tc>
        <w:tc>
          <w:tcPr>
            <w:tcW w:w="966" w:type="dxa"/>
            <w:tcBorders>
              <w:top w:val="single" w:sz="8" w:space="0" w:color="auto"/>
              <w:left w:val="single" w:sz="8" w:space="0" w:color="auto"/>
              <w:bottom w:val="nil"/>
              <w:right w:val="nil"/>
            </w:tcBorders>
            <w:shd w:val="clear" w:color="auto" w:fill="auto"/>
            <w:noWrap/>
            <w:vAlign w:val="center"/>
            <w:hideMark/>
          </w:tcPr>
          <w:p w14:paraId="0DF262E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0.02%</w:t>
            </w:r>
          </w:p>
        </w:tc>
        <w:tc>
          <w:tcPr>
            <w:tcW w:w="980" w:type="dxa"/>
            <w:tcBorders>
              <w:top w:val="single" w:sz="8" w:space="0" w:color="auto"/>
              <w:left w:val="nil"/>
              <w:bottom w:val="nil"/>
              <w:right w:val="nil"/>
            </w:tcBorders>
            <w:shd w:val="clear" w:color="auto" w:fill="auto"/>
            <w:noWrap/>
            <w:vAlign w:val="center"/>
            <w:hideMark/>
          </w:tcPr>
          <w:p w14:paraId="26C8941B"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-0.50%</w:t>
            </w:r>
          </w:p>
        </w:tc>
        <w:tc>
          <w:tcPr>
            <w:tcW w:w="966" w:type="dxa"/>
            <w:tcBorders>
              <w:top w:val="single" w:sz="8" w:space="0" w:color="auto"/>
              <w:left w:val="nil"/>
              <w:bottom w:val="nil"/>
              <w:right w:val="single" w:sz="4" w:space="0" w:color="auto"/>
            </w:tcBorders>
            <w:shd w:val="clear" w:color="auto" w:fill="auto"/>
            <w:noWrap/>
            <w:vAlign w:val="center"/>
            <w:hideMark/>
          </w:tcPr>
          <w:p w14:paraId="77E68A0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-0.13%</w:t>
            </w:r>
          </w:p>
        </w:tc>
        <w:tc>
          <w:tcPr>
            <w:tcW w:w="640" w:type="dxa"/>
            <w:tcBorders>
              <w:top w:val="single" w:sz="8" w:space="0" w:color="auto"/>
              <w:left w:val="nil"/>
              <w:bottom w:val="nil"/>
              <w:right w:val="nil"/>
            </w:tcBorders>
            <w:shd w:val="clear" w:color="auto" w:fill="auto"/>
            <w:noWrap/>
            <w:vAlign w:val="center"/>
            <w:hideMark/>
          </w:tcPr>
          <w:p w14:paraId="624A0D8D"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88%</w:t>
            </w:r>
          </w:p>
        </w:tc>
        <w:tc>
          <w:tcPr>
            <w:tcW w:w="1265" w:type="dxa"/>
            <w:tcBorders>
              <w:top w:val="single" w:sz="8" w:space="0" w:color="auto"/>
              <w:left w:val="nil"/>
              <w:bottom w:val="nil"/>
              <w:right w:val="nil"/>
            </w:tcBorders>
            <w:shd w:val="clear" w:color="auto" w:fill="auto"/>
            <w:noWrap/>
            <w:vAlign w:val="center"/>
          </w:tcPr>
          <w:p w14:paraId="4DF6C059" w14:textId="181EE3FD"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3E3318" w:rsidRPr="003E3318" w14:paraId="395021B2" w14:textId="77777777" w:rsidTr="009C24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C839380"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Class D</w:t>
            </w:r>
          </w:p>
        </w:tc>
        <w:tc>
          <w:tcPr>
            <w:tcW w:w="1010" w:type="dxa"/>
            <w:tcBorders>
              <w:top w:val="single" w:sz="8" w:space="0" w:color="auto"/>
              <w:left w:val="single" w:sz="8" w:space="0" w:color="auto"/>
              <w:bottom w:val="nil"/>
              <w:right w:val="nil"/>
            </w:tcBorders>
            <w:shd w:val="clear" w:color="auto" w:fill="auto"/>
            <w:noWrap/>
            <w:vAlign w:val="center"/>
            <w:hideMark/>
          </w:tcPr>
          <w:p w14:paraId="5EBEA12A"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-0.11%</w:t>
            </w:r>
          </w:p>
        </w:tc>
        <w:tc>
          <w:tcPr>
            <w:tcW w:w="1024" w:type="dxa"/>
            <w:tcBorders>
              <w:top w:val="single" w:sz="8" w:space="0" w:color="auto"/>
              <w:left w:val="nil"/>
              <w:bottom w:val="nil"/>
              <w:right w:val="nil"/>
            </w:tcBorders>
            <w:shd w:val="clear" w:color="auto" w:fill="auto"/>
            <w:noWrap/>
            <w:vAlign w:val="center"/>
            <w:hideMark/>
          </w:tcPr>
          <w:p w14:paraId="5239B84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0.02%</w:t>
            </w:r>
          </w:p>
        </w:tc>
        <w:tc>
          <w:tcPr>
            <w:tcW w:w="1010" w:type="dxa"/>
            <w:tcBorders>
              <w:top w:val="single" w:sz="8" w:space="0" w:color="auto"/>
              <w:left w:val="nil"/>
              <w:bottom w:val="nil"/>
              <w:right w:val="single" w:sz="4" w:space="0" w:color="auto"/>
            </w:tcBorders>
            <w:shd w:val="clear" w:color="auto" w:fill="auto"/>
            <w:noWrap/>
            <w:vAlign w:val="center"/>
            <w:hideMark/>
          </w:tcPr>
          <w:p w14:paraId="0B5F447A"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-0.06%</w:t>
            </w:r>
          </w:p>
        </w:tc>
        <w:tc>
          <w:tcPr>
            <w:tcW w:w="966" w:type="dxa"/>
            <w:tcBorders>
              <w:top w:val="single" w:sz="8" w:space="0" w:color="auto"/>
              <w:left w:val="single" w:sz="8" w:space="0" w:color="auto"/>
              <w:bottom w:val="nil"/>
              <w:right w:val="nil"/>
            </w:tcBorders>
            <w:shd w:val="clear" w:color="auto" w:fill="auto"/>
            <w:noWrap/>
            <w:vAlign w:val="center"/>
            <w:hideMark/>
          </w:tcPr>
          <w:p w14:paraId="60D2B723"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-0.14%</w:t>
            </w:r>
          </w:p>
        </w:tc>
        <w:tc>
          <w:tcPr>
            <w:tcW w:w="980" w:type="dxa"/>
            <w:tcBorders>
              <w:top w:val="single" w:sz="8" w:space="0" w:color="auto"/>
              <w:left w:val="nil"/>
              <w:bottom w:val="nil"/>
              <w:right w:val="nil"/>
            </w:tcBorders>
            <w:shd w:val="clear" w:color="auto" w:fill="auto"/>
            <w:noWrap/>
            <w:vAlign w:val="center"/>
            <w:hideMark/>
          </w:tcPr>
          <w:p w14:paraId="0EC8AA1C"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-0.19%</w:t>
            </w:r>
          </w:p>
        </w:tc>
        <w:tc>
          <w:tcPr>
            <w:tcW w:w="966" w:type="dxa"/>
            <w:tcBorders>
              <w:top w:val="single" w:sz="8" w:space="0" w:color="auto"/>
              <w:left w:val="nil"/>
              <w:bottom w:val="nil"/>
              <w:right w:val="single" w:sz="4" w:space="0" w:color="auto"/>
            </w:tcBorders>
            <w:shd w:val="clear" w:color="auto" w:fill="auto"/>
            <w:noWrap/>
            <w:vAlign w:val="center"/>
            <w:hideMark/>
          </w:tcPr>
          <w:p w14:paraId="4332B955"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BFBFBF"/>
                <w:sz w:val="18"/>
                <w:szCs w:val="18"/>
                <w:lang w:eastAsia="zh-CN"/>
              </w:rPr>
            </w:pPr>
            <w:r w:rsidRPr="003E3318">
              <w:rPr>
                <w:rFonts w:ascii="Arial" w:eastAsia="宋体" w:hAnsi="Arial" w:cs="Arial"/>
                <w:color w:val="BFBFBF"/>
                <w:sz w:val="18"/>
                <w:szCs w:val="18"/>
                <w:lang w:eastAsia="zh-CN"/>
              </w:rPr>
              <w:t>-0.13%</w:t>
            </w:r>
          </w:p>
        </w:tc>
        <w:tc>
          <w:tcPr>
            <w:tcW w:w="640" w:type="dxa"/>
            <w:tcBorders>
              <w:top w:val="single" w:sz="8" w:space="0" w:color="auto"/>
              <w:left w:val="nil"/>
              <w:bottom w:val="nil"/>
              <w:right w:val="nil"/>
            </w:tcBorders>
            <w:shd w:val="clear" w:color="auto" w:fill="auto"/>
            <w:noWrap/>
            <w:vAlign w:val="center"/>
            <w:hideMark/>
          </w:tcPr>
          <w:p w14:paraId="0BFCBE76" w14:textId="77777777"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3E3318">
              <w:rPr>
                <w:rFonts w:ascii="Arial" w:eastAsia="宋体" w:hAnsi="Arial" w:cs="Arial"/>
                <w:color w:val="000000"/>
                <w:sz w:val="18"/>
                <w:szCs w:val="18"/>
                <w:lang w:eastAsia="zh-CN"/>
              </w:rPr>
              <w:t>82%</w:t>
            </w:r>
          </w:p>
        </w:tc>
        <w:tc>
          <w:tcPr>
            <w:tcW w:w="1265" w:type="dxa"/>
            <w:tcBorders>
              <w:top w:val="single" w:sz="8" w:space="0" w:color="auto"/>
              <w:left w:val="nil"/>
              <w:bottom w:val="nil"/>
              <w:right w:val="nil"/>
            </w:tcBorders>
            <w:shd w:val="clear" w:color="auto" w:fill="auto"/>
            <w:noWrap/>
            <w:vAlign w:val="center"/>
          </w:tcPr>
          <w:p w14:paraId="7A235A67" w14:textId="741D258B" w:rsidR="003E3318" w:rsidRPr="003E3318" w:rsidRDefault="003E3318" w:rsidP="003E33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2A6B2B0" w14:textId="47619539" w:rsidR="003E3318" w:rsidRDefault="003E3318" w:rsidP="003A256F">
      <w:pPr>
        <w:rPr>
          <w:lang w:val="en-CA" w:eastAsia="zh-CN"/>
        </w:rPr>
      </w:pPr>
      <w:r>
        <w:rPr>
          <w:rFonts w:hint="eastAsia"/>
          <w:lang w:val="en-CA" w:eastAsia="zh-CN"/>
        </w:rPr>
        <w:t>*</w:t>
      </w:r>
      <w:r>
        <w:rPr>
          <w:lang w:val="en-CA" w:eastAsia="zh-CN"/>
        </w:rPr>
        <w:t>Please note that the running time is not reliable.</w:t>
      </w:r>
    </w:p>
    <w:p w14:paraId="05A6889F" w14:textId="2644B38C" w:rsidR="009C248F" w:rsidRDefault="009C248F" w:rsidP="009C248F">
      <w:pPr>
        <w:pStyle w:val="2"/>
        <w:rPr>
          <w:lang w:val="en-CA" w:eastAsia="zh-CN"/>
        </w:rPr>
      </w:pPr>
      <w:r>
        <w:rPr>
          <w:rFonts w:hint="eastAsia"/>
          <w:lang w:val="en-CA" w:eastAsia="zh-CN"/>
        </w:rPr>
        <w:t>H</w:t>
      </w:r>
      <w:r>
        <w:rPr>
          <w:lang w:val="en-CA" w:eastAsia="zh-CN"/>
        </w:rPr>
        <w:t>DRF</w:t>
      </w:r>
    </w:p>
    <w:p w14:paraId="34A8B7CF" w14:textId="7F726F41" w:rsidR="009C248F" w:rsidRPr="009C248F" w:rsidRDefault="009C248F" w:rsidP="009C248F">
      <w:pPr>
        <w:rPr>
          <w:rFonts w:hint="eastAsia"/>
          <w:lang w:val="en-CA" w:eastAsia="zh-CN"/>
        </w:rPr>
      </w:pPr>
      <w:r>
        <w:rPr>
          <w:lang w:val="en-CA" w:eastAsia="zh-CN"/>
        </w:rPr>
        <w:t xml:space="preserve">Simulation is still </w:t>
      </w:r>
      <w:proofErr w:type="gramStart"/>
      <w:r>
        <w:rPr>
          <w:lang w:val="en-CA" w:eastAsia="zh-CN"/>
        </w:rPr>
        <w:t>running,</w:t>
      </w:r>
      <w:proofErr w:type="gramEnd"/>
      <w:r>
        <w:rPr>
          <w:lang w:val="en-CA" w:eastAsia="zh-CN"/>
        </w:rPr>
        <w:t xml:space="preserve"> this would be updated later.</w:t>
      </w:r>
    </w:p>
    <w:p w14:paraId="5F0CF8E4" w14:textId="6F152B3D" w:rsidR="001F2594" w:rsidRPr="005B217D" w:rsidRDefault="003E3318" w:rsidP="00E11923">
      <w:pPr>
        <w:pStyle w:val="1"/>
        <w:rPr>
          <w:lang w:val="en-CA"/>
        </w:rPr>
      </w:pPr>
      <w:r>
        <w:rPr>
          <w:lang w:val="en-CA"/>
        </w:rPr>
        <w:t>Reference</w:t>
      </w:r>
    </w:p>
    <w:p w14:paraId="7A9B4D21" w14:textId="48E007DC" w:rsidR="00342FF4" w:rsidRPr="005B217D" w:rsidRDefault="003E3318" w:rsidP="009234A5">
      <w:pPr>
        <w:rPr>
          <w:rFonts w:hint="eastAsia"/>
          <w:szCs w:val="22"/>
          <w:lang w:val="en-CA" w:eastAsia="zh-CN"/>
        </w:rPr>
      </w:pPr>
      <w:r>
        <w:rPr>
          <w:rFonts w:hint="eastAsia"/>
          <w:szCs w:val="22"/>
          <w:lang w:val="en-CA" w:eastAsia="zh-CN"/>
        </w:rPr>
        <w:t>[</w:t>
      </w:r>
      <w:r>
        <w:rPr>
          <w:szCs w:val="22"/>
          <w:lang w:val="en-CA" w:eastAsia="zh-CN"/>
        </w:rPr>
        <w:t xml:space="preserve">1] W. Bao, et al. </w:t>
      </w:r>
      <w:r w:rsidRPr="003E3318">
        <w:rPr>
          <w:szCs w:val="22"/>
          <w:lang w:val="en-CA" w:eastAsia="zh-CN"/>
        </w:rPr>
        <w:t>EE1-3.1: Deep Reference Frame Generation for Inter Prediction Enhancement</w:t>
      </w:r>
      <w:r>
        <w:rPr>
          <w:szCs w:val="22"/>
          <w:lang w:val="en-CA" w:eastAsia="zh-CN"/>
        </w:rPr>
        <w:t>. JVET-AH0107, Rennes, FR, April 2024</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1F21" w14:textId="77777777" w:rsidR="004F3ED9" w:rsidRDefault="004F3ED9">
      <w:r>
        <w:separator/>
      </w:r>
    </w:p>
  </w:endnote>
  <w:endnote w:type="continuationSeparator" w:id="0">
    <w:p w14:paraId="114C01F6" w14:textId="77777777" w:rsidR="004F3ED9" w:rsidRDefault="004F3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4A07B7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72EE3">
      <w:rPr>
        <w:rStyle w:val="a5"/>
        <w:noProof/>
      </w:rPr>
      <w:t>2024-02-13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6470" w14:textId="77777777" w:rsidR="004F3ED9" w:rsidRDefault="004F3ED9">
      <w:r>
        <w:separator/>
      </w:r>
    </w:p>
  </w:footnote>
  <w:footnote w:type="continuationSeparator" w:id="0">
    <w:p w14:paraId="7D3CC3DB" w14:textId="77777777" w:rsidR="004F3ED9" w:rsidRDefault="004F3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6F"/>
    <w:rsid w:val="003A25F5"/>
    <w:rsid w:val="003A2D8E"/>
    <w:rsid w:val="003A7CE6"/>
    <w:rsid w:val="003C20E4"/>
    <w:rsid w:val="003D6342"/>
    <w:rsid w:val="003E33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3ED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248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02A6"/>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2EE3"/>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66537">
      <w:bodyDiv w:val="1"/>
      <w:marLeft w:val="0"/>
      <w:marRight w:val="0"/>
      <w:marTop w:val="0"/>
      <w:marBottom w:val="0"/>
      <w:divBdr>
        <w:top w:val="none" w:sz="0" w:space="0" w:color="auto"/>
        <w:left w:val="none" w:sz="0" w:space="0" w:color="auto"/>
        <w:bottom w:val="none" w:sz="0" w:space="0" w:color="auto"/>
        <w:right w:val="none" w:sz="0" w:space="0" w:color="auto"/>
      </w:divBdr>
    </w:div>
    <w:div w:id="980497578">
      <w:bodyDiv w:val="1"/>
      <w:marLeft w:val="0"/>
      <w:marRight w:val="0"/>
      <w:marTop w:val="0"/>
      <w:marBottom w:val="0"/>
      <w:divBdr>
        <w:top w:val="none" w:sz="0" w:space="0" w:color="auto"/>
        <w:left w:val="none" w:sz="0" w:space="0" w:color="auto"/>
        <w:bottom w:val="none" w:sz="0" w:space="0" w:color="auto"/>
        <w:right w:val="none" w:sz="0" w:space="0" w:color="auto"/>
      </w:divBdr>
    </w:div>
    <w:div w:id="1270967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FBD59-7500-43F3-A78C-8C8EB2378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510</Words>
  <Characters>2907</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谢志煌(XIE ZHIHUANG)</cp:lastModifiedBy>
  <cp:revision>5</cp:revision>
  <cp:lastPrinted>1900-01-01T08:00:00Z</cp:lastPrinted>
  <dcterms:created xsi:type="dcterms:W3CDTF">2023-11-23T15:31:00Z</dcterms:created>
  <dcterms:modified xsi:type="dcterms:W3CDTF">2024-04-17T07:46:00Z</dcterms:modified>
</cp:coreProperties>
</file>