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DA6B58F"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0143AE">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BFCB41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4A2B09">
              <w:rPr>
                <w:lang w:val="en-CA"/>
              </w:rPr>
              <w:t>0090</w:t>
            </w:r>
            <w:r w:rsidR="006A0E5C" w:rsidRPr="006A0E5C">
              <w:rPr>
                <w:lang w:val="en-CA"/>
              </w:rPr>
              <w:t>-v</w:t>
            </w:r>
            <w:r w:rsidR="004A2B09">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494F58">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2A8A129" w:rsidR="00E61DAC" w:rsidRPr="005B217D" w:rsidRDefault="00E71567" w:rsidP="009D7CE6">
            <w:pPr>
              <w:spacing w:before="60" w:after="60"/>
              <w:rPr>
                <w:b/>
                <w:szCs w:val="22"/>
                <w:lang w:val="en-CA"/>
              </w:rPr>
            </w:pPr>
            <w:r>
              <w:rPr>
                <w:b/>
                <w:szCs w:val="22"/>
                <w:lang w:val="en-CA"/>
              </w:rPr>
              <w:t>EE2-2.4: DIMD Merge List</w:t>
            </w:r>
          </w:p>
        </w:tc>
      </w:tr>
      <w:tr w:rsidR="00E61DAC" w:rsidRPr="005B217D" w14:paraId="3D8B01B2" w14:textId="77777777" w:rsidTr="00494F58">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077AEC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494F58">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6FEDC30" w:rsidR="00E61DAC" w:rsidRPr="005B217D" w:rsidRDefault="00E61DAC" w:rsidP="005E1AC6">
            <w:pPr>
              <w:spacing w:before="60" w:after="60"/>
              <w:rPr>
                <w:szCs w:val="22"/>
                <w:lang w:val="en-CA"/>
              </w:rPr>
            </w:pPr>
            <w:r w:rsidRPr="005B217D">
              <w:rPr>
                <w:szCs w:val="22"/>
                <w:lang w:val="en-CA"/>
              </w:rPr>
              <w:t>Proposal</w:t>
            </w:r>
          </w:p>
        </w:tc>
      </w:tr>
      <w:tr w:rsidR="0095542C" w:rsidRPr="005B217D" w14:paraId="714CD808" w14:textId="77777777" w:rsidTr="00494F58">
        <w:tc>
          <w:tcPr>
            <w:tcW w:w="1458" w:type="dxa"/>
          </w:tcPr>
          <w:p w14:paraId="4DB59313" w14:textId="77777777" w:rsidR="0095542C" w:rsidRPr="005B217D" w:rsidRDefault="0095542C" w:rsidP="0095542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327108C" w14:textId="77777777" w:rsidR="0095542C" w:rsidRDefault="0095542C" w:rsidP="0095542C">
            <w:pPr>
              <w:spacing w:before="60" w:after="60"/>
              <w:rPr>
                <w:szCs w:val="22"/>
                <w:lang w:val="fr-FR"/>
              </w:rPr>
            </w:pPr>
            <w:r w:rsidRPr="00171A33">
              <w:rPr>
                <w:szCs w:val="22"/>
                <w:lang w:val="fr-FR"/>
              </w:rPr>
              <w:t>Médéric Blestel</w:t>
            </w:r>
            <w:r>
              <w:rPr>
                <w:szCs w:val="22"/>
                <w:lang w:val="fr-FR"/>
              </w:rPr>
              <w:t>,</w:t>
            </w:r>
          </w:p>
          <w:p w14:paraId="5E9B2208" w14:textId="77777777" w:rsidR="00012A7B" w:rsidRDefault="0095542C" w:rsidP="0095542C">
            <w:pPr>
              <w:spacing w:before="60" w:after="60"/>
              <w:rPr>
                <w:szCs w:val="22"/>
                <w:lang w:val="fr-FR"/>
              </w:rPr>
            </w:pPr>
            <w:r>
              <w:rPr>
                <w:szCs w:val="22"/>
                <w:lang w:val="fr-FR"/>
              </w:rPr>
              <w:t>Pierre Andrivon</w:t>
            </w:r>
            <w:r w:rsidR="00012A7B">
              <w:rPr>
                <w:szCs w:val="22"/>
                <w:lang w:val="fr-FR"/>
              </w:rPr>
              <w:t>,</w:t>
            </w:r>
          </w:p>
          <w:p w14:paraId="49D81240" w14:textId="2447435A" w:rsidR="0095542C" w:rsidRPr="005B217D" w:rsidRDefault="00012A7B" w:rsidP="0095542C">
            <w:pPr>
              <w:spacing w:before="60" w:after="60"/>
              <w:rPr>
                <w:szCs w:val="22"/>
                <w:lang w:val="en-CA"/>
              </w:rPr>
            </w:pPr>
            <w:r>
              <w:rPr>
                <w:szCs w:val="22"/>
                <w:lang w:val="fr-FR"/>
              </w:rPr>
              <w:t>Kirill</w:t>
            </w:r>
            <w:r w:rsidR="00C0470D">
              <w:rPr>
                <w:szCs w:val="22"/>
                <w:lang w:val="fr-FR"/>
              </w:rPr>
              <w:t xml:space="preserve"> Suverov</w:t>
            </w:r>
            <w:r w:rsidR="0095542C" w:rsidRPr="005B217D">
              <w:rPr>
                <w:szCs w:val="22"/>
                <w:lang w:val="en-CA"/>
              </w:rPr>
              <w:br/>
            </w:r>
          </w:p>
        </w:tc>
        <w:tc>
          <w:tcPr>
            <w:tcW w:w="900" w:type="dxa"/>
          </w:tcPr>
          <w:p w14:paraId="0140ECA2" w14:textId="4BB43321" w:rsidR="0095542C" w:rsidRPr="005B217D" w:rsidRDefault="0095542C" w:rsidP="0095542C">
            <w:pPr>
              <w:spacing w:before="60" w:after="60"/>
              <w:rPr>
                <w:szCs w:val="22"/>
                <w:lang w:val="en-CA"/>
              </w:rPr>
            </w:pPr>
            <w:r w:rsidRPr="005B217D">
              <w:rPr>
                <w:szCs w:val="22"/>
                <w:lang w:val="en-CA"/>
              </w:rPr>
              <w:t>Email:</w:t>
            </w:r>
          </w:p>
        </w:tc>
        <w:tc>
          <w:tcPr>
            <w:tcW w:w="3060" w:type="dxa"/>
          </w:tcPr>
          <w:p w14:paraId="3E69A019" w14:textId="5B1A5D3E" w:rsidR="0095542C" w:rsidRDefault="000143AE" w:rsidP="0095542C">
            <w:pPr>
              <w:spacing w:before="60" w:after="60"/>
            </w:pPr>
            <w:hyperlink r:id="rId9" w:history="1">
              <w:r w:rsidR="0095542C" w:rsidRPr="00AC4570">
                <w:rPr>
                  <w:rStyle w:val="Hyperlink"/>
                </w:rPr>
                <w:t>mblestel@ofinno.com</w:t>
              </w:r>
            </w:hyperlink>
          </w:p>
          <w:p w14:paraId="752FB8D8" w14:textId="77777777" w:rsidR="0095542C" w:rsidRDefault="000143AE" w:rsidP="0095542C">
            <w:pPr>
              <w:spacing w:before="60" w:after="60"/>
              <w:rPr>
                <w:rStyle w:val="Hyperlink"/>
              </w:rPr>
            </w:pPr>
            <w:hyperlink r:id="rId10" w:history="1">
              <w:r w:rsidR="0095542C" w:rsidRPr="007501CA">
                <w:rPr>
                  <w:rStyle w:val="Hyperlink"/>
                </w:rPr>
                <w:t>pandrivon@ofinno.com</w:t>
              </w:r>
            </w:hyperlink>
          </w:p>
          <w:p w14:paraId="32C2ABFD" w14:textId="6AA45BFB" w:rsidR="0095542C" w:rsidRPr="005B217D" w:rsidRDefault="0095542C" w:rsidP="0095542C">
            <w:pPr>
              <w:spacing w:before="60" w:after="60"/>
              <w:rPr>
                <w:szCs w:val="22"/>
                <w:lang w:val="en-CA"/>
              </w:rPr>
            </w:pPr>
          </w:p>
        </w:tc>
      </w:tr>
      <w:tr w:rsidR="00494F58" w:rsidRPr="005B217D" w14:paraId="49AFAA61" w14:textId="77777777" w:rsidTr="00494F58">
        <w:tc>
          <w:tcPr>
            <w:tcW w:w="1458" w:type="dxa"/>
          </w:tcPr>
          <w:p w14:paraId="2C08AF6B" w14:textId="77777777" w:rsidR="00494F58" w:rsidRPr="005B217D" w:rsidRDefault="00494F58" w:rsidP="00494F58">
            <w:pPr>
              <w:spacing w:before="60" w:after="60"/>
              <w:rPr>
                <w:i/>
                <w:szCs w:val="22"/>
                <w:lang w:val="en-CA"/>
              </w:rPr>
            </w:pPr>
            <w:r w:rsidRPr="005B217D">
              <w:rPr>
                <w:i/>
                <w:szCs w:val="22"/>
                <w:lang w:val="en-CA"/>
              </w:rPr>
              <w:t>Source:</w:t>
            </w:r>
          </w:p>
        </w:tc>
        <w:tc>
          <w:tcPr>
            <w:tcW w:w="7902" w:type="dxa"/>
            <w:gridSpan w:val="3"/>
          </w:tcPr>
          <w:p w14:paraId="643E6B85" w14:textId="341C2D66" w:rsidR="00494F58" w:rsidRPr="005B217D" w:rsidRDefault="00494F58" w:rsidP="00494F58">
            <w:pPr>
              <w:spacing w:before="60" w:after="60"/>
              <w:rPr>
                <w:szCs w:val="22"/>
                <w:lang w:val="en-CA"/>
              </w:rPr>
            </w:pPr>
            <w:r>
              <w:rPr>
                <w:szCs w:val="22"/>
                <w:lang w:val="en-CA"/>
              </w:rPr>
              <w:t>Ofinno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869D2E" w14:textId="588B35D8" w:rsidR="00EC2572" w:rsidRDefault="00EC2572" w:rsidP="00AA028F">
      <w:pPr>
        <w:rPr>
          <w:lang w:val="en-CA"/>
        </w:rPr>
      </w:pPr>
      <w:r>
        <w:rPr>
          <w:lang w:val="en-CA"/>
        </w:rPr>
        <w:t>The contribution reports the results of the EE2 Test 2.4</w:t>
      </w:r>
      <w:r w:rsidR="00722557">
        <w:rPr>
          <w:lang w:val="en-CA"/>
        </w:rPr>
        <w:t>. The method</w:t>
      </w:r>
      <w:r w:rsidR="00745BD5">
        <w:rPr>
          <w:lang w:val="en-CA"/>
        </w:rPr>
        <w:t>, initially described in JVET-AG0084,</w:t>
      </w:r>
      <w:r w:rsidR="00722557">
        <w:rPr>
          <w:lang w:val="en-CA"/>
        </w:rPr>
        <w:t xml:space="preserve"> proposes to extend the </w:t>
      </w:r>
      <w:r w:rsidR="00ED6A6C" w:rsidRPr="00A54FB2">
        <w:rPr>
          <w:lang w:val="en-CA"/>
        </w:rPr>
        <w:t>Decoder-side Intra Mode Derivation</w:t>
      </w:r>
      <w:r w:rsidR="00ED6A6C">
        <w:rPr>
          <w:lang w:val="en-CA"/>
        </w:rPr>
        <w:t xml:space="preserve"> (</w:t>
      </w:r>
      <w:r w:rsidR="00722557">
        <w:rPr>
          <w:lang w:val="en-CA"/>
        </w:rPr>
        <w:t>DIMD</w:t>
      </w:r>
      <w:r w:rsidR="00ED6A6C">
        <w:rPr>
          <w:lang w:val="en-CA"/>
        </w:rPr>
        <w:t>)</w:t>
      </w:r>
      <w:r w:rsidR="00722557">
        <w:rPr>
          <w:lang w:val="en-CA"/>
        </w:rPr>
        <w:t xml:space="preserve"> process by introducing</w:t>
      </w:r>
      <w:r w:rsidR="00E6712B">
        <w:rPr>
          <w:lang w:val="en-CA"/>
        </w:rPr>
        <w:t xml:space="preserve"> the generation of a DIMD merge list.</w:t>
      </w:r>
      <w:r w:rsidR="00A54FB2">
        <w:rPr>
          <w:lang w:val="en-CA"/>
        </w:rPr>
        <w:t xml:space="preserve"> </w:t>
      </w:r>
      <w:r w:rsidR="00A54FB2" w:rsidRPr="00A54FB2">
        <w:rPr>
          <w:lang w:val="en-CA"/>
        </w:rPr>
        <w:t xml:space="preserve">The DIMD merge list is built reusing </w:t>
      </w:r>
      <w:r w:rsidR="00E335B1">
        <w:rPr>
          <w:lang w:val="en-CA"/>
        </w:rPr>
        <w:t>available</w:t>
      </w:r>
      <w:r w:rsidR="00A54FB2" w:rsidRPr="00A54FB2">
        <w:rPr>
          <w:lang w:val="en-CA"/>
        </w:rPr>
        <w:t xml:space="preserve"> DIMD information and merged DIMD information (JVET-AF0120) from spatial adjacent and non-adjacent neighboring blocks</w:t>
      </w:r>
      <w:r w:rsidR="00DB4FEE">
        <w:rPr>
          <w:lang w:val="en-CA"/>
        </w:rPr>
        <w:t xml:space="preserve"> (JVET-AF0106)</w:t>
      </w:r>
      <w:r w:rsidR="00A54FB2" w:rsidRPr="00A54FB2">
        <w:rPr>
          <w:lang w:val="en-CA"/>
        </w:rPr>
        <w:t>. The maximal number of candidates in the DIMD merge list is adapted to the width and height of the CU.</w:t>
      </w:r>
    </w:p>
    <w:p w14:paraId="1687024B" w14:textId="7D031697" w:rsidR="00AA028F" w:rsidRPr="009959FA" w:rsidRDefault="00AA028F" w:rsidP="00AA028F">
      <w:pPr>
        <w:rPr>
          <w:highlight w:val="yellow"/>
          <w:lang w:val="en-CA"/>
        </w:rPr>
      </w:pPr>
      <w:r>
        <w:rPr>
          <w:lang w:val="en-CA"/>
        </w:rPr>
        <w:t>On top of ECM-1</w:t>
      </w:r>
      <w:r w:rsidR="00F60C89">
        <w:rPr>
          <w:lang w:val="en-CA"/>
        </w:rPr>
        <w:t>2</w:t>
      </w:r>
      <w:r>
        <w:rPr>
          <w:lang w:val="en-CA"/>
        </w:rPr>
        <w:t xml:space="preserve">.0, </w:t>
      </w:r>
      <w:r w:rsidRPr="009959FA">
        <w:rPr>
          <w:lang w:val="en-CA"/>
        </w:rPr>
        <w:t>the reported PSNR-Y,</w:t>
      </w:r>
      <w:r w:rsidRPr="009959FA">
        <w:rPr>
          <w:rFonts w:eastAsia="SimSun" w:hint="eastAsia"/>
          <w:lang w:eastAsia="zh-CN"/>
        </w:rPr>
        <w:t xml:space="preserve"> </w:t>
      </w:r>
      <w:r w:rsidRPr="009959FA">
        <w:rPr>
          <w:lang w:val="en-CA"/>
        </w:rPr>
        <w:t>Cb,</w:t>
      </w:r>
      <w:r w:rsidRPr="009959FA">
        <w:rPr>
          <w:rFonts w:eastAsia="SimSun" w:hint="eastAsia"/>
          <w:lang w:eastAsia="zh-CN"/>
        </w:rPr>
        <w:t xml:space="preserve"> </w:t>
      </w:r>
      <w:r w:rsidRPr="009959FA">
        <w:t>Cr,</w:t>
      </w:r>
      <w:r w:rsidRPr="009959FA">
        <w:rPr>
          <w:rFonts w:eastAsia="SimSun" w:hint="eastAsia"/>
          <w:lang w:eastAsia="zh-CN"/>
        </w:rPr>
        <w:t xml:space="preserve"> </w:t>
      </w:r>
      <w:r w:rsidRPr="009959FA">
        <w:rPr>
          <w:lang w:val="en-CA"/>
        </w:rPr>
        <w:t>BD-rate and {EncT, DecT} results</w:t>
      </w:r>
      <w:r>
        <w:rPr>
          <w:lang w:val="en-CA"/>
        </w:rPr>
        <w:t xml:space="preserve"> </w:t>
      </w:r>
      <w:r>
        <w:rPr>
          <w:lang w:val="en-CA" w:eastAsia="ja-JP"/>
        </w:rPr>
        <w:t>are as follows:</w:t>
      </w:r>
    </w:p>
    <w:p w14:paraId="546FBE47" w14:textId="7E9AAFB9" w:rsidR="00AA028F" w:rsidRPr="006563C3" w:rsidRDefault="00AA028F" w:rsidP="00AA028F">
      <w:pPr>
        <w:numPr>
          <w:ilvl w:val="0"/>
          <w:numId w:val="12"/>
        </w:numPr>
        <w:spacing w:before="60" w:after="60" w:line="276" w:lineRule="auto"/>
        <w:textAlignment w:val="auto"/>
        <w:rPr>
          <w:lang w:val="en-CA"/>
        </w:rPr>
      </w:pPr>
      <w:bookmarkStart w:id="0" w:name="OLE_LINK2"/>
      <w:r w:rsidRPr="006563C3">
        <w:rPr>
          <w:lang w:eastAsia="zh-CN"/>
        </w:rPr>
        <w:t>AI</w:t>
      </w:r>
      <w:r w:rsidRPr="006563C3">
        <w:rPr>
          <w:rFonts w:hint="eastAsia"/>
          <w:lang w:eastAsia="zh-CN"/>
        </w:rPr>
        <w:t xml:space="preserve">: </w:t>
      </w:r>
      <w:r w:rsidR="00DD7A40" w:rsidRPr="00DD7A40">
        <w:rPr>
          <w:lang w:eastAsia="zh-CN"/>
        </w:rPr>
        <w:t>-0,09%</w:t>
      </w:r>
      <w:r w:rsidR="00DD7A40" w:rsidRPr="00DD7A40">
        <w:rPr>
          <w:lang w:eastAsia="zh-CN"/>
        </w:rPr>
        <w:tab/>
        <w:t>0,01%</w:t>
      </w:r>
      <w:r w:rsidR="00DD7A40" w:rsidRPr="00DD7A40">
        <w:rPr>
          <w:lang w:eastAsia="zh-CN"/>
        </w:rPr>
        <w:tab/>
        <w:t>0,02</w:t>
      </w:r>
      <w:r w:rsidRPr="006C7F11">
        <w:rPr>
          <w:rFonts w:hint="eastAsia"/>
          <w:lang w:eastAsia="zh-CN"/>
        </w:rPr>
        <w:t>%  {</w:t>
      </w:r>
      <w:r w:rsidRPr="006C7F11">
        <w:rPr>
          <w:lang w:eastAsia="zh-CN"/>
        </w:rPr>
        <w:t>XXX</w:t>
      </w:r>
      <w:r w:rsidRPr="006C7F11">
        <w:rPr>
          <w:rFonts w:hint="eastAsia"/>
          <w:lang w:eastAsia="zh-CN"/>
        </w:rPr>
        <w:t xml:space="preserve">%, </w:t>
      </w:r>
      <w:r w:rsidRPr="006C7F11">
        <w:rPr>
          <w:lang w:eastAsia="zh-CN"/>
        </w:rPr>
        <w:t>XXX</w:t>
      </w:r>
      <w:r w:rsidRPr="006C7F11">
        <w:rPr>
          <w:rFonts w:hint="eastAsia"/>
          <w:lang w:eastAsia="zh-CN"/>
        </w:rPr>
        <w:t>%}</w:t>
      </w:r>
    </w:p>
    <w:p w14:paraId="5DE38B20" w14:textId="77777777" w:rsidR="00AA028F" w:rsidRPr="006C7F11" w:rsidRDefault="00AA028F" w:rsidP="00AA028F">
      <w:pPr>
        <w:numPr>
          <w:ilvl w:val="0"/>
          <w:numId w:val="12"/>
        </w:numPr>
        <w:spacing w:before="60" w:after="60" w:line="276" w:lineRule="auto"/>
        <w:textAlignment w:val="auto"/>
        <w:rPr>
          <w:lang w:eastAsia="zh-CN"/>
        </w:rPr>
      </w:pPr>
      <w:r w:rsidRPr="006C7F11">
        <w:rPr>
          <w:lang w:eastAsia="zh-CN"/>
        </w:rPr>
        <w:t>RA</w:t>
      </w:r>
      <w:r w:rsidRPr="006C7F11">
        <w:rPr>
          <w:rFonts w:hint="eastAsia"/>
          <w:lang w:eastAsia="zh-CN"/>
        </w:rPr>
        <w:t xml:space="preserve">: </w:t>
      </w:r>
      <w:r w:rsidRPr="006C7F11">
        <w:rPr>
          <w:lang w:eastAsia="zh-CN"/>
        </w:rPr>
        <w:t>XXX</w:t>
      </w:r>
      <w:r w:rsidRPr="006C7F11">
        <w:rPr>
          <w:rFonts w:hint="eastAsia"/>
          <w:lang w:eastAsia="zh-CN"/>
        </w:rPr>
        <w:t xml:space="preserve">%, </w:t>
      </w:r>
      <w:r w:rsidRPr="006C7F11">
        <w:rPr>
          <w:lang w:eastAsia="zh-CN"/>
        </w:rPr>
        <w:t>XXX</w:t>
      </w:r>
      <w:r w:rsidRPr="006C7F11">
        <w:rPr>
          <w:rFonts w:hint="eastAsia"/>
          <w:lang w:eastAsia="zh-CN"/>
        </w:rPr>
        <w:t xml:space="preserve">%, </w:t>
      </w:r>
      <w:r w:rsidRPr="006C7F11">
        <w:rPr>
          <w:lang w:eastAsia="zh-CN"/>
        </w:rPr>
        <w:t>XXX</w:t>
      </w:r>
      <w:r w:rsidRPr="006C7F11">
        <w:rPr>
          <w:rFonts w:hint="eastAsia"/>
          <w:lang w:eastAsia="zh-CN"/>
        </w:rPr>
        <w:t>%  {</w:t>
      </w:r>
      <w:r w:rsidRPr="006C7F11">
        <w:rPr>
          <w:lang w:eastAsia="zh-CN"/>
        </w:rPr>
        <w:t>XXX</w:t>
      </w:r>
      <w:r w:rsidRPr="006C7F11">
        <w:rPr>
          <w:rFonts w:hint="eastAsia"/>
          <w:lang w:eastAsia="zh-CN"/>
        </w:rPr>
        <w:t xml:space="preserve">%, </w:t>
      </w:r>
      <w:r w:rsidRPr="006C7F11">
        <w:rPr>
          <w:lang w:eastAsia="zh-CN"/>
        </w:rPr>
        <w:t>XXX</w:t>
      </w:r>
      <w:r w:rsidRPr="006C7F11">
        <w:rPr>
          <w:rFonts w:hint="eastAsia"/>
          <w:lang w:eastAsia="zh-CN"/>
        </w:rPr>
        <w:t>%}</w:t>
      </w:r>
    </w:p>
    <w:bookmarkEnd w:id="0"/>
    <w:p w14:paraId="7D2AC1F0" w14:textId="1D3C21C2" w:rsidR="00745F6B" w:rsidRDefault="004B6382" w:rsidP="00E11923">
      <w:pPr>
        <w:pStyle w:val="Heading1"/>
        <w:rPr>
          <w:lang w:val="en-CA"/>
        </w:rPr>
      </w:pPr>
      <w:r>
        <w:rPr>
          <w:lang w:val="en-CA"/>
        </w:rPr>
        <w:t>DIMD Merge List</w:t>
      </w:r>
    </w:p>
    <w:p w14:paraId="237A66DA" w14:textId="77777777" w:rsidR="004A793F" w:rsidRDefault="004A793F" w:rsidP="004A793F">
      <w:pPr>
        <w:pStyle w:val="Heading2"/>
        <w:rPr>
          <w:lang w:val="en-CA"/>
        </w:rPr>
      </w:pPr>
      <w:r>
        <w:rPr>
          <w:lang w:val="en-CA"/>
        </w:rPr>
        <w:t>Proposed approach</w:t>
      </w:r>
    </w:p>
    <w:p w14:paraId="77FA7601" w14:textId="0CA3347F" w:rsidR="00B06AFA" w:rsidRDefault="00B06AFA" w:rsidP="00B06AFA">
      <w:pPr>
        <w:rPr>
          <w:lang w:val="en-CA"/>
        </w:rPr>
      </w:pPr>
      <w:r>
        <w:rPr>
          <w:lang w:val="en-CA"/>
        </w:rPr>
        <w:t>Th</w:t>
      </w:r>
      <w:r w:rsidR="00757A7A">
        <w:rPr>
          <w:lang w:val="en-CA"/>
        </w:rPr>
        <w:t>e</w:t>
      </w:r>
      <w:r>
        <w:rPr>
          <w:lang w:val="en-CA"/>
        </w:rPr>
        <w:t xml:space="preserve"> </w:t>
      </w:r>
      <w:r w:rsidR="00757A7A">
        <w:rPr>
          <w:lang w:val="en-CA"/>
        </w:rPr>
        <w:t xml:space="preserve">method </w:t>
      </w:r>
      <w:r>
        <w:rPr>
          <w:lang w:val="en-CA"/>
        </w:rPr>
        <w:t>proposes to create a DIMD merge list from neighboring blocks’ DIMD information.</w:t>
      </w:r>
      <w:r>
        <w:rPr>
          <w:lang w:val="en-CA"/>
        </w:rPr>
        <w:br/>
        <w:t>It includes:</w:t>
      </w:r>
    </w:p>
    <w:p w14:paraId="5E8DEF49" w14:textId="73EDF0C0" w:rsidR="00B06AFA" w:rsidRDefault="00B06AFA" w:rsidP="00B06AFA">
      <w:pPr>
        <w:pStyle w:val="ListParagraph"/>
        <w:numPr>
          <w:ilvl w:val="0"/>
          <w:numId w:val="14"/>
        </w:numPr>
        <w:rPr>
          <w:szCs w:val="22"/>
          <w:lang w:val="en-CA"/>
        </w:rPr>
      </w:pPr>
      <w:r>
        <w:rPr>
          <w:szCs w:val="22"/>
          <w:lang w:val="en-CA"/>
        </w:rPr>
        <w:t xml:space="preserve">DIMD information from spatial neighbors (as in </w:t>
      </w:r>
      <w:r>
        <w:rPr>
          <w:szCs w:val="22"/>
          <w:lang w:val="en-CA"/>
        </w:rPr>
        <w:fldChar w:fldCharType="begin"/>
      </w:r>
      <w:r>
        <w:rPr>
          <w:szCs w:val="22"/>
          <w:lang w:val="en-CA"/>
        </w:rPr>
        <w:instrText xml:space="preserve"> REF _Ref155256534 \h </w:instrText>
      </w:r>
      <w:r>
        <w:rPr>
          <w:szCs w:val="22"/>
          <w:lang w:val="en-CA"/>
        </w:rPr>
      </w:r>
      <w:r>
        <w:rPr>
          <w:szCs w:val="22"/>
          <w:lang w:val="en-CA"/>
        </w:rPr>
        <w:fldChar w:fldCharType="separate"/>
      </w:r>
      <w:r w:rsidR="00176E59">
        <w:t xml:space="preserve">Figure </w:t>
      </w:r>
      <w:r w:rsidR="00176E59">
        <w:rPr>
          <w:noProof/>
        </w:rPr>
        <w:t>1</w:t>
      </w:r>
      <w:r>
        <w:rPr>
          <w:szCs w:val="22"/>
          <w:lang w:val="en-CA"/>
        </w:rPr>
        <w:fldChar w:fldCharType="end"/>
      </w:r>
      <w:r>
        <w:rPr>
          <w:szCs w:val="22"/>
          <w:lang w:val="en-CA"/>
        </w:rPr>
        <w:t>),</w:t>
      </w:r>
    </w:p>
    <w:p w14:paraId="0621A528" w14:textId="6F072DD5" w:rsidR="00B06AFA" w:rsidRDefault="00B06AFA" w:rsidP="00B06AFA">
      <w:pPr>
        <w:pStyle w:val="ListParagraph"/>
        <w:numPr>
          <w:ilvl w:val="0"/>
          <w:numId w:val="14"/>
        </w:numPr>
        <w:rPr>
          <w:szCs w:val="22"/>
          <w:lang w:val="en-CA"/>
        </w:rPr>
      </w:pPr>
      <w:r>
        <w:rPr>
          <w:szCs w:val="22"/>
          <w:lang w:val="en-CA"/>
        </w:rPr>
        <w:t>DIMD information from non-adjacent neighbors (as in</w:t>
      </w:r>
      <w:r w:rsidR="006A013C">
        <w:rPr>
          <w:szCs w:val="22"/>
          <w:lang w:val="en-CA"/>
        </w:rPr>
        <w:t xml:space="preserve"> </w:t>
      </w:r>
      <w:r w:rsidR="006A013C">
        <w:rPr>
          <w:szCs w:val="22"/>
          <w:lang w:val="en-CA"/>
        </w:rPr>
        <w:fldChar w:fldCharType="begin"/>
      </w:r>
      <w:r w:rsidR="006A013C">
        <w:rPr>
          <w:szCs w:val="22"/>
          <w:lang w:val="en-CA"/>
        </w:rPr>
        <w:instrText xml:space="preserve"> REF _Ref163556584 \h </w:instrText>
      </w:r>
      <w:r w:rsidR="006A013C">
        <w:rPr>
          <w:szCs w:val="22"/>
          <w:lang w:val="en-CA"/>
        </w:rPr>
      </w:r>
      <w:r w:rsidR="006A013C">
        <w:rPr>
          <w:szCs w:val="22"/>
          <w:lang w:val="en-CA"/>
        </w:rPr>
        <w:fldChar w:fldCharType="separate"/>
      </w:r>
      <w:r w:rsidR="006A013C">
        <w:t xml:space="preserve">Figure </w:t>
      </w:r>
      <w:r w:rsidR="006A013C">
        <w:rPr>
          <w:noProof/>
        </w:rPr>
        <w:t>2</w:t>
      </w:r>
      <w:r w:rsidR="006A013C">
        <w:rPr>
          <w:szCs w:val="22"/>
          <w:lang w:val="en-CA"/>
        </w:rPr>
        <w:fldChar w:fldCharType="end"/>
      </w:r>
      <w:r>
        <w:rPr>
          <w:szCs w:val="22"/>
          <w:lang w:val="en-CA"/>
        </w:rPr>
        <w:t>),</w:t>
      </w:r>
    </w:p>
    <w:p w14:paraId="53C996A5" w14:textId="6C845289" w:rsidR="00B06AFA" w:rsidRPr="000102F8" w:rsidRDefault="00B06AFA" w:rsidP="00B06AFA">
      <w:pPr>
        <w:pStyle w:val="ListParagraph"/>
        <w:numPr>
          <w:ilvl w:val="0"/>
          <w:numId w:val="14"/>
        </w:numPr>
        <w:rPr>
          <w:lang w:val="en-CA"/>
        </w:rPr>
      </w:pPr>
      <w:r>
        <w:rPr>
          <w:lang w:val="en-CA"/>
        </w:rPr>
        <w:t xml:space="preserve">DIMD information derived from the MHoG (as described in </w:t>
      </w:r>
      <w:r w:rsidR="00A46FA6">
        <w:rPr>
          <w:lang w:val="en-CA"/>
        </w:rPr>
        <w:fldChar w:fldCharType="begin"/>
      </w:r>
      <w:r w:rsidR="00A46FA6">
        <w:rPr>
          <w:lang w:val="en-CA"/>
        </w:rPr>
        <w:instrText xml:space="preserve"> REF _Ref155777910 \r \h </w:instrText>
      </w:r>
      <w:r w:rsidR="00A46FA6">
        <w:rPr>
          <w:lang w:val="en-CA"/>
        </w:rPr>
      </w:r>
      <w:r w:rsidR="00A46FA6">
        <w:rPr>
          <w:lang w:val="en-CA"/>
        </w:rPr>
        <w:fldChar w:fldCharType="separate"/>
      </w:r>
      <w:r w:rsidR="00CE7B23">
        <w:rPr>
          <w:lang w:val="en-CA"/>
        </w:rPr>
        <w:t>[3]</w:t>
      </w:r>
      <w:r w:rsidR="00A46FA6">
        <w:rPr>
          <w:lang w:val="en-CA"/>
        </w:rPr>
        <w:fldChar w:fldCharType="end"/>
      </w:r>
      <w:r>
        <w:rPr>
          <w:lang w:val="en-CA"/>
        </w:rPr>
        <w:fldChar w:fldCharType="begin"/>
      </w:r>
      <w:r>
        <w:rPr>
          <w:lang w:val="en-CA"/>
        </w:rPr>
        <w:instrText xml:space="preserve"> REF _Ref155777997 \r \h </w:instrText>
      </w:r>
      <w:r>
        <w:rPr>
          <w:lang w:val="en-CA"/>
        </w:rPr>
      </w:r>
      <w:r w:rsidR="000143AE">
        <w:rPr>
          <w:lang w:val="en-CA"/>
        </w:rPr>
        <w:fldChar w:fldCharType="separate"/>
      </w:r>
      <w:r>
        <w:rPr>
          <w:lang w:val="en-CA"/>
        </w:rPr>
        <w:fldChar w:fldCharType="end"/>
      </w:r>
      <w:r>
        <w:rPr>
          <w:lang w:val="en-CA"/>
        </w:rPr>
        <w:t>).</w:t>
      </w:r>
    </w:p>
    <w:p w14:paraId="77A50ABC" w14:textId="77777777" w:rsidR="00B06AFA" w:rsidRPr="00663ABD" w:rsidRDefault="00B06AFA" w:rsidP="00B06AFA">
      <w:pPr>
        <w:rPr>
          <w:lang w:val="en-CA"/>
        </w:rPr>
      </w:pPr>
    </w:p>
    <w:p w14:paraId="1199C37D" w14:textId="77777777" w:rsidR="00B06AFA" w:rsidRDefault="00B06AFA" w:rsidP="00B06AFA">
      <w:pPr>
        <w:keepNext/>
        <w:jc w:val="center"/>
      </w:pPr>
      <w:r w:rsidRPr="00D64FD9">
        <w:rPr>
          <w:noProof/>
        </w:rPr>
        <w:drawing>
          <wp:inline distT="0" distB="0" distL="0" distR="0" wp14:anchorId="6B93A269" wp14:editId="19CA8604">
            <wp:extent cx="1670685" cy="1316990"/>
            <wp:effectExtent l="0" t="0" r="5715" b="0"/>
            <wp:docPr id="440100481" name="Picture 440100481"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Shape&#10;&#10;Description automatically generated with low confidence"/>
                    <pic:cNvPicPr/>
                  </pic:nvPicPr>
                  <pic:blipFill>
                    <a:blip r:embed="rId11">
                      <a:extLst>
                        <a:ext uri="{28A0092B-C50C-407E-A947-70E740481C1C}">
                          <a14:useLocalDpi xmlns:a14="http://schemas.microsoft.com/office/drawing/2010/main" val="0"/>
                        </a:ext>
                      </a:extLst>
                    </a:blip>
                    <a:stretch>
                      <a:fillRect/>
                    </a:stretch>
                  </pic:blipFill>
                  <pic:spPr>
                    <a:xfrm>
                      <a:off x="0" y="0"/>
                      <a:ext cx="1670685" cy="1316990"/>
                    </a:xfrm>
                    <a:prstGeom prst="rect">
                      <a:avLst/>
                    </a:prstGeom>
                  </pic:spPr>
                </pic:pic>
              </a:graphicData>
            </a:graphic>
          </wp:inline>
        </w:drawing>
      </w:r>
    </w:p>
    <w:p w14:paraId="52ED492F" w14:textId="56070277" w:rsidR="00B06AFA" w:rsidRDefault="00B06AFA" w:rsidP="00B06AFA">
      <w:pPr>
        <w:pStyle w:val="Caption"/>
        <w:jc w:val="center"/>
      </w:pPr>
      <w:bookmarkStart w:id="1" w:name="_Ref155256534"/>
      <w:r>
        <w:t xml:space="preserve">Figure </w:t>
      </w:r>
      <w:r>
        <w:fldChar w:fldCharType="begin"/>
      </w:r>
      <w:r>
        <w:instrText xml:space="preserve"> SEQ Figure \* ARABIC </w:instrText>
      </w:r>
      <w:r>
        <w:fldChar w:fldCharType="separate"/>
      </w:r>
      <w:r w:rsidR="006E6D4B">
        <w:rPr>
          <w:noProof/>
        </w:rPr>
        <w:t>1</w:t>
      </w:r>
      <w:r>
        <w:rPr>
          <w:noProof/>
        </w:rPr>
        <w:fldChar w:fldCharType="end"/>
      </w:r>
      <w:bookmarkEnd w:id="1"/>
      <w:r>
        <w:t>: neighboring blocks</w:t>
      </w:r>
    </w:p>
    <w:p w14:paraId="29CC522E" w14:textId="77777777" w:rsidR="006E6D4B" w:rsidRDefault="006E6D4B" w:rsidP="006E6D4B">
      <w:pPr>
        <w:keepNext/>
        <w:jc w:val="center"/>
      </w:pPr>
      <w:r w:rsidRPr="00D17E67">
        <w:rPr>
          <w:noProof/>
          <w:lang w:eastAsia="zh-CN"/>
        </w:rPr>
        <w:lastRenderedPageBreak/>
        <w:drawing>
          <wp:inline distT="0" distB="0" distL="0" distR="0" wp14:anchorId="011F5F9C" wp14:editId="2BA38218">
            <wp:extent cx="2401200" cy="2401200"/>
            <wp:effectExtent l="0" t="0" r="0" b="0"/>
            <wp:docPr id="25" name="Picture 25">
              <a:extLst xmlns:a="http://schemas.openxmlformats.org/drawingml/2006/main">
                <a:ext uri="{FF2B5EF4-FFF2-40B4-BE49-F238E27FC236}">
                  <a16:creationId xmlns:a16="http://schemas.microsoft.com/office/drawing/2014/main" id="{D2F2B04E-8DB4-7EBF-CFE0-1232596A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a:extLst>
                        <a:ext uri="{FF2B5EF4-FFF2-40B4-BE49-F238E27FC236}">
                          <a16:creationId xmlns:a16="http://schemas.microsoft.com/office/drawing/2014/main" id="{D2F2B04E-8DB4-7EBF-CFE0-1232596A984D}"/>
                        </a:ext>
                      </a:extLst>
                    </pic:cNvPr>
                    <pic:cNvPicPr>
                      <a:picLocks noChangeAspect="1"/>
                    </pic:cNvPicPr>
                  </pic:nvPicPr>
                  <pic:blipFill>
                    <a:blip r:embed="rId12"/>
                    <a:stretch>
                      <a:fillRect/>
                    </a:stretch>
                  </pic:blipFill>
                  <pic:spPr>
                    <a:xfrm>
                      <a:off x="0" y="0"/>
                      <a:ext cx="2401200" cy="2401200"/>
                    </a:xfrm>
                    <a:prstGeom prst="rect">
                      <a:avLst/>
                    </a:prstGeom>
                  </pic:spPr>
                </pic:pic>
              </a:graphicData>
            </a:graphic>
          </wp:inline>
        </w:drawing>
      </w:r>
    </w:p>
    <w:p w14:paraId="3AB81AD0" w14:textId="225A8EF4" w:rsidR="00235043" w:rsidRPr="00235043" w:rsidRDefault="006E6D4B" w:rsidP="006E6D4B">
      <w:pPr>
        <w:pStyle w:val="Caption"/>
        <w:jc w:val="center"/>
      </w:pPr>
      <w:bookmarkStart w:id="2" w:name="_Ref163556584"/>
      <w:r>
        <w:t xml:space="preserve">Figure </w:t>
      </w:r>
      <w:r>
        <w:fldChar w:fldCharType="begin"/>
      </w:r>
      <w:r>
        <w:instrText xml:space="preserve"> SEQ Figure \* ARABIC </w:instrText>
      </w:r>
      <w:r>
        <w:fldChar w:fldCharType="separate"/>
      </w:r>
      <w:r>
        <w:rPr>
          <w:noProof/>
        </w:rPr>
        <w:t>2</w:t>
      </w:r>
      <w:r>
        <w:fldChar w:fldCharType="end"/>
      </w:r>
      <w:bookmarkEnd w:id="2"/>
      <w:r>
        <w:t>:</w:t>
      </w:r>
      <w:r w:rsidR="006A013C" w:rsidRPr="006A013C">
        <w:t xml:space="preserve"> </w:t>
      </w:r>
      <w:r w:rsidR="006A013C" w:rsidRPr="00C744F1">
        <w:t>non-adjacent spatial neighboring candidates for DIMD merge</w:t>
      </w:r>
      <w:r w:rsidR="006A013C">
        <w:t>.</w:t>
      </w:r>
    </w:p>
    <w:p w14:paraId="741D6172" w14:textId="02D27D58" w:rsidR="00B06AFA" w:rsidRDefault="00B06AFA" w:rsidP="00B06AFA">
      <w:pPr>
        <w:rPr>
          <w:lang w:val="en-CA"/>
        </w:rPr>
      </w:pPr>
      <w:r>
        <w:rPr>
          <w:lang w:val="en-CA"/>
        </w:rPr>
        <w:t xml:space="preserve">Two redundancy checks (pruning stage) are applied: one comparing with </w:t>
      </w:r>
      <w:r w:rsidR="006A67C5">
        <w:rPr>
          <w:lang w:val="en-CA"/>
        </w:rPr>
        <w:t xml:space="preserve">existing </w:t>
      </w:r>
      <w:r>
        <w:rPr>
          <w:lang w:val="en-CA"/>
        </w:rPr>
        <w:t>DIMD merge candidates, and one comparing with DIMD information derived from the current block. Thus, a DIMD merge candidate is added to the DIMD merge list when the associated DIMD information is different from every information from DIMD merge candidates already present in the list and the current block DIMD information.</w:t>
      </w:r>
    </w:p>
    <w:p w14:paraId="2630364C" w14:textId="209A2EB4" w:rsidR="00B06AFA" w:rsidRDefault="00B06AFA" w:rsidP="00B06AFA">
      <w:pPr>
        <w:rPr>
          <w:lang w:val="en-CA"/>
        </w:rPr>
      </w:pPr>
      <w:r>
        <w:rPr>
          <w:lang w:val="en-CA"/>
        </w:rPr>
        <w:t>Two additional flags are added conditioned to the DIMD flag, i.e., the DIMD Merge is considered a sub-mode of DIMD.</w:t>
      </w:r>
    </w:p>
    <w:p w14:paraId="229FBA08" w14:textId="77777777" w:rsidR="00B06AFA" w:rsidRDefault="00B06AFA" w:rsidP="00B06AFA">
      <w:pPr>
        <w:rPr>
          <w:lang w:val="en-CA"/>
        </w:rPr>
      </w:pPr>
      <w:r>
        <w:rPr>
          <w:lang w:val="en-CA"/>
        </w:rPr>
        <w:t>The two flags are:</w:t>
      </w:r>
    </w:p>
    <w:p w14:paraId="64B09620" w14:textId="222CC4AF" w:rsidR="00B06AFA" w:rsidRDefault="00B06AFA" w:rsidP="00B06AFA">
      <w:pPr>
        <w:pStyle w:val="ListParagraph"/>
        <w:numPr>
          <w:ilvl w:val="0"/>
          <w:numId w:val="15"/>
        </w:numPr>
        <w:rPr>
          <w:lang w:val="en-CA"/>
        </w:rPr>
      </w:pPr>
      <w:r>
        <w:rPr>
          <w:lang w:val="en-CA"/>
        </w:rPr>
        <w:t>The DIMD merge mode flag</w:t>
      </w:r>
      <w:r w:rsidR="00C05EBA">
        <w:rPr>
          <w:lang w:val="en-CA"/>
        </w:rPr>
        <w:t>.</w:t>
      </w:r>
    </w:p>
    <w:p w14:paraId="657C45EE" w14:textId="77777777" w:rsidR="00B06AFA" w:rsidRDefault="00B06AFA" w:rsidP="00B06AFA">
      <w:pPr>
        <w:pStyle w:val="ListParagraph"/>
        <w:numPr>
          <w:ilvl w:val="0"/>
          <w:numId w:val="15"/>
        </w:numPr>
        <w:rPr>
          <w:lang w:val="en-CA"/>
        </w:rPr>
      </w:pPr>
      <w:r>
        <w:rPr>
          <w:lang w:val="en-CA"/>
        </w:rPr>
        <w:t>The DIMD merge mode index representative of the DIMD merge candidate.</w:t>
      </w:r>
    </w:p>
    <w:p w14:paraId="2F08025B" w14:textId="0A0EFB6B" w:rsidR="00094EFB" w:rsidRDefault="00094EFB" w:rsidP="00094EFB">
      <w:pPr>
        <w:rPr>
          <w:lang w:val="en-CA"/>
        </w:rPr>
      </w:pPr>
      <w:r>
        <w:rPr>
          <w:lang w:val="en-CA"/>
        </w:rPr>
        <w:t>The CABAC contexts have been reviewed for these two new flags.</w:t>
      </w:r>
    </w:p>
    <w:p w14:paraId="1B600D9B" w14:textId="77777777" w:rsidR="0076172C" w:rsidRDefault="0076172C" w:rsidP="00094EFB">
      <w:pPr>
        <w:rPr>
          <w:lang w:val="en-CA"/>
        </w:rPr>
      </w:pPr>
    </w:p>
    <w:p w14:paraId="09DD4A2A" w14:textId="6C21AD19" w:rsidR="00EF7819" w:rsidRPr="00C345F5" w:rsidRDefault="008B64B6" w:rsidP="00EF7819">
      <w:r>
        <w:rPr>
          <w:lang w:val="en-CA"/>
        </w:rPr>
        <w:t>JVET-AG146</w:t>
      </w:r>
      <w:r>
        <w:rPr>
          <w:lang w:val="en-CA"/>
        </w:rPr>
        <w:fldChar w:fldCharType="begin"/>
      </w:r>
      <w:r>
        <w:rPr>
          <w:lang w:val="en-CA"/>
        </w:rPr>
        <w:instrText xml:space="preserve"> REF _Ref163564431 \r \h </w:instrText>
      </w:r>
      <w:r>
        <w:rPr>
          <w:lang w:val="en-CA"/>
        </w:rPr>
      </w:r>
      <w:r>
        <w:rPr>
          <w:lang w:val="en-CA"/>
        </w:rPr>
        <w:fldChar w:fldCharType="separate"/>
      </w:r>
      <w:r>
        <w:rPr>
          <w:lang w:val="en-CA"/>
        </w:rPr>
        <w:t>[2]</w:t>
      </w:r>
      <w:r>
        <w:rPr>
          <w:lang w:val="en-CA"/>
        </w:rPr>
        <w:fldChar w:fldCharType="end"/>
      </w:r>
      <w:r w:rsidR="00D513ED">
        <w:rPr>
          <w:lang w:val="en-CA"/>
        </w:rPr>
        <w:t xml:space="preserve">, adopted in </w:t>
      </w:r>
      <w:r w:rsidR="00ED2FBB">
        <w:rPr>
          <w:lang w:val="en-CA"/>
        </w:rPr>
        <w:t xml:space="preserve">the ECM-12.0, </w:t>
      </w:r>
      <w:r w:rsidR="00D513ED">
        <w:rPr>
          <w:lang w:val="en-CA"/>
        </w:rPr>
        <w:t xml:space="preserve">proposes to </w:t>
      </w:r>
      <w:r w:rsidR="00EF7819">
        <w:t>adaptively select between planar or block-vector based prediction obtained from IntraTMP or IBC mode of neighboring blocks</w:t>
      </w:r>
      <w:r w:rsidR="00EF0DE5">
        <w:t xml:space="preserve">. This prediction is then </w:t>
      </w:r>
      <w:r w:rsidR="00EF7819">
        <w:t>blend</w:t>
      </w:r>
      <w:r w:rsidR="00EF0DE5">
        <w:t>ed</w:t>
      </w:r>
      <w:r w:rsidR="00EF7819">
        <w:t xml:space="preserve"> with angular intra prediction</w:t>
      </w:r>
      <w:r w:rsidR="00293AF3">
        <w:t>s</w:t>
      </w:r>
      <w:r w:rsidR="00EF0DE5">
        <w:t xml:space="preserve"> to generate the final </w:t>
      </w:r>
      <w:r w:rsidR="00F15979">
        <w:t xml:space="preserve">DIMD </w:t>
      </w:r>
      <w:r w:rsidR="00EF0DE5">
        <w:t>prediction</w:t>
      </w:r>
      <w:r w:rsidR="00EF7819">
        <w:t>.</w:t>
      </w:r>
      <w:r w:rsidR="00EF7819">
        <w:rPr>
          <w:szCs w:val="22"/>
          <w:lang w:val="en-CA"/>
        </w:rPr>
        <w:t xml:space="preserve"> </w:t>
      </w:r>
    </w:p>
    <w:p w14:paraId="58586C35" w14:textId="3EDDB71E" w:rsidR="00655510" w:rsidRPr="00094EFB" w:rsidRDefault="00C95F6F" w:rsidP="00094EFB">
      <w:pPr>
        <w:rPr>
          <w:lang w:val="en-CA"/>
        </w:rPr>
      </w:pPr>
      <w:r>
        <w:rPr>
          <w:lang w:val="en-CA"/>
        </w:rPr>
        <w:t>The</w:t>
      </w:r>
      <w:r w:rsidR="00655510">
        <w:rPr>
          <w:lang w:val="en-CA"/>
        </w:rPr>
        <w:t xml:space="preserve"> DIMD merge prediction </w:t>
      </w:r>
      <w:r>
        <w:rPr>
          <w:lang w:val="en-CA"/>
        </w:rPr>
        <w:t xml:space="preserve">has been designed to </w:t>
      </w:r>
      <w:r w:rsidR="00655510">
        <w:rPr>
          <w:lang w:val="en-CA"/>
        </w:rPr>
        <w:t>us</w:t>
      </w:r>
      <w:r>
        <w:rPr>
          <w:lang w:val="en-CA"/>
        </w:rPr>
        <w:t>e</w:t>
      </w:r>
      <w:r w:rsidR="00655510">
        <w:rPr>
          <w:lang w:val="en-CA"/>
        </w:rPr>
        <w:t xml:space="preserve"> the same mechanism</w:t>
      </w:r>
      <w:r w:rsidR="00C23581">
        <w:rPr>
          <w:lang w:val="en-CA"/>
        </w:rPr>
        <w:t xml:space="preserve"> as described in JVET-AG146</w:t>
      </w:r>
      <w:r w:rsidR="00193C94">
        <w:rPr>
          <w:lang w:val="en-CA"/>
        </w:rPr>
        <w:t xml:space="preserve">. Then, </w:t>
      </w:r>
      <w:r w:rsidR="002B779E">
        <w:rPr>
          <w:lang w:val="en-CA"/>
        </w:rPr>
        <w:t>for each DIMD merge candidates</w:t>
      </w:r>
      <w:r w:rsidR="00333C70">
        <w:rPr>
          <w:lang w:val="en-CA"/>
        </w:rPr>
        <w:t>, like the DIMD</w:t>
      </w:r>
      <w:r w:rsidR="002B779E">
        <w:rPr>
          <w:lang w:val="en-CA"/>
        </w:rPr>
        <w:t xml:space="preserve">, the planar mode can be replaced </w:t>
      </w:r>
      <w:r w:rsidR="00CA3C80">
        <w:rPr>
          <w:lang w:val="en-CA"/>
        </w:rPr>
        <w:t>by a block-vector based prediction.</w:t>
      </w:r>
    </w:p>
    <w:p w14:paraId="62409B9E" w14:textId="77777777" w:rsidR="00071A96" w:rsidRDefault="00071A96" w:rsidP="00071A96">
      <w:pPr>
        <w:pStyle w:val="Heading2"/>
        <w:rPr>
          <w:lang w:val="en-CA"/>
        </w:rPr>
      </w:pPr>
      <w:r>
        <w:rPr>
          <w:lang w:val="en-CA"/>
        </w:rPr>
        <w:t>DIMD merge candidates’ evaluation</w:t>
      </w:r>
    </w:p>
    <w:p w14:paraId="639EEF90" w14:textId="409AA045" w:rsidR="00071A96" w:rsidRDefault="00071A96" w:rsidP="00071A96">
      <w:pPr>
        <w:rPr>
          <w:lang w:val="en-CA"/>
        </w:rPr>
      </w:pPr>
      <w:r>
        <w:rPr>
          <w:lang w:val="en-CA"/>
        </w:rPr>
        <w:t xml:space="preserve">DIMD merge is only available as an option if the current block has at least one neighbor coded with DIMD or DIMD merge modes using the same method as proposed in </w:t>
      </w:r>
      <w:r w:rsidR="00C05EBA">
        <w:rPr>
          <w:lang w:val="en-CA"/>
        </w:rPr>
        <w:fldChar w:fldCharType="begin"/>
      </w:r>
      <w:r w:rsidR="00C05EBA">
        <w:rPr>
          <w:lang w:val="en-CA"/>
        </w:rPr>
        <w:instrText xml:space="preserve"> REF _Ref163564333 \r \h </w:instrText>
      </w:r>
      <w:r w:rsidR="00C05EBA">
        <w:rPr>
          <w:lang w:val="en-CA"/>
        </w:rPr>
      </w:r>
      <w:r w:rsidR="00C05EBA">
        <w:rPr>
          <w:lang w:val="en-CA"/>
        </w:rPr>
        <w:fldChar w:fldCharType="separate"/>
      </w:r>
      <w:r w:rsidR="00C05EBA">
        <w:rPr>
          <w:lang w:val="en-CA"/>
        </w:rPr>
        <w:t>[2]</w:t>
      </w:r>
      <w:r w:rsidR="00C05EBA">
        <w:rPr>
          <w:lang w:val="en-CA"/>
        </w:rPr>
        <w:fldChar w:fldCharType="end"/>
      </w:r>
      <w:r>
        <w:rPr>
          <w:lang w:val="en-CA"/>
        </w:rPr>
        <w:fldChar w:fldCharType="begin"/>
      </w:r>
      <w:r>
        <w:rPr>
          <w:lang w:val="en-CA"/>
        </w:rPr>
        <w:instrText xml:space="preserve"> REF _Ref155777841 \r \h </w:instrText>
      </w:r>
      <w:r>
        <w:rPr>
          <w:lang w:val="en-CA"/>
        </w:rPr>
      </w:r>
      <w:r w:rsidR="000143AE">
        <w:rPr>
          <w:lang w:val="en-CA"/>
        </w:rPr>
        <w:fldChar w:fldCharType="separate"/>
      </w:r>
      <w:r>
        <w:rPr>
          <w:lang w:val="en-CA"/>
        </w:rPr>
        <w:fldChar w:fldCharType="end"/>
      </w:r>
      <w:r>
        <w:rPr>
          <w:lang w:val="en-CA"/>
        </w:rPr>
        <w:t>. Besides, the neighbor</w:t>
      </w:r>
      <w:r w:rsidR="008B21D3">
        <w:rPr>
          <w:lang w:val="en-CA"/>
        </w:rPr>
        <w:t>hood</w:t>
      </w:r>
      <w:r>
        <w:rPr>
          <w:lang w:val="en-CA"/>
        </w:rPr>
        <w:t xml:space="preserve"> is extended to include part of the non-adjacent candidates</w:t>
      </w:r>
      <w:r w:rsidR="008574F1">
        <w:rPr>
          <w:lang w:val="en-CA"/>
        </w:rPr>
        <w:t xml:space="preserve"> (initially proposed in </w:t>
      </w:r>
      <w:r w:rsidR="008574F1">
        <w:rPr>
          <w:lang w:val="en-CA"/>
        </w:rPr>
        <w:fldChar w:fldCharType="begin"/>
      </w:r>
      <w:r w:rsidR="008574F1">
        <w:rPr>
          <w:lang w:val="en-CA"/>
        </w:rPr>
        <w:instrText xml:space="preserve"> REF _Ref155777997 \r \h </w:instrText>
      </w:r>
      <w:r w:rsidR="008574F1">
        <w:rPr>
          <w:lang w:val="en-CA"/>
        </w:rPr>
      </w:r>
      <w:r w:rsidR="008574F1">
        <w:rPr>
          <w:lang w:val="en-CA"/>
        </w:rPr>
        <w:fldChar w:fldCharType="separate"/>
      </w:r>
      <w:r w:rsidR="00C05EBA">
        <w:rPr>
          <w:lang w:val="en-CA"/>
        </w:rPr>
        <w:t>[4]</w:t>
      </w:r>
      <w:r w:rsidR="008574F1">
        <w:rPr>
          <w:lang w:val="en-CA"/>
        </w:rPr>
        <w:fldChar w:fldCharType="end"/>
      </w:r>
      <w:r w:rsidR="008574F1">
        <w:rPr>
          <w:lang w:val="en-CA"/>
        </w:rPr>
        <w:t>)</w:t>
      </w:r>
      <w:r>
        <w:rPr>
          <w:lang w:val="en-CA"/>
        </w:rPr>
        <w:t>.</w:t>
      </w:r>
    </w:p>
    <w:p w14:paraId="6359481E" w14:textId="7BA396F8" w:rsidR="00071A96" w:rsidRDefault="00071A96" w:rsidP="00071A96">
      <w:pPr>
        <w:rPr>
          <w:lang w:val="en-CA"/>
        </w:rPr>
      </w:pPr>
      <w:r>
        <w:rPr>
          <w:lang w:val="en-CA"/>
        </w:rPr>
        <w:t>When the DIMD merge is available, the DIMD merge list is derived both at the encoder and decoder sides. On the encoder side, each candidate is evaluated using a Hadamard pass, then in the RDO.</w:t>
      </w:r>
    </w:p>
    <w:p w14:paraId="516FCEE6" w14:textId="77777777" w:rsidR="009922CA" w:rsidRDefault="009922CA" w:rsidP="00071A96">
      <w:pPr>
        <w:rPr>
          <w:lang w:val="en-CA"/>
        </w:rPr>
      </w:pPr>
    </w:p>
    <w:p w14:paraId="5EE0E27A" w14:textId="14D5EC77" w:rsidR="00B431F4" w:rsidRDefault="00B431F4" w:rsidP="00071A96">
      <w:pPr>
        <w:rPr>
          <w:lang w:val="en-CA"/>
        </w:rPr>
      </w:pPr>
      <w:r>
        <w:rPr>
          <w:lang w:val="en-CA"/>
        </w:rPr>
        <w:t>To reduce the complexity</w:t>
      </w:r>
      <w:r w:rsidR="00C75C86">
        <w:rPr>
          <w:lang w:val="en-CA"/>
        </w:rPr>
        <w:t xml:space="preserve"> at the encoder side</w:t>
      </w:r>
      <w:r>
        <w:rPr>
          <w:lang w:val="en-CA"/>
        </w:rPr>
        <w:t xml:space="preserve">, several </w:t>
      </w:r>
      <w:r w:rsidR="00155FAD">
        <w:rPr>
          <w:lang w:val="en-CA"/>
        </w:rPr>
        <w:t>optimizations have been made:</w:t>
      </w:r>
    </w:p>
    <w:p w14:paraId="0664B94A" w14:textId="21DED672" w:rsidR="004531F2" w:rsidRDefault="00803931" w:rsidP="00071A96">
      <w:pPr>
        <w:pStyle w:val="ListParagraph"/>
        <w:numPr>
          <w:ilvl w:val="0"/>
          <w:numId w:val="16"/>
        </w:numPr>
        <w:rPr>
          <w:lang w:val="en-CA"/>
        </w:rPr>
      </w:pPr>
      <w:r>
        <w:rPr>
          <w:lang w:val="en-CA"/>
        </w:rPr>
        <w:t xml:space="preserve">For a given CU, </w:t>
      </w:r>
      <w:r w:rsidR="00155FAD">
        <w:rPr>
          <w:lang w:val="en-CA"/>
        </w:rPr>
        <w:t xml:space="preserve">DIMD and DIMD merge intra-predictions are stored </w:t>
      </w:r>
      <w:r>
        <w:rPr>
          <w:lang w:val="en-CA"/>
        </w:rPr>
        <w:t>and shared between both modes, to avoid re-generating the intra-predictions</w:t>
      </w:r>
      <w:r w:rsidR="004531F2">
        <w:rPr>
          <w:lang w:val="en-CA"/>
        </w:rPr>
        <w:t xml:space="preserve"> during the </w:t>
      </w:r>
      <w:r w:rsidR="000022F4">
        <w:rPr>
          <w:lang w:val="en-CA"/>
        </w:rPr>
        <w:t xml:space="preserve">Hadamard and </w:t>
      </w:r>
      <w:r w:rsidR="004531F2">
        <w:rPr>
          <w:lang w:val="en-CA"/>
        </w:rPr>
        <w:t>RDO passes.</w:t>
      </w:r>
    </w:p>
    <w:p w14:paraId="73309ACF" w14:textId="47C570CE" w:rsidR="00071A96" w:rsidRDefault="0075717A" w:rsidP="00071A96">
      <w:pPr>
        <w:pStyle w:val="ListParagraph"/>
        <w:numPr>
          <w:ilvl w:val="0"/>
          <w:numId w:val="16"/>
        </w:numPr>
        <w:rPr>
          <w:lang w:val="en-CA"/>
        </w:rPr>
      </w:pPr>
      <w:r>
        <w:rPr>
          <w:lang w:val="en-CA"/>
        </w:rPr>
        <w:t>During RDO passes, a</w:t>
      </w:r>
      <w:r w:rsidR="00071A96" w:rsidRPr="004531F2">
        <w:rPr>
          <w:lang w:val="en-CA"/>
        </w:rPr>
        <w:t xml:space="preserve"> DIMD merge candidate may be discarded if the associated cost is not competitive compared to other modes.</w:t>
      </w:r>
    </w:p>
    <w:p w14:paraId="40EBB8F3" w14:textId="3FB73C9D" w:rsidR="00F2574A" w:rsidRPr="004531F2" w:rsidRDefault="003115BD" w:rsidP="00071A96">
      <w:pPr>
        <w:pStyle w:val="ListParagraph"/>
        <w:numPr>
          <w:ilvl w:val="0"/>
          <w:numId w:val="16"/>
        </w:numPr>
        <w:rPr>
          <w:lang w:val="en-CA"/>
        </w:rPr>
      </w:pPr>
      <w:r>
        <w:rPr>
          <w:lang w:val="en-CA"/>
        </w:rPr>
        <w:lastRenderedPageBreak/>
        <w:t xml:space="preserve">For a given CU, the </w:t>
      </w:r>
      <w:r w:rsidR="007E46B2" w:rsidRPr="007E46B2">
        <w:rPr>
          <w:lang w:val="en-CA"/>
        </w:rPr>
        <w:t xml:space="preserve">maximum </w:t>
      </w:r>
      <w:r>
        <w:rPr>
          <w:lang w:val="en-CA"/>
        </w:rPr>
        <w:t>nu</w:t>
      </w:r>
      <w:r w:rsidR="005D3741">
        <w:rPr>
          <w:lang w:val="en-CA"/>
        </w:rPr>
        <w:t>mber of DIMD merge candidates depends on the CU’s width and height</w:t>
      </w:r>
      <w:r w:rsidR="00804417">
        <w:rPr>
          <w:lang w:val="en-CA"/>
        </w:rPr>
        <w:t xml:space="preserve">. For small CUs, only one candidate is allowed, reducing the signaling and the complexity. </w:t>
      </w:r>
      <w:r w:rsidR="00E73F80">
        <w:rPr>
          <w:lang w:val="en-CA"/>
        </w:rPr>
        <w:t xml:space="preserve">The </w:t>
      </w:r>
      <w:r w:rsidR="007E46B2" w:rsidRPr="007E46B2">
        <w:rPr>
          <w:lang w:val="en-CA"/>
        </w:rPr>
        <w:t xml:space="preserve">maximum </w:t>
      </w:r>
      <w:r w:rsidR="00E73F80">
        <w:rPr>
          <w:lang w:val="en-CA"/>
        </w:rPr>
        <w:t>number of candidates increases with the CU’s width and height.</w:t>
      </w:r>
    </w:p>
    <w:p w14:paraId="1493E3A2" w14:textId="77777777" w:rsidR="001F0FFD" w:rsidRDefault="001F0FFD" w:rsidP="001F0FFD">
      <w:pPr>
        <w:pStyle w:val="Heading1"/>
        <w:rPr>
          <w:lang w:val="en-CA"/>
        </w:rPr>
      </w:pPr>
      <w:r>
        <w:rPr>
          <w:rFonts w:hint="eastAsia"/>
          <w:lang w:val="en-CA"/>
        </w:rPr>
        <w:t>E</w:t>
      </w:r>
      <w:r>
        <w:rPr>
          <w:lang w:val="en-CA"/>
        </w:rPr>
        <w:t>xperimental results</w:t>
      </w:r>
    </w:p>
    <w:p w14:paraId="5442751E" w14:textId="4D898476" w:rsidR="001F0FFD" w:rsidRDefault="00755B8C" w:rsidP="00071A96">
      <w:pPr>
        <w:rPr>
          <w:lang w:val="en-CA"/>
        </w:rPr>
      </w:pPr>
      <w:r>
        <w:rPr>
          <w:lang w:val="en-CA"/>
        </w:rPr>
        <w:t>The tables below summarize the coding efficiency and runtime impact of the proposed method in ECM 12.0 using the JVET common test conditions.</w:t>
      </w:r>
    </w:p>
    <w:p w14:paraId="616DCF29" w14:textId="77777777" w:rsidR="00EB05B1" w:rsidRDefault="00EB05B1" w:rsidP="00071A96">
      <w:pPr>
        <w:rPr>
          <w:lang w:val="en-CA"/>
        </w:rPr>
      </w:pPr>
    </w:p>
    <w:p w14:paraId="55EA87FE" w14:textId="2DD70A10" w:rsidR="00EB05B1" w:rsidRDefault="00EB05B1" w:rsidP="00EB05B1">
      <w:pPr>
        <w:pStyle w:val="Caption"/>
        <w:keepNext/>
        <w:jc w:val="center"/>
      </w:pPr>
      <w:r>
        <w:t xml:space="preserve">Table </w:t>
      </w:r>
      <w:r>
        <w:fldChar w:fldCharType="begin"/>
      </w:r>
      <w:r>
        <w:instrText xml:space="preserve"> SEQ Table \* ARABIC </w:instrText>
      </w:r>
      <w:r>
        <w:fldChar w:fldCharType="separate"/>
      </w:r>
      <w:r w:rsidR="00F3435B">
        <w:rPr>
          <w:noProof/>
        </w:rPr>
        <w:t>1</w:t>
      </w:r>
      <w:r>
        <w:fldChar w:fldCharType="end"/>
      </w:r>
      <w:r>
        <w:t xml:space="preserve">: </w:t>
      </w:r>
      <w:r w:rsidR="0035510C">
        <w:t>Performances of the</w:t>
      </w:r>
      <w:r w:rsidR="00B93459">
        <w:t xml:space="preserve"> AI test EE2-2.4 over ECM-12.0</w:t>
      </w:r>
    </w:p>
    <w:tbl>
      <w:tblPr>
        <w:tblW w:w="8480" w:type="dxa"/>
        <w:tblLook w:val="04A0" w:firstRow="1" w:lastRow="0" w:firstColumn="1" w:lastColumn="0" w:noHBand="0" w:noVBand="1"/>
      </w:tblPr>
      <w:tblGrid>
        <w:gridCol w:w="1060"/>
        <w:gridCol w:w="1031"/>
        <w:gridCol w:w="1031"/>
        <w:gridCol w:w="1031"/>
        <w:gridCol w:w="791"/>
        <w:gridCol w:w="791"/>
        <w:gridCol w:w="1366"/>
        <w:gridCol w:w="1379"/>
      </w:tblGrid>
      <w:tr w:rsidR="00EB05B1" w:rsidRPr="00EB05B1" w14:paraId="3436154C" w14:textId="77777777" w:rsidTr="00EB05B1">
        <w:trPr>
          <w:trHeight w:val="255"/>
        </w:trPr>
        <w:tc>
          <w:tcPr>
            <w:tcW w:w="1060" w:type="dxa"/>
            <w:tcBorders>
              <w:top w:val="nil"/>
              <w:left w:val="nil"/>
              <w:bottom w:val="nil"/>
              <w:right w:val="nil"/>
            </w:tcBorders>
            <w:shd w:val="clear" w:color="auto" w:fill="auto"/>
            <w:noWrap/>
            <w:vAlign w:val="center"/>
            <w:hideMark/>
          </w:tcPr>
          <w:p w14:paraId="61715486"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C47E82"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05B1">
              <w:rPr>
                <w:rFonts w:ascii="Arial" w:hAnsi="Arial" w:cs="Arial"/>
                <w:b/>
                <w:bCs/>
                <w:color w:val="000000"/>
                <w:sz w:val="18"/>
                <w:szCs w:val="18"/>
              </w:rPr>
              <w:t xml:space="preserve">All Intra Main 10 </w:t>
            </w:r>
          </w:p>
        </w:tc>
      </w:tr>
      <w:tr w:rsidR="00EB05B1" w:rsidRPr="00EB05B1" w14:paraId="3D6FEB52" w14:textId="77777777" w:rsidTr="00EB05B1">
        <w:trPr>
          <w:trHeight w:val="255"/>
        </w:trPr>
        <w:tc>
          <w:tcPr>
            <w:tcW w:w="1060" w:type="dxa"/>
            <w:tcBorders>
              <w:top w:val="nil"/>
              <w:left w:val="nil"/>
              <w:bottom w:val="nil"/>
              <w:right w:val="nil"/>
            </w:tcBorders>
            <w:shd w:val="clear" w:color="auto" w:fill="auto"/>
            <w:noWrap/>
            <w:vAlign w:val="center"/>
            <w:hideMark/>
          </w:tcPr>
          <w:p w14:paraId="19DBD6CF"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21CC80A5"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05B1">
              <w:rPr>
                <w:rFonts w:ascii="Arial" w:hAnsi="Arial" w:cs="Arial"/>
                <w:b/>
                <w:bCs/>
                <w:color w:val="000000"/>
                <w:sz w:val="18"/>
                <w:szCs w:val="18"/>
              </w:rPr>
              <w:t>Over ECM-12.0</w:t>
            </w:r>
          </w:p>
        </w:tc>
      </w:tr>
      <w:tr w:rsidR="00EB05B1" w:rsidRPr="00EB05B1" w14:paraId="0BFC690C" w14:textId="77777777" w:rsidTr="00EB05B1">
        <w:trPr>
          <w:trHeight w:val="255"/>
        </w:trPr>
        <w:tc>
          <w:tcPr>
            <w:tcW w:w="1060" w:type="dxa"/>
            <w:tcBorders>
              <w:top w:val="nil"/>
              <w:left w:val="nil"/>
              <w:bottom w:val="nil"/>
              <w:right w:val="nil"/>
            </w:tcBorders>
            <w:shd w:val="clear" w:color="auto" w:fill="auto"/>
            <w:noWrap/>
            <w:vAlign w:val="center"/>
            <w:hideMark/>
          </w:tcPr>
          <w:p w14:paraId="09A3772B"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31" w:type="dxa"/>
            <w:tcBorders>
              <w:top w:val="nil"/>
              <w:left w:val="single" w:sz="8" w:space="0" w:color="auto"/>
              <w:bottom w:val="single" w:sz="8" w:space="0" w:color="auto"/>
              <w:right w:val="nil"/>
            </w:tcBorders>
            <w:shd w:val="clear" w:color="auto" w:fill="auto"/>
            <w:noWrap/>
            <w:vAlign w:val="center"/>
            <w:hideMark/>
          </w:tcPr>
          <w:p w14:paraId="5F1F5FF2"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Y</w:t>
            </w:r>
          </w:p>
        </w:tc>
        <w:tc>
          <w:tcPr>
            <w:tcW w:w="1031" w:type="dxa"/>
            <w:tcBorders>
              <w:top w:val="nil"/>
              <w:left w:val="nil"/>
              <w:bottom w:val="single" w:sz="8" w:space="0" w:color="auto"/>
              <w:right w:val="nil"/>
            </w:tcBorders>
            <w:shd w:val="clear" w:color="auto" w:fill="auto"/>
            <w:noWrap/>
            <w:vAlign w:val="center"/>
            <w:hideMark/>
          </w:tcPr>
          <w:p w14:paraId="51B0B103"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U</w:t>
            </w:r>
          </w:p>
        </w:tc>
        <w:tc>
          <w:tcPr>
            <w:tcW w:w="1031" w:type="dxa"/>
            <w:tcBorders>
              <w:top w:val="nil"/>
              <w:left w:val="nil"/>
              <w:bottom w:val="single" w:sz="8" w:space="0" w:color="auto"/>
              <w:right w:val="single" w:sz="4" w:space="0" w:color="auto"/>
            </w:tcBorders>
            <w:shd w:val="clear" w:color="auto" w:fill="auto"/>
            <w:noWrap/>
            <w:vAlign w:val="center"/>
            <w:hideMark/>
          </w:tcPr>
          <w:p w14:paraId="0283A1BA"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V</w:t>
            </w:r>
          </w:p>
        </w:tc>
        <w:tc>
          <w:tcPr>
            <w:tcW w:w="791" w:type="dxa"/>
            <w:tcBorders>
              <w:top w:val="nil"/>
              <w:left w:val="nil"/>
              <w:bottom w:val="single" w:sz="8" w:space="0" w:color="auto"/>
              <w:right w:val="nil"/>
            </w:tcBorders>
            <w:shd w:val="clear" w:color="auto" w:fill="auto"/>
            <w:noWrap/>
            <w:vAlign w:val="center"/>
            <w:hideMark/>
          </w:tcPr>
          <w:p w14:paraId="0EE003B0"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EncT</w:t>
            </w:r>
          </w:p>
        </w:tc>
        <w:tc>
          <w:tcPr>
            <w:tcW w:w="791" w:type="dxa"/>
            <w:tcBorders>
              <w:top w:val="nil"/>
              <w:left w:val="nil"/>
              <w:bottom w:val="single" w:sz="8" w:space="0" w:color="auto"/>
              <w:right w:val="nil"/>
            </w:tcBorders>
            <w:shd w:val="clear" w:color="auto" w:fill="auto"/>
            <w:noWrap/>
            <w:vAlign w:val="center"/>
            <w:hideMark/>
          </w:tcPr>
          <w:p w14:paraId="42FA235F"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DecT</w:t>
            </w:r>
          </w:p>
        </w:tc>
        <w:tc>
          <w:tcPr>
            <w:tcW w:w="1366" w:type="dxa"/>
            <w:tcBorders>
              <w:top w:val="nil"/>
              <w:left w:val="single" w:sz="4" w:space="0" w:color="auto"/>
              <w:bottom w:val="single" w:sz="8" w:space="0" w:color="auto"/>
              <w:right w:val="nil"/>
            </w:tcBorders>
            <w:shd w:val="clear" w:color="auto" w:fill="auto"/>
            <w:noWrap/>
            <w:vAlign w:val="center"/>
            <w:hideMark/>
          </w:tcPr>
          <w:p w14:paraId="112BD958"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EncVmPeak</w:t>
            </w:r>
          </w:p>
        </w:tc>
        <w:tc>
          <w:tcPr>
            <w:tcW w:w="1379" w:type="dxa"/>
            <w:tcBorders>
              <w:top w:val="nil"/>
              <w:left w:val="single" w:sz="4" w:space="0" w:color="auto"/>
              <w:bottom w:val="single" w:sz="8" w:space="0" w:color="auto"/>
              <w:right w:val="single" w:sz="8" w:space="0" w:color="auto"/>
            </w:tcBorders>
            <w:shd w:val="clear" w:color="auto" w:fill="auto"/>
            <w:noWrap/>
            <w:vAlign w:val="center"/>
            <w:hideMark/>
          </w:tcPr>
          <w:p w14:paraId="5A3DB2AC"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DecVmPeak</w:t>
            </w:r>
          </w:p>
        </w:tc>
      </w:tr>
      <w:tr w:rsidR="00EB05B1" w:rsidRPr="00EB05B1" w14:paraId="285B2247" w14:textId="77777777" w:rsidTr="00F3435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D56AECC"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A1</w:t>
            </w:r>
          </w:p>
        </w:tc>
        <w:tc>
          <w:tcPr>
            <w:tcW w:w="1031" w:type="dxa"/>
            <w:tcBorders>
              <w:top w:val="nil"/>
              <w:left w:val="nil"/>
              <w:bottom w:val="nil"/>
              <w:right w:val="nil"/>
            </w:tcBorders>
            <w:shd w:val="clear" w:color="auto" w:fill="auto"/>
            <w:noWrap/>
            <w:vAlign w:val="center"/>
            <w:hideMark/>
          </w:tcPr>
          <w:p w14:paraId="317CC637"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-0,13%</w:t>
            </w:r>
          </w:p>
        </w:tc>
        <w:tc>
          <w:tcPr>
            <w:tcW w:w="1031" w:type="dxa"/>
            <w:tcBorders>
              <w:top w:val="nil"/>
              <w:left w:val="nil"/>
              <w:bottom w:val="nil"/>
              <w:right w:val="nil"/>
            </w:tcBorders>
            <w:shd w:val="clear" w:color="auto" w:fill="auto"/>
            <w:noWrap/>
            <w:vAlign w:val="center"/>
            <w:hideMark/>
          </w:tcPr>
          <w:p w14:paraId="1ACCFA6F"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0,07%</w:t>
            </w:r>
          </w:p>
        </w:tc>
        <w:tc>
          <w:tcPr>
            <w:tcW w:w="1031" w:type="dxa"/>
            <w:tcBorders>
              <w:top w:val="nil"/>
              <w:left w:val="nil"/>
              <w:bottom w:val="nil"/>
              <w:right w:val="single" w:sz="4" w:space="0" w:color="auto"/>
            </w:tcBorders>
            <w:shd w:val="clear" w:color="auto" w:fill="auto"/>
            <w:noWrap/>
            <w:vAlign w:val="center"/>
            <w:hideMark/>
          </w:tcPr>
          <w:p w14:paraId="44B02E9E"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-0,05%</w:t>
            </w:r>
          </w:p>
        </w:tc>
        <w:tc>
          <w:tcPr>
            <w:tcW w:w="791" w:type="dxa"/>
            <w:tcBorders>
              <w:top w:val="nil"/>
              <w:left w:val="nil"/>
              <w:bottom w:val="nil"/>
              <w:right w:val="nil"/>
            </w:tcBorders>
            <w:shd w:val="clear" w:color="auto" w:fill="auto"/>
            <w:noWrap/>
            <w:vAlign w:val="center"/>
          </w:tcPr>
          <w:p w14:paraId="35F94960" w14:textId="65EE4A8F"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3780C9E2" w14:textId="778FE26C"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62CDAD0E" w14:textId="5DF7694F"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0774D6A5" w14:textId="7EAD6B39"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B05B1" w:rsidRPr="00EB05B1" w14:paraId="2E839DEC" w14:textId="77777777" w:rsidTr="00F3435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B3EC952"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A2</w:t>
            </w:r>
          </w:p>
        </w:tc>
        <w:tc>
          <w:tcPr>
            <w:tcW w:w="1031" w:type="dxa"/>
            <w:tcBorders>
              <w:top w:val="nil"/>
              <w:left w:val="nil"/>
              <w:bottom w:val="nil"/>
              <w:right w:val="nil"/>
            </w:tcBorders>
            <w:shd w:val="clear" w:color="auto" w:fill="auto"/>
            <w:noWrap/>
            <w:vAlign w:val="center"/>
            <w:hideMark/>
          </w:tcPr>
          <w:p w14:paraId="42BE2C3A"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-0,14%</w:t>
            </w:r>
          </w:p>
        </w:tc>
        <w:tc>
          <w:tcPr>
            <w:tcW w:w="1031" w:type="dxa"/>
            <w:tcBorders>
              <w:top w:val="nil"/>
              <w:left w:val="nil"/>
              <w:bottom w:val="nil"/>
              <w:right w:val="nil"/>
            </w:tcBorders>
            <w:shd w:val="clear" w:color="auto" w:fill="auto"/>
            <w:noWrap/>
            <w:vAlign w:val="center"/>
            <w:hideMark/>
          </w:tcPr>
          <w:p w14:paraId="14B373F5"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0,01%</w:t>
            </w:r>
          </w:p>
        </w:tc>
        <w:tc>
          <w:tcPr>
            <w:tcW w:w="1031" w:type="dxa"/>
            <w:tcBorders>
              <w:top w:val="nil"/>
              <w:left w:val="nil"/>
              <w:bottom w:val="nil"/>
              <w:right w:val="single" w:sz="4" w:space="0" w:color="auto"/>
            </w:tcBorders>
            <w:shd w:val="clear" w:color="auto" w:fill="auto"/>
            <w:noWrap/>
            <w:vAlign w:val="center"/>
            <w:hideMark/>
          </w:tcPr>
          <w:p w14:paraId="43742B09"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0,03%</w:t>
            </w:r>
          </w:p>
        </w:tc>
        <w:tc>
          <w:tcPr>
            <w:tcW w:w="791" w:type="dxa"/>
            <w:tcBorders>
              <w:top w:val="nil"/>
              <w:left w:val="nil"/>
              <w:bottom w:val="nil"/>
              <w:right w:val="nil"/>
            </w:tcBorders>
            <w:shd w:val="clear" w:color="auto" w:fill="auto"/>
            <w:noWrap/>
            <w:vAlign w:val="center"/>
          </w:tcPr>
          <w:p w14:paraId="5AA3D87A" w14:textId="076FA915"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5AB4A2DA" w14:textId="5289B19D"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5ED85990" w14:textId="3AD9D9EA"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2CF0D762" w14:textId="01AF3D93"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B05B1" w:rsidRPr="00EB05B1" w14:paraId="239DE74A" w14:textId="77777777" w:rsidTr="00F3435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A4E3FFA"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B</w:t>
            </w:r>
          </w:p>
        </w:tc>
        <w:tc>
          <w:tcPr>
            <w:tcW w:w="1031" w:type="dxa"/>
            <w:tcBorders>
              <w:top w:val="nil"/>
              <w:left w:val="nil"/>
              <w:bottom w:val="nil"/>
              <w:right w:val="nil"/>
            </w:tcBorders>
            <w:shd w:val="clear" w:color="auto" w:fill="auto"/>
            <w:noWrap/>
            <w:vAlign w:val="center"/>
            <w:hideMark/>
          </w:tcPr>
          <w:p w14:paraId="76F91A1B"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-0,09%</w:t>
            </w:r>
          </w:p>
        </w:tc>
        <w:tc>
          <w:tcPr>
            <w:tcW w:w="1031" w:type="dxa"/>
            <w:tcBorders>
              <w:top w:val="nil"/>
              <w:left w:val="nil"/>
              <w:bottom w:val="nil"/>
              <w:right w:val="nil"/>
            </w:tcBorders>
            <w:shd w:val="clear" w:color="auto" w:fill="auto"/>
            <w:noWrap/>
            <w:vAlign w:val="center"/>
            <w:hideMark/>
          </w:tcPr>
          <w:p w14:paraId="4D6B782A"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0,02%</w:t>
            </w:r>
          </w:p>
        </w:tc>
        <w:tc>
          <w:tcPr>
            <w:tcW w:w="1031" w:type="dxa"/>
            <w:tcBorders>
              <w:top w:val="nil"/>
              <w:left w:val="nil"/>
              <w:bottom w:val="nil"/>
              <w:right w:val="single" w:sz="4" w:space="0" w:color="auto"/>
            </w:tcBorders>
            <w:shd w:val="clear" w:color="auto" w:fill="auto"/>
            <w:noWrap/>
            <w:vAlign w:val="center"/>
            <w:hideMark/>
          </w:tcPr>
          <w:p w14:paraId="2EEDD4ED"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0,04%</w:t>
            </w:r>
          </w:p>
        </w:tc>
        <w:tc>
          <w:tcPr>
            <w:tcW w:w="791" w:type="dxa"/>
            <w:tcBorders>
              <w:top w:val="nil"/>
              <w:left w:val="nil"/>
              <w:bottom w:val="nil"/>
              <w:right w:val="nil"/>
            </w:tcBorders>
            <w:shd w:val="clear" w:color="auto" w:fill="auto"/>
            <w:noWrap/>
            <w:vAlign w:val="center"/>
          </w:tcPr>
          <w:p w14:paraId="750E50A0" w14:textId="25408AF6"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413803BC" w14:textId="37BE9400"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1CF415A5" w14:textId="2867F8C0"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5AEF2651" w14:textId="61B64452"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B05B1" w:rsidRPr="00EB05B1" w14:paraId="73FB4EB4" w14:textId="77777777" w:rsidTr="00F3435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BBED101"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C</w:t>
            </w:r>
          </w:p>
        </w:tc>
        <w:tc>
          <w:tcPr>
            <w:tcW w:w="1031" w:type="dxa"/>
            <w:tcBorders>
              <w:top w:val="nil"/>
              <w:left w:val="nil"/>
              <w:bottom w:val="nil"/>
              <w:right w:val="nil"/>
            </w:tcBorders>
            <w:shd w:val="clear" w:color="auto" w:fill="auto"/>
            <w:noWrap/>
            <w:vAlign w:val="center"/>
            <w:hideMark/>
          </w:tcPr>
          <w:p w14:paraId="62650C5F"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-0,06%</w:t>
            </w:r>
          </w:p>
        </w:tc>
        <w:tc>
          <w:tcPr>
            <w:tcW w:w="1031" w:type="dxa"/>
            <w:tcBorders>
              <w:top w:val="nil"/>
              <w:left w:val="nil"/>
              <w:bottom w:val="nil"/>
              <w:right w:val="nil"/>
            </w:tcBorders>
            <w:shd w:val="clear" w:color="auto" w:fill="auto"/>
            <w:noWrap/>
            <w:vAlign w:val="center"/>
            <w:hideMark/>
          </w:tcPr>
          <w:p w14:paraId="59987FD6"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-0,05%</w:t>
            </w:r>
          </w:p>
        </w:tc>
        <w:tc>
          <w:tcPr>
            <w:tcW w:w="1031" w:type="dxa"/>
            <w:tcBorders>
              <w:top w:val="nil"/>
              <w:left w:val="nil"/>
              <w:bottom w:val="nil"/>
              <w:right w:val="single" w:sz="4" w:space="0" w:color="auto"/>
            </w:tcBorders>
            <w:shd w:val="clear" w:color="auto" w:fill="auto"/>
            <w:noWrap/>
            <w:vAlign w:val="center"/>
            <w:hideMark/>
          </w:tcPr>
          <w:p w14:paraId="4A6D2117"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0,05%</w:t>
            </w:r>
          </w:p>
        </w:tc>
        <w:tc>
          <w:tcPr>
            <w:tcW w:w="791" w:type="dxa"/>
            <w:tcBorders>
              <w:top w:val="nil"/>
              <w:left w:val="nil"/>
              <w:bottom w:val="nil"/>
              <w:right w:val="nil"/>
            </w:tcBorders>
            <w:shd w:val="clear" w:color="auto" w:fill="auto"/>
            <w:noWrap/>
            <w:vAlign w:val="center"/>
          </w:tcPr>
          <w:p w14:paraId="579B3BDB" w14:textId="51A2AB3D"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79542BDA" w14:textId="78D655B3"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2D234E98" w14:textId="3330F93D"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3E8AF58F" w14:textId="381FB35E"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B05B1" w:rsidRPr="00EB05B1" w14:paraId="111A95CB" w14:textId="77777777" w:rsidTr="00F3435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B0754D7"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E</w:t>
            </w:r>
          </w:p>
        </w:tc>
        <w:tc>
          <w:tcPr>
            <w:tcW w:w="1031" w:type="dxa"/>
            <w:tcBorders>
              <w:top w:val="nil"/>
              <w:left w:val="nil"/>
              <w:bottom w:val="nil"/>
              <w:right w:val="nil"/>
            </w:tcBorders>
            <w:shd w:val="clear" w:color="auto" w:fill="auto"/>
            <w:noWrap/>
            <w:vAlign w:val="center"/>
            <w:hideMark/>
          </w:tcPr>
          <w:p w14:paraId="334E82EA"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-0,04%</w:t>
            </w:r>
          </w:p>
        </w:tc>
        <w:tc>
          <w:tcPr>
            <w:tcW w:w="1031" w:type="dxa"/>
            <w:tcBorders>
              <w:top w:val="nil"/>
              <w:left w:val="nil"/>
              <w:bottom w:val="nil"/>
              <w:right w:val="nil"/>
            </w:tcBorders>
            <w:shd w:val="clear" w:color="auto" w:fill="auto"/>
            <w:noWrap/>
            <w:vAlign w:val="center"/>
            <w:hideMark/>
          </w:tcPr>
          <w:p w14:paraId="6601176F"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0,04%</w:t>
            </w:r>
          </w:p>
        </w:tc>
        <w:tc>
          <w:tcPr>
            <w:tcW w:w="1031" w:type="dxa"/>
            <w:tcBorders>
              <w:top w:val="nil"/>
              <w:left w:val="nil"/>
              <w:bottom w:val="nil"/>
              <w:right w:val="single" w:sz="4" w:space="0" w:color="auto"/>
            </w:tcBorders>
            <w:shd w:val="clear" w:color="auto" w:fill="auto"/>
            <w:noWrap/>
            <w:vAlign w:val="center"/>
            <w:hideMark/>
          </w:tcPr>
          <w:p w14:paraId="52ECE1A7"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-0,02%</w:t>
            </w:r>
          </w:p>
        </w:tc>
        <w:tc>
          <w:tcPr>
            <w:tcW w:w="791" w:type="dxa"/>
            <w:tcBorders>
              <w:top w:val="nil"/>
              <w:left w:val="nil"/>
              <w:bottom w:val="nil"/>
              <w:right w:val="nil"/>
            </w:tcBorders>
            <w:shd w:val="clear" w:color="auto" w:fill="auto"/>
            <w:noWrap/>
            <w:vAlign w:val="center"/>
          </w:tcPr>
          <w:p w14:paraId="6499A5D2" w14:textId="51748BDD"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757B678A" w14:textId="3E4AAA50"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1A401BCF" w14:textId="7BA9DB30"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2877A5A6" w14:textId="68901CB3"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B05B1" w:rsidRPr="00EB05B1" w14:paraId="65663A66" w14:textId="77777777" w:rsidTr="00F3435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3F140F9"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05B1">
              <w:rPr>
                <w:rFonts w:ascii="Arial" w:hAnsi="Arial" w:cs="Arial"/>
                <w:b/>
                <w:bCs/>
                <w:color w:val="000000"/>
                <w:sz w:val="18"/>
                <w:szCs w:val="18"/>
              </w:rPr>
              <w:t xml:space="preserve">Overall </w:t>
            </w:r>
          </w:p>
        </w:tc>
        <w:tc>
          <w:tcPr>
            <w:tcW w:w="1031" w:type="dxa"/>
            <w:tcBorders>
              <w:top w:val="single" w:sz="8" w:space="0" w:color="auto"/>
              <w:left w:val="nil"/>
              <w:bottom w:val="nil"/>
              <w:right w:val="nil"/>
            </w:tcBorders>
            <w:shd w:val="clear" w:color="auto" w:fill="auto"/>
            <w:noWrap/>
            <w:vAlign w:val="center"/>
            <w:hideMark/>
          </w:tcPr>
          <w:p w14:paraId="19565B17"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-0,09%</w:t>
            </w:r>
          </w:p>
        </w:tc>
        <w:tc>
          <w:tcPr>
            <w:tcW w:w="1031" w:type="dxa"/>
            <w:tcBorders>
              <w:top w:val="single" w:sz="8" w:space="0" w:color="auto"/>
              <w:left w:val="nil"/>
              <w:bottom w:val="nil"/>
              <w:right w:val="nil"/>
            </w:tcBorders>
            <w:shd w:val="clear" w:color="auto" w:fill="auto"/>
            <w:noWrap/>
            <w:vAlign w:val="center"/>
            <w:hideMark/>
          </w:tcPr>
          <w:p w14:paraId="20F13189"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0,01%</w:t>
            </w:r>
          </w:p>
        </w:tc>
        <w:tc>
          <w:tcPr>
            <w:tcW w:w="1031" w:type="dxa"/>
            <w:tcBorders>
              <w:top w:val="single" w:sz="8" w:space="0" w:color="auto"/>
              <w:left w:val="nil"/>
              <w:bottom w:val="nil"/>
              <w:right w:val="single" w:sz="4" w:space="0" w:color="auto"/>
            </w:tcBorders>
            <w:shd w:val="clear" w:color="auto" w:fill="auto"/>
            <w:noWrap/>
            <w:vAlign w:val="center"/>
            <w:hideMark/>
          </w:tcPr>
          <w:p w14:paraId="600626BD"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0,02%</w:t>
            </w:r>
          </w:p>
        </w:tc>
        <w:tc>
          <w:tcPr>
            <w:tcW w:w="791" w:type="dxa"/>
            <w:tcBorders>
              <w:top w:val="single" w:sz="8" w:space="0" w:color="auto"/>
              <w:left w:val="nil"/>
              <w:bottom w:val="nil"/>
              <w:right w:val="nil"/>
            </w:tcBorders>
            <w:shd w:val="clear" w:color="auto" w:fill="auto"/>
            <w:noWrap/>
            <w:vAlign w:val="center"/>
          </w:tcPr>
          <w:p w14:paraId="670915EC" w14:textId="411A91F5"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single" w:sz="8" w:space="0" w:color="auto"/>
              <w:left w:val="nil"/>
              <w:bottom w:val="nil"/>
              <w:right w:val="nil"/>
            </w:tcBorders>
            <w:shd w:val="clear" w:color="auto" w:fill="auto"/>
            <w:noWrap/>
            <w:vAlign w:val="center"/>
          </w:tcPr>
          <w:p w14:paraId="629AE2D6" w14:textId="216F2CE8"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single" w:sz="8" w:space="0" w:color="auto"/>
              <w:left w:val="single" w:sz="4" w:space="0" w:color="auto"/>
              <w:bottom w:val="single" w:sz="8" w:space="0" w:color="auto"/>
              <w:right w:val="nil"/>
            </w:tcBorders>
            <w:shd w:val="clear" w:color="auto" w:fill="auto"/>
            <w:noWrap/>
            <w:vAlign w:val="center"/>
          </w:tcPr>
          <w:p w14:paraId="6AFD1F5B" w14:textId="02C02C46"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single" w:sz="8" w:space="0" w:color="auto"/>
              <w:left w:val="nil"/>
              <w:bottom w:val="single" w:sz="8" w:space="0" w:color="auto"/>
              <w:right w:val="single" w:sz="8" w:space="0" w:color="auto"/>
            </w:tcBorders>
            <w:shd w:val="clear" w:color="auto" w:fill="auto"/>
            <w:noWrap/>
            <w:vAlign w:val="center"/>
          </w:tcPr>
          <w:p w14:paraId="0BA8CA51" w14:textId="7F267E1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B05B1" w:rsidRPr="00EB05B1" w14:paraId="3E2A3EFA" w14:textId="77777777" w:rsidTr="00F3435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DDB4501"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D</w:t>
            </w:r>
          </w:p>
        </w:tc>
        <w:tc>
          <w:tcPr>
            <w:tcW w:w="1031" w:type="dxa"/>
            <w:tcBorders>
              <w:top w:val="single" w:sz="8" w:space="0" w:color="auto"/>
              <w:left w:val="nil"/>
              <w:bottom w:val="nil"/>
              <w:right w:val="nil"/>
            </w:tcBorders>
            <w:shd w:val="clear" w:color="auto" w:fill="auto"/>
            <w:noWrap/>
            <w:vAlign w:val="center"/>
            <w:hideMark/>
          </w:tcPr>
          <w:p w14:paraId="7FF30B0E"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-0,07%</w:t>
            </w:r>
          </w:p>
        </w:tc>
        <w:tc>
          <w:tcPr>
            <w:tcW w:w="1031" w:type="dxa"/>
            <w:tcBorders>
              <w:top w:val="single" w:sz="8" w:space="0" w:color="auto"/>
              <w:left w:val="nil"/>
              <w:bottom w:val="nil"/>
              <w:right w:val="nil"/>
            </w:tcBorders>
            <w:shd w:val="clear" w:color="auto" w:fill="auto"/>
            <w:noWrap/>
            <w:vAlign w:val="center"/>
            <w:hideMark/>
          </w:tcPr>
          <w:p w14:paraId="29FC142B"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0,16%</w:t>
            </w:r>
          </w:p>
        </w:tc>
        <w:tc>
          <w:tcPr>
            <w:tcW w:w="1031" w:type="dxa"/>
            <w:tcBorders>
              <w:top w:val="single" w:sz="8" w:space="0" w:color="auto"/>
              <w:left w:val="nil"/>
              <w:bottom w:val="nil"/>
              <w:right w:val="single" w:sz="4" w:space="0" w:color="auto"/>
            </w:tcBorders>
            <w:shd w:val="clear" w:color="auto" w:fill="auto"/>
            <w:noWrap/>
            <w:vAlign w:val="center"/>
            <w:hideMark/>
          </w:tcPr>
          <w:p w14:paraId="469E87AB"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-0,05%</w:t>
            </w:r>
          </w:p>
        </w:tc>
        <w:tc>
          <w:tcPr>
            <w:tcW w:w="791" w:type="dxa"/>
            <w:tcBorders>
              <w:top w:val="single" w:sz="8" w:space="0" w:color="auto"/>
              <w:left w:val="nil"/>
              <w:bottom w:val="nil"/>
              <w:right w:val="nil"/>
            </w:tcBorders>
            <w:shd w:val="clear" w:color="auto" w:fill="auto"/>
            <w:noWrap/>
            <w:vAlign w:val="center"/>
          </w:tcPr>
          <w:p w14:paraId="4AC780FD" w14:textId="58771609"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single" w:sz="8" w:space="0" w:color="auto"/>
              <w:left w:val="nil"/>
              <w:bottom w:val="nil"/>
              <w:right w:val="nil"/>
            </w:tcBorders>
            <w:shd w:val="clear" w:color="auto" w:fill="auto"/>
            <w:noWrap/>
            <w:vAlign w:val="center"/>
          </w:tcPr>
          <w:p w14:paraId="62AC49E4" w14:textId="369A4C8A"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069BA3D2" w14:textId="3F18D46E"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1BE869A9" w14:textId="335E2E09"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B05B1" w:rsidRPr="00EB05B1" w14:paraId="3B87D5CB" w14:textId="77777777" w:rsidTr="000143A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5BEDAB4"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F</w:t>
            </w:r>
          </w:p>
        </w:tc>
        <w:tc>
          <w:tcPr>
            <w:tcW w:w="1031" w:type="dxa"/>
            <w:tcBorders>
              <w:top w:val="nil"/>
              <w:left w:val="nil"/>
              <w:bottom w:val="nil"/>
              <w:right w:val="nil"/>
            </w:tcBorders>
            <w:shd w:val="clear" w:color="auto" w:fill="auto"/>
            <w:noWrap/>
            <w:vAlign w:val="center"/>
          </w:tcPr>
          <w:p w14:paraId="35D91C15" w14:textId="3C406CB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nil"/>
            </w:tcBorders>
            <w:shd w:val="clear" w:color="auto" w:fill="auto"/>
            <w:noWrap/>
            <w:vAlign w:val="center"/>
          </w:tcPr>
          <w:p w14:paraId="651732A9" w14:textId="15320D99"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single" w:sz="4" w:space="0" w:color="auto"/>
            </w:tcBorders>
            <w:shd w:val="clear" w:color="auto" w:fill="auto"/>
            <w:noWrap/>
            <w:vAlign w:val="center"/>
          </w:tcPr>
          <w:p w14:paraId="45FF5FDA" w14:textId="3F9012E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710CFB98" w14:textId="4BD84138"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1A1CE869" w14:textId="116431D4"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620CD717" w14:textId="558CB0B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21A46A1E" w14:textId="6B95312E"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B05B1" w:rsidRPr="00EB05B1" w14:paraId="3A297AF4" w14:textId="77777777" w:rsidTr="000143AE">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5219EDE"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TGM</w:t>
            </w:r>
          </w:p>
        </w:tc>
        <w:tc>
          <w:tcPr>
            <w:tcW w:w="1031" w:type="dxa"/>
            <w:tcBorders>
              <w:top w:val="nil"/>
              <w:left w:val="nil"/>
              <w:bottom w:val="single" w:sz="8" w:space="0" w:color="auto"/>
              <w:right w:val="nil"/>
            </w:tcBorders>
            <w:shd w:val="clear" w:color="auto" w:fill="auto"/>
            <w:noWrap/>
            <w:vAlign w:val="center"/>
          </w:tcPr>
          <w:p w14:paraId="55D8877C" w14:textId="6D61B861"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single" w:sz="8" w:space="0" w:color="auto"/>
              <w:right w:val="nil"/>
            </w:tcBorders>
            <w:shd w:val="clear" w:color="auto" w:fill="auto"/>
            <w:noWrap/>
            <w:vAlign w:val="center"/>
          </w:tcPr>
          <w:p w14:paraId="6ED27BE8" w14:textId="6586546D"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single" w:sz="8" w:space="0" w:color="auto"/>
              <w:right w:val="single" w:sz="4" w:space="0" w:color="auto"/>
            </w:tcBorders>
            <w:shd w:val="clear" w:color="auto" w:fill="auto"/>
            <w:noWrap/>
            <w:vAlign w:val="center"/>
          </w:tcPr>
          <w:p w14:paraId="1BE867A6" w14:textId="0E9782EC"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single" w:sz="8" w:space="0" w:color="auto"/>
              <w:right w:val="nil"/>
            </w:tcBorders>
            <w:shd w:val="clear" w:color="auto" w:fill="auto"/>
            <w:noWrap/>
            <w:vAlign w:val="center"/>
          </w:tcPr>
          <w:p w14:paraId="3DDD023A" w14:textId="54CAC888"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single" w:sz="8" w:space="0" w:color="auto"/>
              <w:right w:val="nil"/>
            </w:tcBorders>
            <w:shd w:val="clear" w:color="auto" w:fill="auto"/>
            <w:noWrap/>
            <w:vAlign w:val="center"/>
          </w:tcPr>
          <w:p w14:paraId="62AB4A61" w14:textId="3A8D2B81"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single" w:sz="8" w:space="0" w:color="auto"/>
              <w:right w:val="nil"/>
            </w:tcBorders>
            <w:shd w:val="clear" w:color="auto" w:fill="auto"/>
            <w:noWrap/>
            <w:vAlign w:val="center"/>
          </w:tcPr>
          <w:p w14:paraId="605146E0" w14:textId="4F458F09"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single" w:sz="8" w:space="0" w:color="auto"/>
              <w:right w:val="single" w:sz="8" w:space="0" w:color="auto"/>
            </w:tcBorders>
            <w:shd w:val="clear" w:color="auto" w:fill="auto"/>
            <w:noWrap/>
            <w:vAlign w:val="center"/>
          </w:tcPr>
          <w:p w14:paraId="2918DED6" w14:textId="424AEBD1"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2CA672E" w14:textId="77777777" w:rsidR="00EB05B1" w:rsidRDefault="00EB05B1" w:rsidP="00071A96">
      <w:pPr>
        <w:rPr>
          <w:lang w:val="en-CA"/>
        </w:rPr>
      </w:pPr>
    </w:p>
    <w:p w14:paraId="296EA0C7" w14:textId="010C0066" w:rsidR="00F3435B" w:rsidRDefault="00F3435B" w:rsidP="00F3435B">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002867D2">
        <w:t>Performances of the RA test EE2-2.4 over ECM-12.0</w:t>
      </w:r>
    </w:p>
    <w:tbl>
      <w:tblPr>
        <w:tblW w:w="8480" w:type="dxa"/>
        <w:tblLook w:val="04A0" w:firstRow="1" w:lastRow="0" w:firstColumn="1" w:lastColumn="0" w:noHBand="0" w:noVBand="1"/>
      </w:tblPr>
      <w:tblGrid>
        <w:gridCol w:w="1060"/>
        <w:gridCol w:w="1031"/>
        <w:gridCol w:w="1031"/>
        <w:gridCol w:w="1031"/>
        <w:gridCol w:w="791"/>
        <w:gridCol w:w="791"/>
        <w:gridCol w:w="1366"/>
        <w:gridCol w:w="1379"/>
      </w:tblGrid>
      <w:tr w:rsidR="00F3435B" w:rsidRPr="00F3435B" w14:paraId="0C3A5779" w14:textId="77777777" w:rsidTr="00F3435B">
        <w:trPr>
          <w:trHeight w:val="255"/>
        </w:trPr>
        <w:tc>
          <w:tcPr>
            <w:tcW w:w="1060" w:type="dxa"/>
            <w:tcBorders>
              <w:top w:val="nil"/>
              <w:left w:val="nil"/>
              <w:bottom w:val="nil"/>
              <w:right w:val="nil"/>
            </w:tcBorders>
            <w:shd w:val="clear" w:color="auto" w:fill="auto"/>
            <w:noWrap/>
            <w:vAlign w:val="center"/>
            <w:hideMark/>
          </w:tcPr>
          <w:p w14:paraId="385006DC"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23F9FD"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435B">
              <w:rPr>
                <w:rFonts w:ascii="Arial" w:hAnsi="Arial" w:cs="Arial"/>
                <w:b/>
                <w:bCs/>
                <w:color w:val="000000"/>
                <w:sz w:val="18"/>
                <w:szCs w:val="18"/>
              </w:rPr>
              <w:t>Random Access Main 10</w:t>
            </w:r>
          </w:p>
        </w:tc>
      </w:tr>
      <w:tr w:rsidR="00F3435B" w:rsidRPr="00F3435B" w14:paraId="0C653461" w14:textId="77777777" w:rsidTr="00F3435B">
        <w:trPr>
          <w:trHeight w:val="255"/>
        </w:trPr>
        <w:tc>
          <w:tcPr>
            <w:tcW w:w="1060" w:type="dxa"/>
            <w:tcBorders>
              <w:top w:val="nil"/>
              <w:left w:val="nil"/>
              <w:bottom w:val="nil"/>
              <w:right w:val="nil"/>
            </w:tcBorders>
            <w:shd w:val="clear" w:color="auto" w:fill="auto"/>
            <w:noWrap/>
            <w:vAlign w:val="center"/>
            <w:hideMark/>
          </w:tcPr>
          <w:p w14:paraId="353A7A79"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1F7952AB"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435B">
              <w:rPr>
                <w:rFonts w:ascii="Arial" w:hAnsi="Arial" w:cs="Arial"/>
                <w:b/>
                <w:bCs/>
                <w:color w:val="000000"/>
                <w:sz w:val="18"/>
                <w:szCs w:val="18"/>
              </w:rPr>
              <w:t>Over ECM-12.0</w:t>
            </w:r>
          </w:p>
        </w:tc>
      </w:tr>
      <w:tr w:rsidR="00F3435B" w:rsidRPr="00F3435B" w14:paraId="636670E8" w14:textId="77777777" w:rsidTr="00F3435B">
        <w:trPr>
          <w:trHeight w:val="255"/>
        </w:trPr>
        <w:tc>
          <w:tcPr>
            <w:tcW w:w="1060" w:type="dxa"/>
            <w:tcBorders>
              <w:top w:val="nil"/>
              <w:left w:val="nil"/>
              <w:bottom w:val="nil"/>
              <w:right w:val="nil"/>
            </w:tcBorders>
            <w:shd w:val="clear" w:color="auto" w:fill="auto"/>
            <w:noWrap/>
            <w:vAlign w:val="center"/>
            <w:hideMark/>
          </w:tcPr>
          <w:p w14:paraId="219720F1"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31" w:type="dxa"/>
            <w:tcBorders>
              <w:top w:val="nil"/>
              <w:left w:val="single" w:sz="8" w:space="0" w:color="auto"/>
              <w:bottom w:val="single" w:sz="8" w:space="0" w:color="auto"/>
              <w:right w:val="nil"/>
            </w:tcBorders>
            <w:shd w:val="clear" w:color="auto" w:fill="auto"/>
            <w:noWrap/>
            <w:vAlign w:val="center"/>
            <w:hideMark/>
          </w:tcPr>
          <w:p w14:paraId="3DD77DC4"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Y</w:t>
            </w:r>
          </w:p>
        </w:tc>
        <w:tc>
          <w:tcPr>
            <w:tcW w:w="1031" w:type="dxa"/>
            <w:tcBorders>
              <w:top w:val="nil"/>
              <w:left w:val="nil"/>
              <w:bottom w:val="single" w:sz="8" w:space="0" w:color="auto"/>
              <w:right w:val="nil"/>
            </w:tcBorders>
            <w:shd w:val="clear" w:color="auto" w:fill="auto"/>
            <w:noWrap/>
            <w:vAlign w:val="center"/>
            <w:hideMark/>
          </w:tcPr>
          <w:p w14:paraId="0F00953C"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U</w:t>
            </w:r>
          </w:p>
        </w:tc>
        <w:tc>
          <w:tcPr>
            <w:tcW w:w="1031" w:type="dxa"/>
            <w:tcBorders>
              <w:top w:val="nil"/>
              <w:left w:val="nil"/>
              <w:bottom w:val="single" w:sz="8" w:space="0" w:color="auto"/>
              <w:right w:val="single" w:sz="4" w:space="0" w:color="auto"/>
            </w:tcBorders>
            <w:shd w:val="clear" w:color="auto" w:fill="auto"/>
            <w:noWrap/>
            <w:vAlign w:val="center"/>
            <w:hideMark/>
          </w:tcPr>
          <w:p w14:paraId="2469C7C9"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V</w:t>
            </w:r>
          </w:p>
        </w:tc>
        <w:tc>
          <w:tcPr>
            <w:tcW w:w="791" w:type="dxa"/>
            <w:tcBorders>
              <w:top w:val="nil"/>
              <w:left w:val="nil"/>
              <w:bottom w:val="single" w:sz="8" w:space="0" w:color="auto"/>
              <w:right w:val="nil"/>
            </w:tcBorders>
            <w:shd w:val="clear" w:color="auto" w:fill="auto"/>
            <w:noWrap/>
            <w:vAlign w:val="center"/>
            <w:hideMark/>
          </w:tcPr>
          <w:p w14:paraId="09222B36"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EncT</w:t>
            </w:r>
          </w:p>
        </w:tc>
        <w:tc>
          <w:tcPr>
            <w:tcW w:w="791" w:type="dxa"/>
            <w:tcBorders>
              <w:top w:val="nil"/>
              <w:left w:val="nil"/>
              <w:bottom w:val="single" w:sz="8" w:space="0" w:color="auto"/>
              <w:right w:val="nil"/>
            </w:tcBorders>
            <w:shd w:val="clear" w:color="auto" w:fill="auto"/>
            <w:noWrap/>
            <w:vAlign w:val="center"/>
            <w:hideMark/>
          </w:tcPr>
          <w:p w14:paraId="7EE06B23"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DecT</w:t>
            </w:r>
          </w:p>
        </w:tc>
        <w:tc>
          <w:tcPr>
            <w:tcW w:w="1366" w:type="dxa"/>
            <w:tcBorders>
              <w:top w:val="nil"/>
              <w:left w:val="single" w:sz="4" w:space="0" w:color="auto"/>
              <w:bottom w:val="single" w:sz="8" w:space="0" w:color="auto"/>
              <w:right w:val="nil"/>
            </w:tcBorders>
            <w:shd w:val="clear" w:color="auto" w:fill="auto"/>
            <w:noWrap/>
            <w:vAlign w:val="center"/>
            <w:hideMark/>
          </w:tcPr>
          <w:p w14:paraId="027B2A96"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EncVmPeak</w:t>
            </w:r>
          </w:p>
        </w:tc>
        <w:tc>
          <w:tcPr>
            <w:tcW w:w="1379" w:type="dxa"/>
            <w:tcBorders>
              <w:top w:val="nil"/>
              <w:left w:val="single" w:sz="4" w:space="0" w:color="auto"/>
              <w:bottom w:val="single" w:sz="8" w:space="0" w:color="auto"/>
              <w:right w:val="single" w:sz="8" w:space="0" w:color="auto"/>
            </w:tcBorders>
            <w:shd w:val="clear" w:color="auto" w:fill="auto"/>
            <w:noWrap/>
            <w:vAlign w:val="center"/>
            <w:hideMark/>
          </w:tcPr>
          <w:p w14:paraId="4A1D5C30"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DecVmPeak</w:t>
            </w:r>
          </w:p>
        </w:tc>
      </w:tr>
      <w:tr w:rsidR="00F3435B" w:rsidRPr="00F3435B" w14:paraId="40137A3A" w14:textId="77777777" w:rsidTr="00F3435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C067275"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A1</w:t>
            </w:r>
          </w:p>
        </w:tc>
        <w:tc>
          <w:tcPr>
            <w:tcW w:w="1031" w:type="dxa"/>
            <w:tcBorders>
              <w:top w:val="nil"/>
              <w:left w:val="nil"/>
              <w:bottom w:val="nil"/>
              <w:right w:val="nil"/>
            </w:tcBorders>
            <w:shd w:val="clear" w:color="auto" w:fill="auto"/>
            <w:noWrap/>
            <w:vAlign w:val="center"/>
          </w:tcPr>
          <w:p w14:paraId="4E61EE36" w14:textId="4B582BBA"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nil"/>
            </w:tcBorders>
            <w:shd w:val="clear" w:color="auto" w:fill="auto"/>
            <w:noWrap/>
            <w:vAlign w:val="center"/>
          </w:tcPr>
          <w:p w14:paraId="1DFC6343" w14:textId="1B20909A"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single" w:sz="4" w:space="0" w:color="auto"/>
            </w:tcBorders>
            <w:shd w:val="clear" w:color="auto" w:fill="auto"/>
            <w:noWrap/>
            <w:vAlign w:val="center"/>
          </w:tcPr>
          <w:p w14:paraId="7678CC6A" w14:textId="50670466"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1346FEDD" w14:textId="19CFB532"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25AC1D9B" w14:textId="06A24222"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56F89B6C" w14:textId="673F68BE"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1A6F6F74" w14:textId="027BECFD"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3435B" w:rsidRPr="00F3435B" w14:paraId="0BC7CD6B" w14:textId="77777777" w:rsidTr="00F3435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644C8AE"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A2</w:t>
            </w:r>
          </w:p>
        </w:tc>
        <w:tc>
          <w:tcPr>
            <w:tcW w:w="1031" w:type="dxa"/>
            <w:tcBorders>
              <w:top w:val="nil"/>
              <w:left w:val="nil"/>
              <w:bottom w:val="nil"/>
              <w:right w:val="nil"/>
            </w:tcBorders>
            <w:shd w:val="clear" w:color="auto" w:fill="auto"/>
            <w:noWrap/>
            <w:vAlign w:val="center"/>
          </w:tcPr>
          <w:p w14:paraId="57D38B3C" w14:textId="0B894F36"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nil"/>
            </w:tcBorders>
            <w:shd w:val="clear" w:color="auto" w:fill="auto"/>
            <w:noWrap/>
            <w:vAlign w:val="center"/>
          </w:tcPr>
          <w:p w14:paraId="69915655" w14:textId="208E3B65"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single" w:sz="4" w:space="0" w:color="auto"/>
            </w:tcBorders>
            <w:shd w:val="clear" w:color="auto" w:fill="auto"/>
            <w:noWrap/>
            <w:vAlign w:val="center"/>
          </w:tcPr>
          <w:p w14:paraId="07A9FD68" w14:textId="4AC5C7C9"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1F6B424B" w14:textId="5C6FDEDE"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70DB03F8" w14:textId="7CFEF7A8"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1D34414C" w14:textId="5967C50A"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78B9D25A" w14:textId="109258DD"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3435B" w:rsidRPr="00F3435B" w14:paraId="23F78ED8" w14:textId="77777777" w:rsidTr="00F3435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B204C21"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B</w:t>
            </w:r>
          </w:p>
        </w:tc>
        <w:tc>
          <w:tcPr>
            <w:tcW w:w="1031" w:type="dxa"/>
            <w:tcBorders>
              <w:top w:val="nil"/>
              <w:left w:val="nil"/>
              <w:bottom w:val="nil"/>
              <w:right w:val="nil"/>
            </w:tcBorders>
            <w:shd w:val="clear" w:color="auto" w:fill="auto"/>
            <w:noWrap/>
            <w:vAlign w:val="center"/>
          </w:tcPr>
          <w:p w14:paraId="711541B0" w14:textId="6B3FAE21"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nil"/>
            </w:tcBorders>
            <w:shd w:val="clear" w:color="auto" w:fill="auto"/>
            <w:noWrap/>
            <w:vAlign w:val="center"/>
          </w:tcPr>
          <w:p w14:paraId="5785E383" w14:textId="74A14E24"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single" w:sz="4" w:space="0" w:color="auto"/>
            </w:tcBorders>
            <w:shd w:val="clear" w:color="auto" w:fill="auto"/>
            <w:noWrap/>
            <w:vAlign w:val="center"/>
          </w:tcPr>
          <w:p w14:paraId="46760C0E" w14:textId="2DFD974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39B94B67" w14:textId="014ACF41"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148E91DA" w14:textId="0E48289D"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3C7E0D18" w14:textId="679D07FB"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4AC934B3" w14:textId="2DB082F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3435B" w:rsidRPr="00F3435B" w14:paraId="3808D08C" w14:textId="77777777" w:rsidTr="00F3435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B2FC9CF"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C</w:t>
            </w:r>
          </w:p>
        </w:tc>
        <w:tc>
          <w:tcPr>
            <w:tcW w:w="1031" w:type="dxa"/>
            <w:tcBorders>
              <w:top w:val="nil"/>
              <w:left w:val="nil"/>
              <w:bottom w:val="nil"/>
              <w:right w:val="nil"/>
            </w:tcBorders>
            <w:shd w:val="clear" w:color="auto" w:fill="auto"/>
            <w:noWrap/>
            <w:vAlign w:val="center"/>
          </w:tcPr>
          <w:p w14:paraId="235E0622" w14:textId="4DA7595E"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nil"/>
            </w:tcBorders>
            <w:shd w:val="clear" w:color="auto" w:fill="auto"/>
            <w:noWrap/>
            <w:vAlign w:val="center"/>
          </w:tcPr>
          <w:p w14:paraId="691E0A9C" w14:textId="63B90FFD"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single" w:sz="4" w:space="0" w:color="auto"/>
            </w:tcBorders>
            <w:shd w:val="clear" w:color="auto" w:fill="auto"/>
            <w:noWrap/>
            <w:vAlign w:val="center"/>
          </w:tcPr>
          <w:p w14:paraId="4089EEB8" w14:textId="6C5714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0697DFD7" w14:textId="455F1936"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0B72EA2A" w14:textId="29693D3D"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528E036E" w14:textId="2196989B"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2D267951" w14:textId="05081191"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3435B" w:rsidRPr="00F3435B" w14:paraId="18846951" w14:textId="77777777" w:rsidTr="00F3435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5356692"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E</w:t>
            </w:r>
          </w:p>
        </w:tc>
        <w:tc>
          <w:tcPr>
            <w:tcW w:w="1031" w:type="dxa"/>
            <w:tcBorders>
              <w:top w:val="nil"/>
              <w:left w:val="nil"/>
              <w:bottom w:val="nil"/>
              <w:right w:val="nil"/>
            </w:tcBorders>
            <w:shd w:val="clear" w:color="auto" w:fill="auto"/>
            <w:noWrap/>
            <w:vAlign w:val="center"/>
          </w:tcPr>
          <w:p w14:paraId="2CACD578" w14:textId="2C6B6388"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nil"/>
            </w:tcBorders>
            <w:shd w:val="clear" w:color="auto" w:fill="auto"/>
            <w:noWrap/>
            <w:vAlign w:val="center"/>
          </w:tcPr>
          <w:p w14:paraId="7D861BAE"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single" w:sz="4" w:space="0" w:color="auto"/>
            </w:tcBorders>
            <w:shd w:val="clear" w:color="auto" w:fill="auto"/>
            <w:noWrap/>
            <w:vAlign w:val="center"/>
          </w:tcPr>
          <w:p w14:paraId="1CE0E02B" w14:textId="7B23EDEC"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7A049222" w14:textId="11300B08"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1C670B41"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38277B7B" w14:textId="5DDD631C"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5DB8E05E" w14:textId="281C39AD"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3435B" w:rsidRPr="00F3435B" w14:paraId="501D839A" w14:textId="77777777" w:rsidTr="00F3435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C902DF"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435B">
              <w:rPr>
                <w:rFonts w:ascii="Arial" w:hAnsi="Arial" w:cs="Arial"/>
                <w:b/>
                <w:bCs/>
                <w:color w:val="000000"/>
                <w:sz w:val="18"/>
                <w:szCs w:val="18"/>
              </w:rPr>
              <w:t>Overall</w:t>
            </w:r>
          </w:p>
        </w:tc>
        <w:tc>
          <w:tcPr>
            <w:tcW w:w="1031" w:type="dxa"/>
            <w:tcBorders>
              <w:top w:val="single" w:sz="8" w:space="0" w:color="auto"/>
              <w:left w:val="nil"/>
              <w:bottom w:val="nil"/>
              <w:right w:val="nil"/>
            </w:tcBorders>
            <w:shd w:val="clear" w:color="auto" w:fill="auto"/>
            <w:noWrap/>
            <w:vAlign w:val="center"/>
          </w:tcPr>
          <w:p w14:paraId="7C7FF28F" w14:textId="1F990C29"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single" w:sz="8" w:space="0" w:color="auto"/>
              <w:left w:val="nil"/>
              <w:bottom w:val="nil"/>
              <w:right w:val="nil"/>
            </w:tcBorders>
            <w:shd w:val="clear" w:color="auto" w:fill="auto"/>
            <w:noWrap/>
            <w:vAlign w:val="center"/>
          </w:tcPr>
          <w:p w14:paraId="53895813" w14:textId="57A63DAD"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single" w:sz="8" w:space="0" w:color="auto"/>
              <w:left w:val="nil"/>
              <w:bottom w:val="nil"/>
              <w:right w:val="single" w:sz="4" w:space="0" w:color="auto"/>
            </w:tcBorders>
            <w:shd w:val="clear" w:color="auto" w:fill="auto"/>
            <w:noWrap/>
            <w:vAlign w:val="center"/>
          </w:tcPr>
          <w:p w14:paraId="5704C21E" w14:textId="6FDBA06C"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single" w:sz="8" w:space="0" w:color="auto"/>
              <w:left w:val="nil"/>
              <w:bottom w:val="nil"/>
              <w:right w:val="nil"/>
            </w:tcBorders>
            <w:shd w:val="clear" w:color="auto" w:fill="auto"/>
            <w:noWrap/>
            <w:vAlign w:val="center"/>
          </w:tcPr>
          <w:p w14:paraId="6C97E458" w14:textId="42311411"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single" w:sz="8" w:space="0" w:color="auto"/>
              <w:left w:val="nil"/>
              <w:bottom w:val="nil"/>
              <w:right w:val="nil"/>
            </w:tcBorders>
            <w:shd w:val="clear" w:color="auto" w:fill="auto"/>
            <w:noWrap/>
            <w:vAlign w:val="center"/>
          </w:tcPr>
          <w:p w14:paraId="1A1FEFF1" w14:textId="1ACCE9C6"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single" w:sz="8" w:space="0" w:color="auto"/>
              <w:left w:val="single" w:sz="4" w:space="0" w:color="auto"/>
              <w:bottom w:val="single" w:sz="8" w:space="0" w:color="auto"/>
              <w:right w:val="nil"/>
            </w:tcBorders>
            <w:shd w:val="clear" w:color="auto" w:fill="auto"/>
            <w:noWrap/>
            <w:vAlign w:val="center"/>
          </w:tcPr>
          <w:p w14:paraId="5644C0A6" w14:textId="68D6FDA1"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single" w:sz="8" w:space="0" w:color="auto"/>
              <w:left w:val="nil"/>
              <w:bottom w:val="single" w:sz="8" w:space="0" w:color="auto"/>
              <w:right w:val="single" w:sz="8" w:space="0" w:color="auto"/>
            </w:tcBorders>
            <w:shd w:val="clear" w:color="auto" w:fill="auto"/>
            <w:noWrap/>
            <w:vAlign w:val="center"/>
          </w:tcPr>
          <w:p w14:paraId="269F80D0" w14:textId="2ED6285B"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3435B" w:rsidRPr="00F3435B" w14:paraId="35704BEE" w14:textId="77777777" w:rsidTr="00F3435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74E9532"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D</w:t>
            </w:r>
          </w:p>
        </w:tc>
        <w:tc>
          <w:tcPr>
            <w:tcW w:w="1031" w:type="dxa"/>
            <w:tcBorders>
              <w:top w:val="single" w:sz="8" w:space="0" w:color="auto"/>
              <w:left w:val="nil"/>
              <w:bottom w:val="nil"/>
              <w:right w:val="nil"/>
            </w:tcBorders>
            <w:shd w:val="clear" w:color="auto" w:fill="auto"/>
            <w:noWrap/>
            <w:vAlign w:val="center"/>
          </w:tcPr>
          <w:p w14:paraId="3CBE685F" w14:textId="5528D20E"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single" w:sz="8" w:space="0" w:color="auto"/>
              <w:left w:val="nil"/>
              <w:bottom w:val="nil"/>
              <w:right w:val="nil"/>
            </w:tcBorders>
            <w:shd w:val="clear" w:color="auto" w:fill="auto"/>
            <w:noWrap/>
            <w:vAlign w:val="center"/>
          </w:tcPr>
          <w:p w14:paraId="6FB6C9BE" w14:textId="0131236E"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single" w:sz="8" w:space="0" w:color="auto"/>
              <w:left w:val="nil"/>
              <w:bottom w:val="nil"/>
              <w:right w:val="single" w:sz="4" w:space="0" w:color="auto"/>
            </w:tcBorders>
            <w:shd w:val="clear" w:color="auto" w:fill="auto"/>
            <w:noWrap/>
            <w:vAlign w:val="center"/>
          </w:tcPr>
          <w:p w14:paraId="526677EE" w14:textId="7F628264"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single" w:sz="8" w:space="0" w:color="auto"/>
              <w:left w:val="nil"/>
              <w:bottom w:val="nil"/>
              <w:right w:val="nil"/>
            </w:tcBorders>
            <w:shd w:val="clear" w:color="auto" w:fill="auto"/>
            <w:noWrap/>
            <w:vAlign w:val="center"/>
          </w:tcPr>
          <w:p w14:paraId="4013D3AE" w14:textId="195F7D9C"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single" w:sz="8" w:space="0" w:color="auto"/>
              <w:left w:val="nil"/>
              <w:bottom w:val="nil"/>
              <w:right w:val="nil"/>
            </w:tcBorders>
            <w:shd w:val="clear" w:color="auto" w:fill="auto"/>
            <w:noWrap/>
            <w:vAlign w:val="center"/>
          </w:tcPr>
          <w:p w14:paraId="53AC9B78" w14:textId="22C2771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1FD51B98" w14:textId="02B2DC84"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4D905742" w14:textId="4D7453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3435B" w:rsidRPr="00F3435B" w14:paraId="60644053" w14:textId="77777777" w:rsidTr="00F3435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01DB1D8"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F</w:t>
            </w:r>
          </w:p>
        </w:tc>
        <w:tc>
          <w:tcPr>
            <w:tcW w:w="1031" w:type="dxa"/>
            <w:tcBorders>
              <w:top w:val="nil"/>
              <w:left w:val="nil"/>
              <w:bottom w:val="nil"/>
              <w:right w:val="nil"/>
            </w:tcBorders>
            <w:shd w:val="clear" w:color="auto" w:fill="auto"/>
            <w:noWrap/>
            <w:vAlign w:val="center"/>
          </w:tcPr>
          <w:p w14:paraId="7E3C70C6" w14:textId="21E0C611"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nil"/>
            </w:tcBorders>
            <w:shd w:val="clear" w:color="auto" w:fill="auto"/>
            <w:noWrap/>
            <w:vAlign w:val="center"/>
          </w:tcPr>
          <w:p w14:paraId="6FBF5CCE" w14:textId="605116B3"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single" w:sz="4" w:space="0" w:color="auto"/>
            </w:tcBorders>
            <w:shd w:val="clear" w:color="auto" w:fill="auto"/>
            <w:noWrap/>
            <w:vAlign w:val="center"/>
          </w:tcPr>
          <w:p w14:paraId="1B5834DD" w14:textId="5988632A"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21F0B6AA" w14:textId="7E9FF509"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2A9C49F6" w14:textId="22F3D0DA"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48CE30AB" w14:textId="57D1B404"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292DE2D8" w14:textId="1A0F4B8A"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3435B" w:rsidRPr="00F3435B" w14:paraId="3539B131" w14:textId="77777777" w:rsidTr="00F3435B">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104916A"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TGM</w:t>
            </w:r>
          </w:p>
        </w:tc>
        <w:tc>
          <w:tcPr>
            <w:tcW w:w="1031" w:type="dxa"/>
            <w:tcBorders>
              <w:top w:val="nil"/>
              <w:left w:val="nil"/>
              <w:bottom w:val="single" w:sz="8" w:space="0" w:color="auto"/>
              <w:right w:val="nil"/>
            </w:tcBorders>
            <w:shd w:val="clear" w:color="auto" w:fill="auto"/>
            <w:noWrap/>
            <w:vAlign w:val="center"/>
          </w:tcPr>
          <w:p w14:paraId="274B3A25" w14:textId="53E5A0CC"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single" w:sz="8" w:space="0" w:color="auto"/>
              <w:right w:val="nil"/>
            </w:tcBorders>
            <w:shd w:val="clear" w:color="auto" w:fill="auto"/>
            <w:noWrap/>
            <w:vAlign w:val="center"/>
          </w:tcPr>
          <w:p w14:paraId="0C025E7C" w14:textId="27A3D9C2"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single" w:sz="8" w:space="0" w:color="auto"/>
              <w:right w:val="single" w:sz="4" w:space="0" w:color="auto"/>
            </w:tcBorders>
            <w:shd w:val="clear" w:color="auto" w:fill="auto"/>
            <w:noWrap/>
            <w:vAlign w:val="center"/>
          </w:tcPr>
          <w:p w14:paraId="51EF6D23" w14:textId="61BCEB83"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single" w:sz="8" w:space="0" w:color="auto"/>
              <w:right w:val="nil"/>
            </w:tcBorders>
            <w:shd w:val="clear" w:color="auto" w:fill="auto"/>
            <w:noWrap/>
            <w:vAlign w:val="center"/>
          </w:tcPr>
          <w:p w14:paraId="693AAEBE" w14:textId="2E5082F6"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single" w:sz="8" w:space="0" w:color="auto"/>
              <w:right w:val="nil"/>
            </w:tcBorders>
            <w:shd w:val="clear" w:color="auto" w:fill="auto"/>
            <w:noWrap/>
            <w:vAlign w:val="center"/>
          </w:tcPr>
          <w:p w14:paraId="0B4E9B13" w14:textId="6F3DBB8A"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single" w:sz="8" w:space="0" w:color="auto"/>
              <w:right w:val="nil"/>
            </w:tcBorders>
            <w:shd w:val="clear" w:color="auto" w:fill="auto"/>
            <w:noWrap/>
            <w:vAlign w:val="center"/>
          </w:tcPr>
          <w:p w14:paraId="619FD887" w14:textId="7CDAC17C"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single" w:sz="8" w:space="0" w:color="auto"/>
              <w:right w:val="single" w:sz="8" w:space="0" w:color="auto"/>
            </w:tcBorders>
            <w:shd w:val="clear" w:color="auto" w:fill="auto"/>
            <w:noWrap/>
            <w:vAlign w:val="center"/>
          </w:tcPr>
          <w:p w14:paraId="4C42AED3" w14:textId="471B4960"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5EEB8470" w14:textId="77777777" w:rsidR="00071A96" w:rsidRPr="00071A96" w:rsidRDefault="00071A96" w:rsidP="00071A96">
      <w:pPr>
        <w:rPr>
          <w:lang w:val="en-CA"/>
        </w:rPr>
      </w:pPr>
    </w:p>
    <w:p w14:paraId="14B5D7CC" w14:textId="4275C79E" w:rsidR="008F0A3F" w:rsidRDefault="008F0A3F" w:rsidP="008F0A3F">
      <w:pPr>
        <w:pStyle w:val="Heading1"/>
        <w:rPr>
          <w:lang w:val="en-CA"/>
        </w:rPr>
      </w:pPr>
      <w:r>
        <w:rPr>
          <w:lang w:val="en-CA"/>
        </w:rPr>
        <w:t>Conclusion</w:t>
      </w:r>
    </w:p>
    <w:p w14:paraId="0948850E" w14:textId="46FF2078" w:rsidR="008F0A3F" w:rsidRPr="008F0A3F" w:rsidRDefault="002C2E6F" w:rsidP="008F0A3F">
      <w:pPr>
        <w:rPr>
          <w:lang w:val="en-CA"/>
        </w:rPr>
      </w:pPr>
      <w:r w:rsidRPr="002C2E6F">
        <w:rPr>
          <w:lang w:val="en-CA"/>
        </w:rPr>
        <w:t>The proposed method enriches the DIMD process by building a list of DIMD information that can be used to predict CU blocks. The DIMD merge list of candidates is built from available DIMD information available in the CU neighborhood. The method provides additional coding gain on top of the ECM-12.0 at a reasonable cost. It is proposed to include this method in the next version of the ECM reference software.</w:t>
      </w:r>
    </w:p>
    <w:p w14:paraId="44CA964C" w14:textId="5975BBE3" w:rsidR="001020C7" w:rsidRDefault="001020C7" w:rsidP="001020C7">
      <w:pPr>
        <w:pStyle w:val="Heading1"/>
        <w:rPr>
          <w:lang w:val="en-CA"/>
        </w:rPr>
      </w:pPr>
      <w:r>
        <w:rPr>
          <w:lang w:val="en-CA"/>
        </w:rPr>
        <w:t>References</w:t>
      </w:r>
    </w:p>
    <w:p w14:paraId="04D8E123" w14:textId="34AC4D0B" w:rsidR="00576B08" w:rsidRDefault="00576B08" w:rsidP="001020C7">
      <w:pPr>
        <w:pStyle w:val="ListParagraph"/>
        <w:numPr>
          <w:ilvl w:val="0"/>
          <w:numId w:val="13"/>
        </w:numPr>
        <w:tabs>
          <w:tab w:val="clear" w:pos="360"/>
        </w:tabs>
        <w:overflowPunct/>
        <w:autoSpaceDE/>
        <w:adjustRightInd/>
        <w:spacing w:before="0"/>
        <w:textAlignment w:val="auto"/>
      </w:pPr>
      <w:bookmarkStart w:id="3" w:name="_Ref155777841"/>
      <w:r>
        <w:t>M. Blestel, P. Andrivon, “</w:t>
      </w:r>
      <w:r w:rsidR="0079439B">
        <w:rPr>
          <w:rFonts w:ascii="Arial" w:hAnsi="Arial" w:cs="Arial"/>
          <w:color w:val="000000"/>
          <w:sz w:val="20"/>
          <w:shd w:val="clear" w:color="auto" w:fill="FFFFFF"/>
        </w:rPr>
        <w:t>AHG12: DIMD Merge List”, JVET-AG0084, January 2024.</w:t>
      </w:r>
    </w:p>
    <w:p w14:paraId="2404944F" w14:textId="6AB34E59" w:rsidR="00C05EBA" w:rsidRDefault="00C05EBA" w:rsidP="001020C7">
      <w:pPr>
        <w:pStyle w:val="ListParagraph"/>
        <w:numPr>
          <w:ilvl w:val="0"/>
          <w:numId w:val="13"/>
        </w:numPr>
        <w:tabs>
          <w:tab w:val="clear" w:pos="360"/>
        </w:tabs>
        <w:overflowPunct/>
        <w:autoSpaceDE/>
        <w:adjustRightInd/>
        <w:spacing w:before="0"/>
        <w:textAlignment w:val="auto"/>
      </w:pPr>
      <w:bookmarkStart w:id="4" w:name="_Ref163564431"/>
      <w:bookmarkStart w:id="5" w:name="_Ref163564333"/>
      <w:r>
        <w:t>K. Naser</w:t>
      </w:r>
      <w:r w:rsidR="00EC7A31">
        <w:t xml:space="preserve"> and al, </w:t>
      </w:r>
      <w:r w:rsidR="00EC7A31" w:rsidRPr="002B7ACA">
        <w:t>“</w:t>
      </w:r>
      <w:r w:rsidR="002B7ACA" w:rsidRPr="002B7ACA">
        <w:rPr>
          <w:szCs w:val="22"/>
          <w:lang w:val="en-CA"/>
        </w:rPr>
        <w:t>EE2-1.4:</w:t>
      </w:r>
      <w:r w:rsidR="002B7ACA" w:rsidRPr="002B7ACA">
        <w:t xml:space="preserve"> </w:t>
      </w:r>
      <w:r w:rsidR="002B7ACA" w:rsidRPr="002B7ACA">
        <w:rPr>
          <w:szCs w:val="22"/>
          <w:lang w:val="en-CA"/>
        </w:rPr>
        <w:t>IntraTMP extension to DIMD”, JVET-AG0146, January 2024.</w:t>
      </w:r>
      <w:bookmarkEnd w:id="4"/>
    </w:p>
    <w:p w14:paraId="2AF4B442" w14:textId="07034898" w:rsidR="001020C7" w:rsidRDefault="001020C7" w:rsidP="001020C7">
      <w:pPr>
        <w:pStyle w:val="ListParagraph"/>
        <w:numPr>
          <w:ilvl w:val="0"/>
          <w:numId w:val="13"/>
        </w:numPr>
        <w:tabs>
          <w:tab w:val="clear" w:pos="360"/>
        </w:tabs>
        <w:overflowPunct/>
        <w:autoSpaceDE/>
        <w:adjustRightInd/>
        <w:spacing w:before="0"/>
        <w:textAlignment w:val="auto"/>
      </w:pPr>
      <w:r>
        <w:lastRenderedPageBreak/>
        <w:t>S. Blasi, I. Zupancic, J. Lainema</w:t>
      </w:r>
      <w:r w:rsidRPr="00E77398">
        <w:t>, “</w:t>
      </w:r>
      <w:r w:rsidRPr="00482F73">
        <w:rPr>
          <w:bCs/>
          <w:szCs w:val="22"/>
          <w:lang w:val="en-CA"/>
        </w:rPr>
        <w:t>AHG12 - Decoder-side Intra Mode Derivation Merge</w:t>
      </w:r>
      <w:r w:rsidRPr="00E77398">
        <w:t>,” JVET-A</w:t>
      </w:r>
      <w:r>
        <w:t>E0071</w:t>
      </w:r>
      <w:r w:rsidRPr="00E77398">
        <w:t xml:space="preserve">, </w:t>
      </w:r>
      <w:r>
        <w:t>July</w:t>
      </w:r>
      <w:r w:rsidRPr="00E77398">
        <w:t xml:space="preserve"> 2023.</w:t>
      </w:r>
      <w:bookmarkEnd w:id="3"/>
      <w:bookmarkEnd w:id="5"/>
    </w:p>
    <w:p w14:paraId="08B408DE" w14:textId="77777777" w:rsidR="001020C7" w:rsidRDefault="001020C7" w:rsidP="001020C7">
      <w:pPr>
        <w:pStyle w:val="ListParagraph"/>
        <w:numPr>
          <w:ilvl w:val="0"/>
          <w:numId w:val="13"/>
        </w:numPr>
        <w:tabs>
          <w:tab w:val="clear" w:pos="360"/>
        </w:tabs>
        <w:overflowPunct/>
        <w:autoSpaceDE/>
        <w:adjustRightInd/>
        <w:spacing w:before="0"/>
        <w:textAlignment w:val="auto"/>
      </w:pPr>
      <w:bookmarkStart w:id="6" w:name="_Ref155777910"/>
      <w:r>
        <w:t>S. Blasi, I. Zupancic, J. Lainema</w:t>
      </w:r>
      <w:r w:rsidRPr="00E77398">
        <w:t>, “</w:t>
      </w:r>
      <w:r w:rsidRPr="006563C3">
        <w:t>EE2-2.1 DIMD merge</w:t>
      </w:r>
      <w:r w:rsidRPr="00E77398">
        <w:t>,” JVET-A</w:t>
      </w:r>
      <w:r>
        <w:t>F0120</w:t>
      </w:r>
      <w:r w:rsidRPr="00E77398">
        <w:t xml:space="preserve">, </w:t>
      </w:r>
      <w:r>
        <w:t>October</w:t>
      </w:r>
      <w:r w:rsidRPr="00E77398">
        <w:t xml:space="preserve"> 2023.</w:t>
      </w:r>
      <w:bookmarkEnd w:id="6"/>
    </w:p>
    <w:p w14:paraId="7DC4EBA9" w14:textId="77777777" w:rsidR="001020C7" w:rsidRDefault="001020C7" w:rsidP="001020C7">
      <w:pPr>
        <w:pStyle w:val="ListParagraph"/>
        <w:numPr>
          <w:ilvl w:val="0"/>
          <w:numId w:val="13"/>
        </w:numPr>
        <w:tabs>
          <w:tab w:val="clear" w:pos="360"/>
        </w:tabs>
        <w:overflowPunct/>
        <w:autoSpaceDE/>
        <w:adjustRightInd/>
        <w:spacing w:before="0"/>
        <w:textAlignment w:val="auto"/>
      </w:pPr>
      <w:bookmarkStart w:id="7" w:name="_Ref155777997"/>
      <w:r>
        <w:t>J. Huo, J. Fan, Z. Zhang, Y. Ma, F. Yang, M. Li</w:t>
      </w:r>
      <w:r w:rsidRPr="00E77398">
        <w:t>, “</w:t>
      </w:r>
      <w:r w:rsidRPr="006563C3">
        <w:t>EE2-related: Non-adjacent spatial candidates for DIMD merge</w:t>
      </w:r>
      <w:r w:rsidRPr="00E77398">
        <w:t>,” JVET-A</w:t>
      </w:r>
      <w:r>
        <w:t>F0106</w:t>
      </w:r>
      <w:r w:rsidRPr="00E77398">
        <w:t xml:space="preserve">, </w:t>
      </w:r>
      <w:r>
        <w:t>October</w:t>
      </w:r>
      <w:r w:rsidRPr="00E77398">
        <w:t xml:space="preserve"> 2023.</w:t>
      </w:r>
      <w:bookmarkEnd w:id="7"/>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2A9B145" w14:textId="77777777" w:rsidR="00C72441" w:rsidRPr="00B12925" w:rsidRDefault="00C72441" w:rsidP="00C72441">
      <w:pPr>
        <w:rPr>
          <w:lang w:val="en-CA"/>
        </w:rPr>
      </w:pPr>
      <w:r>
        <w:rPr>
          <w:b/>
          <w:szCs w:val="22"/>
          <w:lang w:val="en-CA"/>
        </w:rPr>
        <w:t>Ofinno LLC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C72441">
      <w:pPr>
        <w:rPr>
          <w:szCs w:val="22"/>
          <w:lang w:val="en-CA"/>
        </w:rPr>
      </w:pPr>
    </w:p>
    <w:sectPr w:rsidR="007F1F8B" w:rsidRPr="005B217D" w:rsidSect="00545558">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F6C0F" w14:textId="77777777" w:rsidR="00545558" w:rsidRDefault="00545558">
      <w:r>
        <w:separator/>
      </w:r>
    </w:p>
  </w:endnote>
  <w:endnote w:type="continuationSeparator" w:id="0">
    <w:p w14:paraId="57154B29" w14:textId="77777777" w:rsidR="00545558" w:rsidRDefault="00545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15B0CF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143AE">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37336" w14:textId="77777777" w:rsidR="00545558" w:rsidRDefault="00545558">
      <w:r>
        <w:separator/>
      </w:r>
    </w:p>
  </w:footnote>
  <w:footnote w:type="continuationSeparator" w:id="0">
    <w:p w14:paraId="5A525357" w14:textId="77777777" w:rsidR="00545558" w:rsidRDefault="00545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43306"/>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8B0446"/>
    <w:multiLevelType w:val="hybridMultilevel"/>
    <w:tmpl w:val="31E6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6C95E26"/>
    <w:multiLevelType w:val="hybridMultilevel"/>
    <w:tmpl w:val="38F6B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58583B"/>
    <w:multiLevelType w:val="hybridMultilevel"/>
    <w:tmpl w:val="37AC4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88968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4982331">
    <w:abstractNumId w:val="12"/>
  </w:num>
  <w:num w:numId="3" w16cid:durableId="989596713">
    <w:abstractNumId w:val="11"/>
  </w:num>
  <w:num w:numId="4" w16cid:durableId="891892070">
    <w:abstractNumId w:val="8"/>
  </w:num>
  <w:num w:numId="5" w16cid:durableId="786201541">
    <w:abstractNumId w:val="9"/>
  </w:num>
  <w:num w:numId="6" w16cid:durableId="790519595">
    <w:abstractNumId w:val="5"/>
  </w:num>
  <w:num w:numId="7" w16cid:durableId="923537792">
    <w:abstractNumId w:val="7"/>
  </w:num>
  <w:num w:numId="8" w16cid:durableId="1746489604">
    <w:abstractNumId w:val="5"/>
  </w:num>
  <w:num w:numId="9" w16cid:durableId="1596010558">
    <w:abstractNumId w:val="1"/>
  </w:num>
  <w:num w:numId="10" w16cid:durableId="377439393">
    <w:abstractNumId w:val="4"/>
  </w:num>
  <w:num w:numId="11" w16cid:durableId="1542353297">
    <w:abstractNumId w:val="2"/>
  </w:num>
  <w:num w:numId="12" w16cid:durableId="449714622">
    <w:abstractNumId w:val="3"/>
  </w:num>
  <w:num w:numId="13" w16cid:durableId="13013079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65271618">
    <w:abstractNumId w:val="13"/>
  </w:num>
  <w:num w:numId="15" w16cid:durableId="472141281">
    <w:abstractNumId w:val="14"/>
  </w:num>
  <w:num w:numId="16" w16cid:durableId="10234388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2F4"/>
    <w:rsid w:val="00012A7B"/>
    <w:rsid w:val="000143AE"/>
    <w:rsid w:val="000308A3"/>
    <w:rsid w:val="0004543A"/>
    <w:rsid w:val="000458BC"/>
    <w:rsid w:val="00045C41"/>
    <w:rsid w:val="00046C03"/>
    <w:rsid w:val="00065039"/>
    <w:rsid w:val="00071A96"/>
    <w:rsid w:val="0007614F"/>
    <w:rsid w:val="00081398"/>
    <w:rsid w:val="00084393"/>
    <w:rsid w:val="000865E1"/>
    <w:rsid w:val="00092AF4"/>
    <w:rsid w:val="00094479"/>
    <w:rsid w:val="00094EFB"/>
    <w:rsid w:val="000962AC"/>
    <w:rsid w:val="000B0C0F"/>
    <w:rsid w:val="000B1C6B"/>
    <w:rsid w:val="000B4142"/>
    <w:rsid w:val="000B4FF9"/>
    <w:rsid w:val="000C09AC"/>
    <w:rsid w:val="000C228D"/>
    <w:rsid w:val="000C2BAA"/>
    <w:rsid w:val="000C2BCC"/>
    <w:rsid w:val="000C5F4C"/>
    <w:rsid w:val="000E00F3"/>
    <w:rsid w:val="000F158C"/>
    <w:rsid w:val="001020C7"/>
    <w:rsid w:val="00102F3D"/>
    <w:rsid w:val="00124E38"/>
    <w:rsid w:val="0012580B"/>
    <w:rsid w:val="00131F90"/>
    <w:rsid w:val="0013458C"/>
    <w:rsid w:val="0013526E"/>
    <w:rsid w:val="00146152"/>
    <w:rsid w:val="00155526"/>
    <w:rsid w:val="00155FAD"/>
    <w:rsid w:val="00171371"/>
    <w:rsid w:val="00175A24"/>
    <w:rsid w:val="00176E59"/>
    <w:rsid w:val="00187E58"/>
    <w:rsid w:val="00193C94"/>
    <w:rsid w:val="001A297E"/>
    <w:rsid w:val="001A368E"/>
    <w:rsid w:val="001A7329"/>
    <w:rsid w:val="001A792F"/>
    <w:rsid w:val="001B4E28"/>
    <w:rsid w:val="001C1E09"/>
    <w:rsid w:val="001C3525"/>
    <w:rsid w:val="001C3AFB"/>
    <w:rsid w:val="001D07F0"/>
    <w:rsid w:val="001D1BD2"/>
    <w:rsid w:val="001E0248"/>
    <w:rsid w:val="001E02BE"/>
    <w:rsid w:val="001E3B37"/>
    <w:rsid w:val="001F0FFD"/>
    <w:rsid w:val="001F2594"/>
    <w:rsid w:val="001F6A5E"/>
    <w:rsid w:val="002055A6"/>
    <w:rsid w:val="00206460"/>
    <w:rsid w:val="002069B4"/>
    <w:rsid w:val="00215DFC"/>
    <w:rsid w:val="002212DF"/>
    <w:rsid w:val="00222CD4"/>
    <w:rsid w:val="00225016"/>
    <w:rsid w:val="002253CA"/>
    <w:rsid w:val="002264A6"/>
    <w:rsid w:val="00227BA7"/>
    <w:rsid w:val="0023011C"/>
    <w:rsid w:val="00235043"/>
    <w:rsid w:val="002375C1"/>
    <w:rsid w:val="00247E1E"/>
    <w:rsid w:val="002626E2"/>
    <w:rsid w:val="00263398"/>
    <w:rsid w:val="00263B99"/>
    <w:rsid w:val="002647D8"/>
    <w:rsid w:val="00266F06"/>
    <w:rsid w:val="00275BCF"/>
    <w:rsid w:val="00280613"/>
    <w:rsid w:val="002867D2"/>
    <w:rsid w:val="00291E36"/>
    <w:rsid w:val="00291F28"/>
    <w:rsid w:val="00292257"/>
    <w:rsid w:val="00293AF3"/>
    <w:rsid w:val="002A54E0"/>
    <w:rsid w:val="002B1595"/>
    <w:rsid w:val="002B191D"/>
    <w:rsid w:val="002B2E83"/>
    <w:rsid w:val="002B779E"/>
    <w:rsid w:val="002B7ACA"/>
    <w:rsid w:val="002C2E6F"/>
    <w:rsid w:val="002D0AF6"/>
    <w:rsid w:val="002F164D"/>
    <w:rsid w:val="003021BC"/>
    <w:rsid w:val="00306206"/>
    <w:rsid w:val="003115BD"/>
    <w:rsid w:val="00317D85"/>
    <w:rsid w:val="00327C56"/>
    <w:rsid w:val="003315A1"/>
    <w:rsid w:val="00333C70"/>
    <w:rsid w:val="003373EC"/>
    <w:rsid w:val="00342FF4"/>
    <w:rsid w:val="00344E5A"/>
    <w:rsid w:val="00346148"/>
    <w:rsid w:val="0035510C"/>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531F2"/>
    <w:rsid w:val="00453D76"/>
    <w:rsid w:val="00465A1E"/>
    <w:rsid w:val="0049445A"/>
    <w:rsid w:val="00494F58"/>
    <w:rsid w:val="004957D9"/>
    <w:rsid w:val="004A1F5F"/>
    <w:rsid w:val="004A2A63"/>
    <w:rsid w:val="004A2B09"/>
    <w:rsid w:val="004A793F"/>
    <w:rsid w:val="004B210C"/>
    <w:rsid w:val="004B6170"/>
    <w:rsid w:val="004B6382"/>
    <w:rsid w:val="004D405F"/>
    <w:rsid w:val="004E4F4F"/>
    <w:rsid w:val="004E6789"/>
    <w:rsid w:val="004F61E3"/>
    <w:rsid w:val="00502E10"/>
    <w:rsid w:val="0050354E"/>
    <w:rsid w:val="0051015C"/>
    <w:rsid w:val="00516CF1"/>
    <w:rsid w:val="00531AE9"/>
    <w:rsid w:val="00536188"/>
    <w:rsid w:val="00545558"/>
    <w:rsid w:val="00550A66"/>
    <w:rsid w:val="00567EC7"/>
    <w:rsid w:val="00570013"/>
    <w:rsid w:val="005753EC"/>
    <w:rsid w:val="00576B08"/>
    <w:rsid w:val="005801A2"/>
    <w:rsid w:val="005952A5"/>
    <w:rsid w:val="005A33A1"/>
    <w:rsid w:val="005B217D"/>
    <w:rsid w:val="005C385F"/>
    <w:rsid w:val="005C7C26"/>
    <w:rsid w:val="005D3741"/>
    <w:rsid w:val="005E1AC6"/>
    <w:rsid w:val="005E3F2B"/>
    <w:rsid w:val="005F6F1B"/>
    <w:rsid w:val="00615995"/>
    <w:rsid w:val="00616155"/>
    <w:rsid w:val="00624B33"/>
    <w:rsid w:val="0063041A"/>
    <w:rsid w:val="00630AA2"/>
    <w:rsid w:val="00631D8B"/>
    <w:rsid w:val="00646707"/>
    <w:rsid w:val="00655510"/>
    <w:rsid w:val="00657F7E"/>
    <w:rsid w:val="00662E58"/>
    <w:rsid w:val="006637F2"/>
    <w:rsid w:val="006642A5"/>
    <w:rsid w:val="00664DCF"/>
    <w:rsid w:val="006A013C"/>
    <w:rsid w:val="006A0E5C"/>
    <w:rsid w:val="006A48E6"/>
    <w:rsid w:val="006A67C5"/>
    <w:rsid w:val="006C5D39"/>
    <w:rsid w:val="006D6D9B"/>
    <w:rsid w:val="006E2810"/>
    <w:rsid w:val="006E5417"/>
    <w:rsid w:val="006E6D4B"/>
    <w:rsid w:val="006F0794"/>
    <w:rsid w:val="006F2822"/>
    <w:rsid w:val="006F6E01"/>
    <w:rsid w:val="006F7528"/>
    <w:rsid w:val="007023DE"/>
    <w:rsid w:val="00712F60"/>
    <w:rsid w:val="00720E3B"/>
    <w:rsid w:val="00722557"/>
    <w:rsid w:val="00735925"/>
    <w:rsid w:val="0074393F"/>
    <w:rsid w:val="00745BD5"/>
    <w:rsid w:val="00745F6B"/>
    <w:rsid w:val="007473BE"/>
    <w:rsid w:val="0075175B"/>
    <w:rsid w:val="0075585E"/>
    <w:rsid w:val="00755B8C"/>
    <w:rsid w:val="0075717A"/>
    <w:rsid w:val="00757A7A"/>
    <w:rsid w:val="0076172C"/>
    <w:rsid w:val="00770571"/>
    <w:rsid w:val="007768FF"/>
    <w:rsid w:val="007824D3"/>
    <w:rsid w:val="0079439B"/>
    <w:rsid w:val="007946CD"/>
    <w:rsid w:val="00796EE3"/>
    <w:rsid w:val="007A7D29"/>
    <w:rsid w:val="007B4AB8"/>
    <w:rsid w:val="007C081C"/>
    <w:rsid w:val="007D1181"/>
    <w:rsid w:val="007E01A3"/>
    <w:rsid w:val="007E46B2"/>
    <w:rsid w:val="007F1F8B"/>
    <w:rsid w:val="007F6205"/>
    <w:rsid w:val="007F67A1"/>
    <w:rsid w:val="00801A7B"/>
    <w:rsid w:val="00803931"/>
    <w:rsid w:val="00804417"/>
    <w:rsid w:val="00811C05"/>
    <w:rsid w:val="008206C8"/>
    <w:rsid w:val="00836C11"/>
    <w:rsid w:val="008574F1"/>
    <w:rsid w:val="0086387C"/>
    <w:rsid w:val="00874A6C"/>
    <w:rsid w:val="00876C65"/>
    <w:rsid w:val="00882F72"/>
    <w:rsid w:val="00893DC4"/>
    <w:rsid w:val="008A147E"/>
    <w:rsid w:val="008A42F1"/>
    <w:rsid w:val="008A4B4C"/>
    <w:rsid w:val="008B21D3"/>
    <w:rsid w:val="008B64B6"/>
    <w:rsid w:val="008C239F"/>
    <w:rsid w:val="008C2F9E"/>
    <w:rsid w:val="008D59A5"/>
    <w:rsid w:val="008E480C"/>
    <w:rsid w:val="008F0A3F"/>
    <w:rsid w:val="0090689C"/>
    <w:rsid w:val="00907757"/>
    <w:rsid w:val="009212B0"/>
    <w:rsid w:val="00921FA1"/>
    <w:rsid w:val="009234A5"/>
    <w:rsid w:val="00925CE2"/>
    <w:rsid w:val="00933453"/>
    <w:rsid w:val="009336F7"/>
    <w:rsid w:val="00934004"/>
    <w:rsid w:val="0093636C"/>
    <w:rsid w:val="009374A7"/>
    <w:rsid w:val="00937F03"/>
    <w:rsid w:val="0095542C"/>
    <w:rsid w:val="00955F6D"/>
    <w:rsid w:val="00977C16"/>
    <w:rsid w:val="0098551D"/>
    <w:rsid w:val="00985DCB"/>
    <w:rsid w:val="009922CA"/>
    <w:rsid w:val="0099518F"/>
    <w:rsid w:val="009A523D"/>
    <w:rsid w:val="009A7A73"/>
    <w:rsid w:val="009B02A1"/>
    <w:rsid w:val="009B3361"/>
    <w:rsid w:val="009B7F3F"/>
    <w:rsid w:val="009D79DC"/>
    <w:rsid w:val="009D7CE6"/>
    <w:rsid w:val="009E448E"/>
    <w:rsid w:val="009F496B"/>
    <w:rsid w:val="00A01439"/>
    <w:rsid w:val="00A02E61"/>
    <w:rsid w:val="00A05CFF"/>
    <w:rsid w:val="00A13048"/>
    <w:rsid w:val="00A46843"/>
    <w:rsid w:val="00A46FA6"/>
    <w:rsid w:val="00A54FB2"/>
    <w:rsid w:val="00A56B97"/>
    <w:rsid w:val="00A6093D"/>
    <w:rsid w:val="00A703CE"/>
    <w:rsid w:val="00A72017"/>
    <w:rsid w:val="00A767DC"/>
    <w:rsid w:val="00A76A6D"/>
    <w:rsid w:val="00A83253"/>
    <w:rsid w:val="00AA028F"/>
    <w:rsid w:val="00AA6E84"/>
    <w:rsid w:val="00AB1A1C"/>
    <w:rsid w:val="00AB4721"/>
    <w:rsid w:val="00AB7405"/>
    <w:rsid w:val="00AD05A8"/>
    <w:rsid w:val="00AE341B"/>
    <w:rsid w:val="00AF51C5"/>
    <w:rsid w:val="00B01905"/>
    <w:rsid w:val="00B06AFA"/>
    <w:rsid w:val="00B07CA7"/>
    <w:rsid w:val="00B1279A"/>
    <w:rsid w:val="00B3640F"/>
    <w:rsid w:val="00B4194A"/>
    <w:rsid w:val="00B431F4"/>
    <w:rsid w:val="00B437E8"/>
    <w:rsid w:val="00B51F2C"/>
    <w:rsid w:val="00B5222E"/>
    <w:rsid w:val="00B53179"/>
    <w:rsid w:val="00B532EA"/>
    <w:rsid w:val="00B57A23"/>
    <w:rsid w:val="00B600CD"/>
    <w:rsid w:val="00B61C96"/>
    <w:rsid w:val="00B73A2A"/>
    <w:rsid w:val="00B75A51"/>
    <w:rsid w:val="00B827C6"/>
    <w:rsid w:val="00B93459"/>
    <w:rsid w:val="00B94B06"/>
    <w:rsid w:val="00B94C28"/>
    <w:rsid w:val="00BC10BA"/>
    <w:rsid w:val="00BC5AFD"/>
    <w:rsid w:val="00BE298E"/>
    <w:rsid w:val="00C00DDE"/>
    <w:rsid w:val="00C0470D"/>
    <w:rsid w:val="00C04F43"/>
    <w:rsid w:val="00C05271"/>
    <w:rsid w:val="00C05EBA"/>
    <w:rsid w:val="00C0609D"/>
    <w:rsid w:val="00C115AB"/>
    <w:rsid w:val="00C23581"/>
    <w:rsid w:val="00C26CCB"/>
    <w:rsid w:val="00C30249"/>
    <w:rsid w:val="00C35F74"/>
    <w:rsid w:val="00C3723B"/>
    <w:rsid w:val="00C42466"/>
    <w:rsid w:val="00C606C9"/>
    <w:rsid w:val="00C623A7"/>
    <w:rsid w:val="00C630B3"/>
    <w:rsid w:val="00C72441"/>
    <w:rsid w:val="00C75C86"/>
    <w:rsid w:val="00C80288"/>
    <w:rsid w:val="00C836F0"/>
    <w:rsid w:val="00C84003"/>
    <w:rsid w:val="00C90650"/>
    <w:rsid w:val="00C95F6F"/>
    <w:rsid w:val="00C97D78"/>
    <w:rsid w:val="00CA3C80"/>
    <w:rsid w:val="00CC2AAE"/>
    <w:rsid w:val="00CC3EC0"/>
    <w:rsid w:val="00CC5A42"/>
    <w:rsid w:val="00CD0EAB"/>
    <w:rsid w:val="00CE5E02"/>
    <w:rsid w:val="00CE7B23"/>
    <w:rsid w:val="00CF34DB"/>
    <w:rsid w:val="00CF3917"/>
    <w:rsid w:val="00CF558F"/>
    <w:rsid w:val="00D010C0"/>
    <w:rsid w:val="00D06B8B"/>
    <w:rsid w:val="00D073E2"/>
    <w:rsid w:val="00D1511D"/>
    <w:rsid w:val="00D1555A"/>
    <w:rsid w:val="00D446EC"/>
    <w:rsid w:val="00D513ED"/>
    <w:rsid w:val="00D51BF0"/>
    <w:rsid w:val="00D531DB"/>
    <w:rsid w:val="00D55942"/>
    <w:rsid w:val="00D57B4C"/>
    <w:rsid w:val="00D61B3D"/>
    <w:rsid w:val="00D807BF"/>
    <w:rsid w:val="00D82FCC"/>
    <w:rsid w:val="00DA17FC"/>
    <w:rsid w:val="00DA365B"/>
    <w:rsid w:val="00DA7887"/>
    <w:rsid w:val="00DB114B"/>
    <w:rsid w:val="00DB2C26"/>
    <w:rsid w:val="00DB45C3"/>
    <w:rsid w:val="00DB4FEE"/>
    <w:rsid w:val="00DC4DE4"/>
    <w:rsid w:val="00DD02F4"/>
    <w:rsid w:val="00DD6622"/>
    <w:rsid w:val="00DD7A40"/>
    <w:rsid w:val="00DE1C7C"/>
    <w:rsid w:val="00DE384E"/>
    <w:rsid w:val="00DE38E5"/>
    <w:rsid w:val="00DE6B43"/>
    <w:rsid w:val="00E041C6"/>
    <w:rsid w:val="00E11923"/>
    <w:rsid w:val="00E207D8"/>
    <w:rsid w:val="00E22FC4"/>
    <w:rsid w:val="00E262D4"/>
    <w:rsid w:val="00E335B1"/>
    <w:rsid w:val="00E36250"/>
    <w:rsid w:val="00E36841"/>
    <w:rsid w:val="00E41639"/>
    <w:rsid w:val="00E47F2D"/>
    <w:rsid w:val="00E54511"/>
    <w:rsid w:val="00E60EDC"/>
    <w:rsid w:val="00E61DAC"/>
    <w:rsid w:val="00E6712B"/>
    <w:rsid w:val="00E71567"/>
    <w:rsid w:val="00E72B80"/>
    <w:rsid w:val="00E73F80"/>
    <w:rsid w:val="00E75FE3"/>
    <w:rsid w:val="00E86C4C"/>
    <w:rsid w:val="00E907A3"/>
    <w:rsid w:val="00EA5AE0"/>
    <w:rsid w:val="00EB05B1"/>
    <w:rsid w:val="00EB56E1"/>
    <w:rsid w:val="00EB7AB1"/>
    <w:rsid w:val="00EC2572"/>
    <w:rsid w:val="00EC32BD"/>
    <w:rsid w:val="00EC7A31"/>
    <w:rsid w:val="00EC7E74"/>
    <w:rsid w:val="00ED2FBB"/>
    <w:rsid w:val="00ED536F"/>
    <w:rsid w:val="00ED6A6C"/>
    <w:rsid w:val="00EE7CD8"/>
    <w:rsid w:val="00EF0DE5"/>
    <w:rsid w:val="00EF37F6"/>
    <w:rsid w:val="00EF48CC"/>
    <w:rsid w:val="00EF7819"/>
    <w:rsid w:val="00F00801"/>
    <w:rsid w:val="00F15979"/>
    <w:rsid w:val="00F2488D"/>
    <w:rsid w:val="00F2574A"/>
    <w:rsid w:val="00F3435B"/>
    <w:rsid w:val="00F37F0E"/>
    <w:rsid w:val="00F43DCA"/>
    <w:rsid w:val="00F601A0"/>
    <w:rsid w:val="00F60C89"/>
    <w:rsid w:val="00F712E9"/>
    <w:rsid w:val="00F73032"/>
    <w:rsid w:val="00F848FC"/>
    <w:rsid w:val="00F906F6"/>
    <w:rsid w:val="00F90945"/>
    <w:rsid w:val="00F9282A"/>
    <w:rsid w:val="00F96BAD"/>
    <w:rsid w:val="00FA139D"/>
    <w:rsid w:val="00FA60F5"/>
    <w:rsid w:val="00FB0E84"/>
    <w:rsid w:val="00FC2405"/>
    <w:rsid w:val="00FD01C2"/>
    <w:rsid w:val="00FE338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1020C7"/>
    <w:pPr>
      <w:ind w:left="720"/>
      <w:contextualSpacing/>
    </w:pPr>
  </w:style>
  <w:style w:type="character" w:customStyle="1" w:styleId="ListParagraphChar">
    <w:name w:val="List Paragraph Char"/>
    <w:link w:val="ListParagraph"/>
    <w:uiPriority w:val="34"/>
    <w:qFormat/>
    <w:rsid w:val="001020C7"/>
    <w:rPr>
      <w:sz w:val="22"/>
    </w:rPr>
  </w:style>
  <w:style w:type="paragraph" w:styleId="Caption">
    <w:name w:val="caption"/>
    <w:basedOn w:val="Normal"/>
    <w:next w:val="Normal"/>
    <w:unhideWhenUsed/>
    <w:qFormat/>
    <w:rsid w:val="00B06AFA"/>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9138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543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andrivon@ofinno.com" TargetMode="External"/><Relationship Id="rId4" Type="http://schemas.openxmlformats.org/officeDocument/2006/relationships/webSettings" Target="webSettings.xml"/><Relationship Id="rId9" Type="http://schemas.openxmlformats.org/officeDocument/2006/relationships/hyperlink" Target="mailto:mblestel@ofinno.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376</TotalTime>
  <Pages>4</Pages>
  <Words>945</Words>
  <Characters>5555</Characters>
  <Application>Microsoft Office Word</Application>
  <DocSecurity>0</DocSecurity>
  <Lines>46</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Médéric Blestel</cp:lastModifiedBy>
  <cp:revision>114</cp:revision>
  <cp:lastPrinted>1900-01-01T08:00:00Z</cp:lastPrinted>
  <dcterms:created xsi:type="dcterms:W3CDTF">2023-11-23T15:31:00Z</dcterms:created>
  <dcterms:modified xsi:type="dcterms:W3CDTF">2024-04-10T15:22:00Z</dcterms:modified>
</cp:coreProperties>
</file>