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52F1222C" w:rsidR="008A4B4C" w:rsidRPr="00275C93" w:rsidRDefault="00E61DAC" w:rsidP="00536188">
            <w:pPr>
              <w:tabs>
                <w:tab w:val="left" w:pos="7200"/>
              </w:tabs>
              <w:rPr>
                <w:u w:val="single"/>
              </w:rPr>
            </w:pPr>
            <w:r w:rsidRPr="00275C93">
              <w:t>Document</w:t>
            </w:r>
            <w:r w:rsidR="006C5D39" w:rsidRPr="00275C93">
              <w:t xml:space="preserve">: </w:t>
            </w:r>
            <w:r w:rsidR="00BD3F0F" w:rsidRPr="007D79F6">
              <w:t>JVET-AF0</w:t>
            </w:r>
            <w:r w:rsidR="007D79F6" w:rsidRPr="007D79F6">
              <w:t>275</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16816120" w:rsidR="00E61DAC" w:rsidRPr="00275C93" w:rsidRDefault="003E7E48" w:rsidP="009D7CE6">
            <w:pPr>
              <w:spacing w:before="60" w:after="60"/>
              <w:rPr>
                <w:b/>
                <w:szCs w:val="22"/>
              </w:rPr>
            </w:pPr>
            <w:r>
              <w:rPr>
                <w:b/>
                <w:szCs w:val="22"/>
              </w:rPr>
              <w:t>AHG12</w:t>
            </w:r>
            <w:r w:rsidR="001157C2" w:rsidRPr="00275C93">
              <w:rPr>
                <w:b/>
                <w:szCs w:val="22"/>
              </w:rPr>
              <w:t xml:space="preserve">: </w:t>
            </w:r>
            <w:r w:rsidR="0085369D">
              <w:rPr>
                <w:b/>
                <w:szCs w:val="22"/>
              </w:rPr>
              <w:t>I</w:t>
            </w:r>
            <w:r w:rsidR="00150F19">
              <w:rPr>
                <w:b/>
                <w:szCs w:val="22"/>
              </w:rPr>
              <w:t xml:space="preserve">ntra </w:t>
            </w:r>
            <w:r w:rsidR="0085369D">
              <w:rPr>
                <w:b/>
                <w:szCs w:val="22"/>
              </w:rPr>
              <w:t xml:space="preserve">TMP </w:t>
            </w:r>
            <w:r w:rsidR="00023D63">
              <w:rPr>
                <w:b/>
                <w:szCs w:val="22"/>
              </w:rPr>
              <w:t>extension to DIMD, LIC and S</w:t>
            </w:r>
            <w:r w:rsidR="004A5395">
              <w:rPr>
                <w:b/>
                <w:szCs w:val="22"/>
              </w:rPr>
              <w:t>GPM</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645DEA"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3DF0AEC1" w:rsidR="00E61DAC" w:rsidRPr="00DF47E4" w:rsidRDefault="00645DEA" w:rsidP="004806DC">
            <w:pPr>
              <w:spacing w:before="60" w:after="60"/>
              <w:rPr>
                <w:lang w:val="fr-FR"/>
              </w:rPr>
            </w:pPr>
            <w:r w:rsidRPr="00645DEA">
              <w:rPr>
                <w:lang w:val="fr-FR"/>
              </w:rPr>
              <w:t xml:space="preserve">F. </w:t>
            </w:r>
            <w:r>
              <w:rPr>
                <w:lang w:val="fr-FR"/>
              </w:rPr>
              <w:t xml:space="preserve">Le Léannec, </w:t>
            </w:r>
            <w:r w:rsidR="004806DC" w:rsidRPr="006A5692">
              <w:rPr>
                <w:lang w:val="fr-FR"/>
              </w:rPr>
              <w:t>K</w:t>
            </w:r>
            <w:r>
              <w:rPr>
                <w:lang w:val="fr-FR"/>
              </w:rPr>
              <w:t>.</w:t>
            </w:r>
            <w:r w:rsidR="004806DC" w:rsidRPr="006A5692">
              <w:rPr>
                <w:lang w:val="fr-FR"/>
              </w:rPr>
              <w:t xml:space="preserve"> Naser,</w:t>
            </w:r>
            <w:r w:rsidR="00DF47E4">
              <w:rPr>
                <w:lang w:val="fr-FR"/>
              </w:rPr>
              <w:t xml:space="preserve"> </w:t>
            </w:r>
            <w:r>
              <w:rPr>
                <w:lang w:val="fr-FR"/>
              </w:rPr>
              <w:t>G. Bihari Rath, T. Dumas, P. Bordes, Y. Chen</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A66B72" w14:textId="77777777" w:rsidR="00F360A5" w:rsidRDefault="00F360A5" w:rsidP="00F360A5">
            <w:pPr>
              <w:spacing w:before="60" w:after="60"/>
              <w:rPr>
                <w:rStyle w:val="Hyperlink"/>
              </w:rPr>
            </w:pPr>
            <w:hyperlink r:id="rId13" w:history="1">
              <w:r w:rsidRPr="00FC59E9">
                <w:rPr>
                  <w:rStyle w:val="Hyperlink"/>
                </w:rPr>
                <w:t>fabrice.leannec@interdigital.com</w:t>
              </w:r>
            </w:hyperlink>
            <w:r w:rsidRPr="00275C93">
              <w:rPr>
                <w:rStyle w:val="Hyperlink"/>
              </w:rPr>
              <w:t>,</w:t>
            </w:r>
          </w:p>
          <w:p w14:paraId="313C0D5D" w14:textId="77777777" w:rsidR="00E57239" w:rsidRDefault="00000000" w:rsidP="00E57239">
            <w:pPr>
              <w:spacing w:before="60" w:after="60"/>
              <w:rPr>
                <w:rStyle w:val="Hyperlink"/>
              </w:rPr>
            </w:pPr>
            <w:hyperlink r:id="rId14" w:history="1">
              <w:r w:rsidR="00E57239" w:rsidRPr="00275C93">
                <w:rPr>
                  <w:rStyle w:val="Hyperlink"/>
                </w:rPr>
                <w:t>karam.naser@interdigital.com</w:t>
              </w:r>
            </w:hyperlink>
            <w:r w:rsidR="00E57239" w:rsidRPr="00275C93">
              <w:rPr>
                <w:rStyle w:val="Hyperlink"/>
              </w:rPr>
              <w:t>,</w:t>
            </w:r>
          </w:p>
          <w:p w14:paraId="285E9393" w14:textId="01F5FCBD" w:rsidR="00645DEA" w:rsidRPr="00F360A5" w:rsidRDefault="00645DEA" w:rsidP="00E57239">
            <w:pPr>
              <w:spacing w:before="60" w:after="60"/>
              <w:rPr>
                <w:rStyle w:val="Hyperlink"/>
              </w:rPr>
            </w:pPr>
          </w:p>
          <w:p w14:paraId="32C2ABFD" w14:textId="1A993BD0" w:rsidR="00E61DAC" w:rsidRPr="00645DEA" w:rsidRDefault="00E61DAC" w:rsidP="006A5692">
            <w:pPr>
              <w:spacing w:before="60" w:after="60"/>
              <w:rPr>
                <w:szCs w:val="22"/>
                <w:lang w:val="fr-FR"/>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Default="00275BCF" w:rsidP="009234A5">
      <w:pPr>
        <w:pStyle w:val="Heading1"/>
        <w:numPr>
          <w:ilvl w:val="0"/>
          <w:numId w:val="0"/>
        </w:numPr>
        <w:ind w:left="432" w:hanging="432"/>
      </w:pPr>
      <w:r w:rsidRPr="00275C93">
        <w:t>Abstract</w:t>
      </w:r>
    </w:p>
    <w:p w14:paraId="6E9D6E26" w14:textId="298CFD5F" w:rsidR="00273CC6" w:rsidRDefault="00273CC6" w:rsidP="00273CC6">
      <w:r w:rsidRPr="00273CC6">
        <w:t>This contribution proposes 3 extensions to th</w:t>
      </w:r>
      <w:r>
        <w:t xml:space="preserve">e intra TMP prediction mode in ECM. </w:t>
      </w:r>
    </w:p>
    <w:p w14:paraId="42110BA2" w14:textId="29049908" w:rsidR="00273CC6" w:rsidRDefault="00273CC6" w:rsidP="00273CC6">
      <w:r w:rsidRPr="00273CC6">
        <w:t>First extension concerns DIMD</w:t>
      </w:r>
      <w:r>
        <w:t>. It is proposed to adaptively select between planar or block-vector based prediction obtained from IntraTMP or IBC mode of neighboring block for the blending with an angular intra prediction.</w:t>
      </w:r>
    </w:p>
    <w:p w14:paraId="421EF647" w14:textId="2C9406D1" w:rsidR="00273CC6" w:rsidRPr="00273CC6" w:rsidRDefault="00273CC6" w:rsidP="00273CC6">
      <w:r>
        <w:t>Second extension consists in allowing Local Illumination compensation in blocks coded in IntraTMP mode. LIC is already allowed for IBC block. Thus</w:t>
      </w:r>
      <w:r w:rsidR="00CC7797">
        <w:t>,</w:t>
      </w:r>
      <w:r>
        <w:t xml:space="preserve"> </w:t>
      </w:r>
      <w:r w:rsidR="007B1EDE">
        <w:t>extending</w:t>
      </w:r>
      <w:r>
        <w:t xml:space="preserve"> </w:t>
      </w:r>
      <w:r w:rsidR="00194C7C">
        <w:t xml:space="preserve">it to </w:t>
      </w:r>
      <w:r>
        <w:t>IntraTMP harmonizes In</w:t>
      </w:r>
      <w:r w:rsidR="00686E4D">
        <w:t>t</w:t>
      </w:r>
      <w:r>
        <w:t>raTMP and IBC with regards to LIC usage.</w:t>
      </w:r>
    </w:p>
    <w:p w14:paraId="7B3BD46A" w14:textId="0B400B5D" w:rsidR="00273CC6" w:rsidRPr="00273CC6" w:rsidRDefault="00273CC6" w:rsidP="00273CC6">
      <w:r>
        <w:t>Last, block-vector based prediction obtained from IntraTMP or IBC modes of the neighboring blocks are included in the candidate list of SGPM, as proposed in contribution JVET-AF0226.</w:t>
      </w:r>
    </w:p>
    <w:p w14:paraId="449439F4" w14:textId="77777777" w:rsidR="00273CC6" w:rsidRDefault="00273CC6" w:rsidP="006A5692"/>
    <w:p w14:paraId="33259079" w14:textId="6E782C0C" w:rsidR="001D22E7" w:rsidRDefault="00683168" w:rsidP="006A5692">
      <w:r>
        <w:t xml:space="preserve">The </w:t>
      </w:r>
      <w:r w:rsidR="00E841D9">
        <w:t xml:space="preserve">following </w:t>
      </w:r>
      <w:r>
        <w:t>results are obtained</w:t>
      </w:r>
      <w:r w:rsidR="00E841D9">
        <w:t xml:space="preserve"> for AI and RA configurations</w:t>
      </w:r>
      <w:r w:rsidR="00CC7797">
        <w:t>.</w:t>
      </w:r>
    </w:p>
    <w:p w14:paraId="7527FA91" w14:textId="592003C3" w:rsidR="006A5692" w:rsidRPr="008302CF" w:rsidRDefault="008302CF" w:rsidP="008302CF">
      <w:pPr>
        <w:rPr>
          <w:lang w:val="es-ES"/>
        </w:rPr>
      </w:pPr>
      <w:r w:rsidRPr="00645DEA">
        <w:tab/>
      </w:r>
      <w:r w:rsidR="006226F8" w:rsidRPr="00F60010">
        <w:rPr>
          <w:lang w:val="es-ES"/>
        </w:rPr>
        <w:t>AI:</w:t>
      </w:r>
      <w:r w:rsidR="00103BDE" w:rsidRPr="00F60010">
        <w:rPr>
          <w:lang w:val="es-ES"/>
        </w:rPr>
        <w:t xml:space="preserve"> </w:t>
      </w:r>
      <w:r w:rsidR="006226F8">
        <w:rPr>
          <w:lang w:val="es-ES"/>
        </w:rPr>
        <w:t xml:space="preserve">  </w:t>
      </w:r>
      <w:r w:rsidR="00A93A08" w:rsidRPr="00F60010">
        <w:rPr>
          <w:lang w:val="es-ES"/>
        </w:rPr>
        <w:t>-0,06%</w:t>
      </w:r>
      <w:r w:rsidRPr="00F60010">
        <w:rPr>
          <w:lang w:val="es-ES"/>
        </w:rPr>
        <w:t xml:space="preserve"> (Y</w:t>
      </w:r>
      <w:proofErr w:type="gramStart"/>
      <w:r w:rsidRPr="00F60010">
        <w:rPr>
          <w:lang w:val="es-ES"/>
        </w:rPr>
        <w:t xml:space="preserve">) </w:t>
      </w:r>
      <w:r w:rsidR="00A93A08" w:rsidRPr="00F60010">
        <w:rPr>
          <w:lang w:val="es-ES"/>
        </w:rPr>
        <w:t xml:space="preserve"> -</w:t>
      </w:r>
      <w:proofErr w:type="gramEnd"/>
      <w:r w:rsidR="00A93A08" w:rsidRPr="00F60010">
        <w:rPr>
          <w:lang w:val="es-ES"/>
        </w:rPr>
        <w:t>0,03%</w:t>
      </w:r>
      <w:r w:rsidRPr="00F60010">
        <w:rPr>
          <w:lang w:val="es-ES"/>
        </w:rPr>
        <w:t xml:space="preserve"> (U) </w:t>
      </w:r>
      <w:r w:rsidR="00A93A08" w:rsidRPr="00F60010">
        <w:rPr>
          <w:lang w:val="es-ES"/>
        </w:rPr>
        <w:t>-0,05%</w:t>
      </w:r>
      <w:r w:rsidRPr="00F60010">
        <w:rPr>
          <w:lang w:val="es-ES"/>
        </w:rPr>
        <w:t xml:space="preserve"> (V)  </w:t>
      </w:r>
      <w:r w:rsidR="00A93A08" w:rsidRPr="00F60010">
        <w:rPr>
          <w:lang w:val="es-ES"/>
        </w:rPr>
        <w:tab/>
        <w:t>101,01%</w:t>
      </w:r>
      <w:r w:rsidRPr="00F60010">
        <w:rPr>
          <w:lang w:val="es-ES"/>
        </w:rPr>
        <w:t xml:space="preserve"> (</w:t>
      </w:r>
      <w:proofErr w:type="spellStart"/>
      <w:r w:rsidRPr="00F60010">
        <w:rPr>
          <w:lang w:val="es-ES"/>
        </w:rPr>
        <w:t>EncT</w:t>
      </w:r>
      <w:proofErr w:type="spellEnd"/>
      <w:r w:rsidRPr="00F60010">
        <w:rPr>
          <w:lang w:val="es-ES"/>
        </w:rPr>
        <w:t>)</w:t>
      </w:r>
      <w:r w:rsidR="00A93A08" w:rsidRPr="00F60010">
        <w:rPr>
          <w:lang w:val="es-ES"/>
        </w:rPr>
        <w:tab/>
        <w:t>100.06%</w:t>
      </w:r>
      <w:r w:rsidRPr="00F60010">
        <w:rPr>
          <w:lang w:val="es-ES"/>
        </w:rPr>
        <w:t xml:space="preserve"> (</w:t>
      </w:r>
      <w:proofErr w:type="spellStart"/>
      <w:r w:rsidRPr="00F60010">
        <w:rPr>
          <w:lang w:val="es-ES"/>
        </w:rPr>
        <w:t>DecT</w:t>
      </w:r>
      <w:proofErr w:type="spellEnd"/>
      <w:r w:rsidRPr="00F60010">
        <w:rPr>
          <w:lang w:val="es-ES"/>
        </w:rPr>
        <w:t>)</w:t>
      </w:r>
    </w:p>
    <w:p w14:paraId="2178FB92" w14:textId="55EC91CC" w:rsidR="006A5692" w:rsidRDefault="008302CF" w:rsidP="006A5692">
      <w:r w:rsidRPr="00645DEA">
        <w:rPr>
          <w:lang w:val="es-ES"/>
        </w:rPr>
        <w:tab/>
      </w:r>
      <w:r w:rsidR="006A5692">
        <w:t>RA:</w:t>
      </w:r>
    </w:p>
    <w:p w14:paraId="50E3075F" w14:textId="246BA1A4" w:rsidR="00F9192C" w:rsidRDefault="00F9192C" w:rsidP="00F9192C">
      <w:pPr>
        <w:rPr>
          <w:szCs w:val="22"/>
          <w:lang w:val="en-CA" w:eastAsia="zh-CN"/>
        </w:rPr>
      </w:pPr>
      <w:r>
        <w:rPr>
          <w:szCs w:val="22"/>
          <w:lang w:val="en-CA" w:eastAsia="zh-CN"/>
        </w:rPr>
        <w:t xml:space="preserve">For screen contents in </w:t>
      </w:r>
      <w:r w:rsidR="007E2456">
        <w:rPr>
          <w:szCs w:val="22"/>
          <w:lang w:val="en-CA" w:eastAsia="zh-CN"/>
        </w:rPr>
        <w:t>AI</w:t>
      </w:r>
      <w:r>
        <w:rPr>
          <w:szCs w:val="22"/>
          <w:lang w:val="en-CA" w:eastAsia="zh-CN"/>
        </w:rPr>
        <w:t xml:space="preserve"> configuration:</w:t>
      </w:r>
    </w:p>
    <w:p w14:paraId="740A199C" w14:textId="0D6A87A2" w:rsidR="004B4A19" w:rsidRPr="004B4A19" w:rsidRDefault="004B4A19" w:rsidP="004B4A19">
      <w:pPr>
        <w:rPr>
          <w:szCs w:val="22"/>
          <w:lang w:val="en-CA" w:eastAsia="zh-CN"/>
        </w:rPr>
      </w:pPr>
      <w:r>
        <w:rPr>
          <w:szCs w:val="22"/>
          <w:lang w:val="en-CA" w:eastAsia="zh-CN"/>
        </w:rPr>
        <w:tab/>
      </w:r>
      <w:r w:rsidRPr="004B4A19">
        <w:rPr>
          <w:szCs w:val="22"/>
          <w:lang w:val="en-CA" w:eastAsia="zh-CN"/>
        </w:rPr>
        <w:t>Class F</w:t>
      </w:r>
      <w:r w:rsidR="007E2456">
        <w:rPr>
          <w:szCs w:val="22"/>
          <w:lang w:val="en-CA" w:eastAsia="zh-CN"/>
        </w:rPr>
        <w:t>:</w:t>
      </w:r>
      <w:r>
        <w:rPr>
          <w:szCs w:val="22"/>
          <w:lang w:val="en-CA" w:eastAsia="zh-CN"/>
        </w:rPr>
        <w:t xml:space="preserve">    </w:t>
      </w:r>
      <w:r w:rsidRPr="004B4A19">
        <w:rPr>
          <w:szCs w:val="22"/>
          <w:lang w:val="en-CA" w:eastAsia="zh-CN"/>
        </w:rPr>
        <w:tab/>
      </w:r>
      <w:r>
        <w:rPr>
          <w:szCs w:val="22"/>
          <w:lang w:val="en-CA" w:eastAsia="zh-CN"/>
        </w:rPr>
        <w:t xml:space="preserve">      </w:t>
      </w:r>
      <w:r w:rsidRPr="004B4A19">
        <w:rPr>
          <w:szCs w:val="22"/>
          <w:lang w:val="en-CA" w:eastAsia="zh-CN"/>
        </w:rPr>
        <w:t>-0,29%</w:t>
      </w:r>
      <w:r w:rsidRPr="004B4A19">
        <w:rPr>
          <w:szCs w:val="22"/>
          <w:lang w:val="en-CA" w:eastAsia="zh-CN"/>
        </w:rPr>
        <w:tab/>
        <w:t>-0,21%</w:t>
      </w:r>
      <w:r w:rsidRPr="004B4A19">
        <w:rPr>
          <w:szCs w:val="22"/>
          <w:lang w:val="en-CA" w:eastAsia="zh-CN"/>
        </w:rPr>
        <w:tab/>
        <w:t>-0,12%</w:t>
      </w:r>
      <w:r w:rsidRPr="004B4A19">
        <w:rPr>
          <w:szCs w:val="22"/>
          <w:lang w:val="en-CA" w:eastAsia="zh-CN"/>
        </w:rPr>
        <w:tab/>
      </w:r>
      <w:r>
        <w:rPr>
          <w:szCs w:val="22"/>
          <w:lang w:val="en-CA" w:eastAsia="zh-CN"/>
        </w:rPr>
        <w:tab/>
      </w:r>
      <w:r w:rsidR="007D79F6">
        <w:rPr>
          <w:szCs w:val="22"/>
          <w:lang w:val="en-CA" w:eastAsia="zh-CN"/>
        </w:rPr>
        <w:t>100.81</w:t>
      </w:r>
      <w:r w:rsidRPr="004B4A19">
        <w:rPr>
          <w:szCs w:val="22"/>
          <w:lang w:val="en-CA" w:eastAsia="zh-CN"/>
        </w:rPr>
        <w:t>%</w:t>
      </w:r>
      <w:r>
        <w:rPr>
          <w:szCs w:val="22"/>
          <w:lang w:val="en-CA" w:eastAsia="zh-CN"/>
        </w:rPr>
        <w:t xml:space="preserve"> (</w:t>
      </w:r>
      <w:proofErr w:type="spellStart"/>
      <w:r>
        <w:rPr>
          <w:szCs w:val="22"/>
          <w:lang w:val="en-CA" w:eastAsia="zh-CN"/>
        </w:rPr>
        <w:t>EncT</w:t>
      </w:r>
      <w:proofErr w:type="spellEnd"/>
      <w:r>
        <w:rPr>
          <w:szCs w:val="22"/>
          <w:lang w:val="en-CA" w:eastAsia="zh-CN"/>
        </w:rPr>
        <w:t>)</w:t>
      </w:r>
      <w:r w:rsidRPr="004B4A19">
        <w:rPr>
          <w:szCs w:val="22"/>
          <w:lang w:val="en-CA" w:eastAsia="zh-CN"/>
        </w:rPr>
        <w:tab/>
        <w:t>100,7%</w:t>
      </w:r>
      <w:r>
        <w:rPr>
          <w:szCs w:val="22"/>
          <w:lang w:val="en-CA" w:eastAsia="zh-CN"/>
        </w:rPr>
        <w:t xml:space="preserve"> (</w:t>
      </w:r>
      <w:proofErr w:type="spellStart"/>
      <w:r>
        <w:rPr>
          <w:szCs w:val="22"/>
          <w:lang w:val="en-CA" w:eastAsia="zh-CN"/>
        </w:rPr>
        <w:t>DecT</w:t>
      </w:r>
      <w:proofErr w:type="spellEnd"/>
      <w:r>
        <w:rPr>
          <w:szCs w:val="22"/>
          <w:lang w:val="en-CA" w:eastAsia="zh-CN"/>
        </w:rPr>
        <w:t>)</w:t>
      </w:r>
    </w:p>
    <w:p w14:paraId="20147E53" w14:textId="738AE76A" w:rsidR="004B4A19" w:rsidRDefault="004B4A19" w:rsidP="004B4A19">
      <w:pPr>
        <w:rPr>
          <w:szCs w:val="22"/>
          <w:lang w:val="en-CA" w:eastAsia="zh-CN"/>
        </w:rPr>
      </w:pPr>
      <w:r>
        <w:rPr>
          <w:szCs w:val="22"/>
          <w:lang w:val="en-CA" w:eastAsia="zh-CN"/>
        </w:rPr>
        <w:tab/>
      </w:r>
      <w:r w:rsidRPr="004B4A19">
        <w:rPr>
          <w:szCs w:val="22"/>
          <w:lang w:val="en-CA" w:eastAsia="zh-CN"/>
        </w:rPr>
        <w:t>Class TGM</w:t>
      </w:r>
      <w:r w:rsidR="007E2456">
        <w:rPr>
          <w:szCs w:val="22"/>
          <w:lang w:val="en-CA" w:eastAsia="zh-CN"/>
        </w:rPr>
        <w:t>:</w:t>
      </w:r>
      <w:r>
        <w:rPr>
          <w:szCs w:val="22"/>
          <w:lang w:val="en-CA" w:eastAsia="zh-CN"/>
        </w:rPr>
        <w:t xml:space="preserve">  </w:t>
      </w:r>
      <w:r w:rsidRPr="004B4A19">
        <w:rPr>
          <w:szCs w:val="22"/>
          <w:lang w:val="en-CA" w:eastAsia="zh-CN"/>
        </w:rPr>
        <w:tab/>
        <w:t>-0,43%</w:t>
      </w:r>
      <w:r w:rsidRPr="004B4A19">
        <w:rPr>
          <w:szCs w:val="22"/>
          <w:lang w:val="en-CA" w:eastAsia="zh-CN"/>
        </w:rPr>
        <w:tab/>
        <w:t>-0,39%</w:t>
      </w:r>
      <w:r w:rsidRPr="004B4A19">
        <w:rPr>
          <w:szCs w:val="22"/>
          <w:lang w:val="en-CA" w:eastAsia="zh-CN"/>
        </w:rPr>
        <w:tab/>
        <w:t>-0,44%</w:t>
      </w:r>
      <w:r w:rsidRPr="004B4A19">
        <w:rPr>
          <w:szCs w:val="22"/>
          <w:lang w:val="en-CA" w:eastAsia="zh-CN"/>
        </w:rPr>
        <w:tab/>
      </w:r>
      <w:r>
        <w:rPr>
          <w:szCs w:val="22"/>
          <w:lang w:val="en-CA" w:eastAsia="zh-CN"/>
        </w:rPr>
        <w:tab/>
      </w:r>
      <w:r w:rsidR="007D79F6">
        <w:rPr>
          <w:szCs w:val="22"/>
          <w:lang w:val="en-CA" w:eastAsia="zh-CN"/>
        </w:rPr>
        <w:t>100.</w:t>
      </w:r>
      <w:r w:rsidRPr="004B4A19">
        <w:rPr>
          <w:szCs w:val="22"/>
          <w:lang w:val="en-CA" w:eastAsia="zh-CN"/>
        </w:rPr>
        <w:t>93%</w:t>
      </w:r>
      <w:r>
        <w:rPr>
          <w:szCs w:val="22"/>
          <w:lang w:val="en-CA" w:eastAsia="zh-CN"/>
        </w:rPr>
        <w:t xml:space="preserve"> (</w:t>
      </w:r>
      <w:proofErr w:type="spellStart"/>
      <w:r>
        <w:rPr>
          <w:szCs w:val="22"/>
          <w:lang w:val="en-CA" w:eastAsia="zh-CN"/>
        </w:rPr>
        <w:t>EncT</w:t>
      </w:r>
      <w:proofErr w:type="spellEnd"/>
      <w:r>
        <w:rPr>
          <w:szCs w:val="22"/>
          <w:lang w:val="en-CA" w:eastAsia="zh-CN"/>
        </w:rPr>
        <w:t>)</w:t>
      </w:r>
      <w:r w:rsidRPr="004B4A19">
        <w:rPr>
          <w:szCs w:val="22"/>
          <w:lang w:val="en-CA" w:eastAsia="zh-CN"/>
        </w:rPr>
        <w:tab/>
      </w:r>
      <w:r w:rsidR="00642D0E">
        <w:rPr>
          <w:szCs w:val="22"/>
          <w:lang w:val="en-CA" w:eastAsia="zh-CN"/>
        </w:rPr>
        <w:t>99</w:t>
      </w:r>
      <w:r w:rsidRPr="004B4A19">
        <w:rPr>
          <w:szCs w:val="22"/>
          <w:lang w:val="en-CA" w:eastAsia="zh-CN"/>
        </w:rPr>
        <w:t>,</w:t>
      </w:r>
      <w:r w:rsidR="002B2AE2">
        <w:rPr>
          <w:szCs w:val="22"/>
          <w:lang w:val="en-CA" w:eastAsia="zh-CN"/>
        </w:rPr>
        <w:t>2</w:t>
      </w:r>
      <w:r w:rsidR="007D79F6">
        <w:rPr>
          <w:szCs w:val="22"/>
          <w:lang w:val="en-CA" w:eastAsia="zh-CN"/>
        </w:rPr>
        <w:t>8</w:t>
      </w:r>
      <w:r w:rsidRPr="004B4A19">
        <w:rPr>
          <w:szCs w:val="22"/>
          <w:lang w:val="en-CA" w:eastAsia="zh-CN"/>
        </w:rPr>
        <w:t>%</w:t>
      </w:r>
      <w:r>
        <w:rPr>
          <w:szCs w:val="22"/>
          <w:lang w:val="en-CA" w:eastAsia="zh-CN"/>
        </w:rPr>
        <w:t xml:space="preserve"> (</w:t>
      </w:r>
      <w:proofErr w:type="spellStart"/>
      <w:r>
        <w:rPr>
          <w:szCs w:val="22"/>
          <w:lang w:val="en-CA" w:eastAsia="zh-CN"/>
        </w:rPr>
        <w:t>DecT</w:t>
      </w:r>
      <w:proofErr w:type="spellEnd"/>
      <w:r>
        <w:rPr>
          <w:szCs w:val="22"/>
          <w:lang w:val="en-CA" w:eastAsia="zh-CN"/>
        </w:rPr>
        <w:t>)</w:t>
      </w:r>
    </w:p>
    <w:p w14:paraId="1952E6AB" w14:textId="77777777" w:rsidR="00F9192C" w:rsidRDefault="00F9192C" w:rsidP="006A5692"/>
    <w:p w14:paraId="42240DBD" w14:textId="5D806FDA" w:rsidR="006230AE" w:rsidRDefault="00745F6B" w:rsidP="00E841D9">
      <w:pPr>
        <w:pStyle w:val="Heading1"/>
      </w:pPr>
      <w:r w:rsidRPr="00275C93">
        <w:t>Introduction</w:t>
      </w:r>
    </w:p>
    <w:p w14:paraId="4DABCE90" w14:textId="77777777" w:rsidR="00E841D9" w:rsidRDefault="00E841D9" w:rsidP="00E841D9">
      <w:pPr>
        <w:rPr>
          <w:lang w:val="en-CA"/>
        </w:rPr>
      </w:pPr>
    </w:p>
    <w:p w14:paraId="36669259" w14:textId="38F1D1F6" w:rsidR="00E841D9" w:rsidRDefault="00E841D9" w:rsidP="00E841D9">
      <w:pPr>
        <w:rPr>
          <w:lang w:val="en-CA"/>
        </w:rPr>
      </w:pPr>
      <w:r>
        <w:rPr>
          <w:lang w:val="en-CA"/>
        </w:rPr>
        <w:t>In</w:t>
      </w:r>
      <w:r w:rsidRPr="00250117">
        <w:rPr>
          <w:lang w:val="en-CA"/>
        </w:rPr>
        <w:t xml:space="preserve"> DIMD </w:t>
      </w:r>
      <w:r>
        <w:rPr>
          <w:lang w:val="en-CA"/>
        </w:rPr>
        <w:t>mode, up to five</w:t>
      </w:r>
      <w:r w:rsidRPr="00250117">
        <w:rPr>
          <w:lang w:val="en-CA"/>
        </w:rPr>
        <w:t xml:space="preserve"> intra modes are derived from the reconstructed neighbor samples</w:t>
      </w:r>
      <w:r>
        <w:rPr>
          <w:lang w:val="en-CA"/>
        </w:rPr>
        <w:t>.</w:t>
      </w:r>
      <w:r w:rsidRPr="00250117">
        <w:rPr>
          <w:lang w:val="en-CA"/>
        </w:rPr>
        <w:t xml:space="preserve"> </w:t>
      </w:r>
      <w:r>
        <w:rPr>
          <w:lang w:val="en-CA"/>
        </w:rPr>
        <w:t>The final prediction is generated using</w:t>
      </w:r>
      <w:r w:rsidRPr="00250117">
        <w:rPr>
          <w:lang w:val="en-CA"/>
        </w:rPr>
        <w:t xml:space="preserve"> </w:t>
      </w:r>
      <w:r>
        <w:rPr>
          <w:lang w:val="en-CA"/>
        </w:rPr>
        <w:t>five</w:t>
      </w:r>
      <w:r w:rsidRPr="00250117">
        <w:rPr>
          <w:lang w:val="en-CA"/>
        </w:rPr>
        <w:t xml:space="preserve"> predictors </w:t>
      </w:r>
      <w:r>
        <w:rPr>
          <w:lang w:val="en-CA"/>
        </w:rPr>
        <w:t>and</w:t>
      </w:r>
      <w:r w:rsidRPr="00250117">
        <w:rPr>
          <w:lang w:val="en-CA"/>
        </w:rPr>
        <w:t xml:space="preserve"> the planar mode predictor with the weights derived from the </w:t>
      </w:r>
      <w:r>
        <w:rPr>
          <w:lang w:val="en-CA"/>
        </w:rPr>
        <w:t xml:space="preserve">histogram of </w:t>
      </w:r>
      <w:r w:rsidRPr="00250117">
        <w:rPr>
          <w:lang w:val="en-CA"/>
        </w:rPr>
        <w:t>gradients as described in JVET-O0449.</w:t>
      </w:r>
    </w:p>
    <w:p w14:paraId="0A0AF055" w14:textId="77777777" w:rsidR="00E841D9" w:rsidRDefault="00E841D9" w:rsidP="00E841D9">
      <w:pPr>
        <w:rPr>
          <w:lang w:val="en-CA"/>
        </w:rPr>
      </w:pPr>
    </w:p>
    <w:p w14:paraId="0D4D109C" w14:textId="799831F7" w:rsidR="00683168" w:rsidRDefault="00E841D9" w:rsidP="00175AA8">
      <w:pPr>
        <w:rPr>
          <w:lang w:val="en-CA"/>
        </w:rPr>
      </w:pPr>
      <w:r>
        <w:rPr>
          <w:lang w:val="en-CA"/>
        </w:rPr>
        <w:lastRenderedPageBreak/>
        <w:t>In ECM-10.0, it is observed that the block vector</w:t>
      </w:r>
      <w:r w:rsidR="00686E4D">
        <w:rPr>
          <w:lang w:val="en-CA"/>
        </w:rPr>
        <w:t>-</w:t>
      </w:r>
      <w:r>
        <w:rPr>
          <w:lang w:val="en-CA"/>
        </w:rPr>
        <w:t xml:space="preserve">based prediction, obtained from IBC and IntraTMP modes, is highly used in intra-coded CU’s. This type of prediction is </w:t>
      </w:r>
      <w:r w:rsidR="00686E4D">
        <w:rPr>
          <w:lang w:val="en-CA"/>
        </w:rPr>
        <w:t>like</w:t>
      </w:r>
      <w:r>
        <w:rPr>
          <w:lang w:val="en-CA"/>
        </w:rPr>
        <w:t xml:space="preserve"> planar mode, in the sense that it is non-directional one</w:t>
      </w:r>
      <w:r w:rsidR="00175AA8">
        <w:rPr>
          <w:lang w:val="en-CA"/>
        </w:rPr>
        <w:t xml:space="preserve">. </w:t>
      </w:r>
      <w:r w:rsidR="00686E4D">
        <w:rPr>
          <w:lang w:val="en-CA"/>
        </w:rPr>
        <w:t>First aspect of t</w:t>
      </w:r>
      <w:r w:rsidR="00175AA8">
        <w:rPr>
          <w:lang w:val="en-CA"/>
        </w:rPr>
        <w:t>his contribution therefore studies replacing planar mode in DIMD with block-vector based prediction.</w:t>
      </w:r>
    </w:p>
    <w:p w14:paraId="6CC7F59E" w14:textId="77777777" w:rsidR="00175AA8" w:rsidRDefault="00175AA8" w:rsidP="00175AA8"/>
    <w:p w14:paraId="58D0038D" w14:textId="20E404D3" w:rsidR="00686E4D" w:rsidRDefault="00686E4D" w:rsidP="00175AA8">
      <w:r>
        <w:t>Second aspect of this contribution is based on the observation that LIC (Local Illumination Compensation) is supported in combination with IBC prediction mode, while it is not allowed with IntraTMP. On the other hand, convolutional template-based filtering is allowed for both IBC and IntraTMP modes. It is thus proposed to allow LIC with IntraTMP, which aligns IntraTMP and IBC in terms of possible prediction enhancements.</w:t>
      </w:r>
    </w:p>
    <w:p w14:paraId="394658A1" w14:textId="77777777" w:rsidR="00686E4D" w:rsidRDefault="00686E4D" w:rsidP="00175AA8"/>
    <w:p w14:paraId="01A10BAB" w14:textId="33B1A5F6" w:rsidR="00686E4D" w:rsidRDefault="00686E4D" w:rsidP="00175AA8">
      <w:r>
        <w:t xml:space="preserve">Thirdly, </w:t>
      </w:r>
      <w:r w:rsidR="007D6D41">
        <w:t>while IBC-GPM mode is allowed in ECM-10.0, no combination of IntraTMP with a geometric-partition-based prediction is supported in ECM, which makes IntraTMP potentially under-exploited in comparison to IBC mode.</w:t>
      </w:r>
    </w:p>
    <w:p w14:paraId="4A24D28C" w14:textId="77777777" w:rsidR="00194C7C" w:rsidRPr="006230AE" w:rsidRDefault="00194C7C" w:rsidP="00175AA8"/>
    <w:p w14:paraId="43075C76" w14:textId="330978E4" w:rsidR="00E5550A" w:rsidRDefault="00194C7C" w:rsidP="00E5550A">
      <w:pPr>
        <w:pStyle w:val="Heading1"/>
      </w:pPr>
      <w:r>
        <w:t>Detailed p</w:t>
      </w:r>
      <w:r w:rsidR="00E5550A" w:rsidRPr="00275C93">
        <w:t>roposal</w:t>
      </w:r>
    </w:p>
    <w:p w14:paraId="13B1D31A" w14:textId="77777777" w:rsidR="00E5550A" w:rsidRDefault="00E5550A" w:rsidP="00E5550A">
      <w:pPr>
        <w:rPr>
          <w:szCs w:val="22"/>
        </w:rPr>
      </w:pPr>
    </w:p>
    <w:p w14:paraId="32AC8DB2" w14:textId="04AA471A" w:rsidR="00686E4D" w:rsidRDefault="00686E4D" w:rsidP="00E5550A">
      <w:pPr>
        <w:rPr>
          <w:szCs w:val="22"/>
        </w:rPr>
      </w:pPr>
      <w:r>
        <w:rPr>
          <w:szCs w:val="22"/>
        </w:rPr>
        <w:t>Firstly, t</w:t>
      </w:r>
      <w:r w:rsidR="00175AA8">
        <w:rPr>
          <w:szCs w:val="22"/>
        </w:rPr>
        <w:t xml:space="preserve">his contribution proposes adaptively replacing planar mode with block-vector based prediction. </w:t>
      </w:r>
    </w:p>
    <w:p w14:paraId="6BD826A9" w14:textId="5672A722" w:rsidR="00175AA8" w:rsidRDefault="00175AA8" w:rsidP="00E5550A">
      <w:pPr>
        <w:rPr>
          <w:szCs w:val="22"/>
        </w:rPr>
      </w:pPr>
      <w:r>
        <w:rPr>
          <w:szCs w:val="22"/>
        </w:rPr>
        <w:t>Specifically:</w:t>
      </w:r>
    </w:p>
    <w:p w14:paraId="3E5773AE" w14:textId="1BAA0336" w:rsidR="00175AA8" w:rsidRDefault="00175AA8" w:rsidP="00175AA8">
      <w:pPr>
        <w:pStyle w:val="ListParagraph"/>
        <w:numPr>
          <w:ilvl w:val="0"/>
          <w:numId w:val="17"/>
        </w:numPr>
        <w:rPr>
          <w:szCs w:val="22"/>
        </w:rPr>
      </w:pPr>
      <w:r>
        <w:rPr>
          <w:szCs w:val="22"/>
        </w:rPr>
        <w:t>The block vectors of all merge candidates are collected</w:t>
      </w:r>
      <w:r w:rsidR="00A0081C">
        <w:rPr>
          <w:szCs w:val="22"/>
        </w:rPr>
        <w:t>.</w:t>
      </w:r>
    </w:p>
    <w:p w14:paraId="0AD0A569" w14:textId="595E8F3D" w:rsidR="00175AA8" w:rsidRDefault="00175AA8" w:rsidP="00175AA8">
      <w:pPr>
        <w:pStyle w:val="ListParagraph"/>
        <w:numPr>
          <w:ilvl w:val="0"/>
          <w:numId w:val="17"/>
        </w:numPr>
        <w:rPr>
          <w:szCs w:val="22"/>
        </w:rPr>
      </w:pPr>
      <w:r>
        <w:rPr>
          <w:szCs w:val="22"/>
        </w:rPr>
        <w:t>The template cost (SATD) is used to select between block-vector based prediction and planar prediction</w:t>
      </w:r>
      <w:r w:rsidR="00A0081C">
        <w:rPr>
          <w:szCs w:val="22"/>
        </w:rPr>
        <w:t>.</w:t>
      </w:r>
    </w:p>
    <w:p w14:paraId="312D0721" w14:textId="17E8C210" w:rsidR="00175AA8" w:rsidRPr="00175AA8" w:rsidRDefault="00175AA8" w:rsidP="00175AA8">
      <w:pPr>
        <w:pStyle w:val="ListParagraph"/>
        <w:numPr>
          <w:ilvl w:val="0"/>
          <w:numId w:val="17"/>
        </w:numPr>
        <w:rPr>
          <w:szCs w:val="22"/>
        </w:rPr>
      </w:pPr>
      <w:r>
        <w:rPr>
          <w:szCs w:val="22"/>
        </w:rPr>
        <w:t>The same blending of DIMD is used.</w:t>
      </w:r>
    </w:p>
    <w:p w14:paraId="457BEE10" w14:textId="77777777" w:rsidR="003D417E" w:rsidRDefault="003D417E" w:rsidP="003D417E">
      <w:pPr>
        <w:rPr>
          <w:noProof/>
          <w:lang w:val="en-CA"/>
        </w:rPr>
      </w:pPr>
    </w:p>
    <w:p w14:paraId="1ABF4BE2" w14:textId="3E68B77A" w:rsidR="00686E4D" w:rsidRDefault="00686E4D" w:rsidP="003D417E">
      <w:pPr>
        <w:rPr>
          <w:noProof/>
          <w:lang w:val="en-CA"/>
        </w:rPr>
      </w:pPr>
      <w:r>
        <w:rPr>
          <w:noProof/>
          <w:lang w:val="en-CA"/>
        </w:rPr>
        <w:t>Secondly, is is proposed to allow the application of LIC to blocks in IntraTMP mode. Specifically:</w:t>
      </w:r>
    </w:p>
    <w:p w14:paraId="5C41535C" w14:textId="58052D17" w:rsidR="00686E4D" w:rsidRDefault="00686E4D" w:rsidP="00686E4D">
      <w:pPr>
        <w:pStyle w:val="ListParagraph"/>
        <w:numPr>
          <w:ilvl w:val="0"/>
          <w:numId w:val="18"/>
        </w:numPr>
        <w:rPr>
          <w:noProof/>
          <w:lang w:val="en-CA"/>
        </w:rPr>
      </w:pPr>
      <w:r>
        <w:rPr>
          <w:noProof/>
          <w:lang w:val="en-CA"/>
        </w:rPr>
        <w:t>The LIC usage for an IntraTMP mode is signaled through a CU-level flag</w:t>
      </w:r>
    </w:p>
    <w:p w14:paraId="5E9C694C" w14:textId="6CFD1975" w:rsidR="00686E4D" w:rsidRDefault="00686E4D" w:rsidP="00686E4D">
      <w:pPr>
        <w:pStyle w:val="ListParagraph"/>
        <w:numPr>
          <w:ilvl w:val="0"/>
          <w:numId w:val="18"/>
        </w:numPr>
        <w:rPr>
          <w:noProof/>
          <w:lang w:val="en-CA"/>
        </w:rPr>
      </w:pPr>
      <w:r>
        <w:rPr>
          <w:noProof/>
          <w:lang w:val="en-CA"/>
        </w:rPr>
        <w:t xml:space="preserve">Usages of LIC and FLM (CCCM-like filtering) are mutually exclusive for a given CU.  </w:t>
      </w:r>
    </w:p>
    <w:p w14:paraId="10D9AEE2" w14:textId="1F925841" w:rsidR="00686E4D" w:rsidRDefault="00686E4D" w:rsidP="00686E4D">
      <w:pPr>
        <w:pStyle w:val="ListParagraph"/>
        <w:numPr>
          <w:ilvl w:val="0"/>
          <w:numId w:val="18"/>
        </w:numPr>
        <w:rPr>
          <w:noProof/>
          <w:lang w:val="en-CA"/>
        </w:rPr>
      </w:pPr>
      <w:r>
        <w:rPr>
          <w:noProof/>
          <w:lang w:val="en-CA"/>
        </w:rPr>
        <w:t>Usages of LIC and fusion in intra TMP qare mutually exclusive, similarly to FLM.</w:t>
      </w:r>
    </w:p>
    <w:p w14:paraId="118D946D" w14:textId="77777777" w:rsidR="00686E4D" w:rsidRDefault="00686E4D" w:rsidP="00686E4D">
      <w:pPr>
        <w:rPr>
          <w:noProof/>
          <w:lang w:val="en-CA"/>
        </w:rPr>
      </w:pPr>
    </w:p>
    <w:p w14:paraId="7E936DB6" w14:textId="32B2D476" w:rsidR="00686E4D" w:rsidRDefault="00686E4D" w:rsidP="00686E4D">
      <w:pPr>
        <w:rPr>
          <w:noProof/>
          <w:lang w:val="en-CA"/>
        </w:rPr>
      </w:pPr>
      <w:r>
        <w:rPr>
          <w:noProof/>
          <w:lang w:val="en-CA"/>
        </w:rPr>
        <w:t>Thirdly, it is proposed to extend geometric prediction combing block-vector based prediction and regular intra prediction from IBC-GPM to SGPM.  That is, SGPM mode tests block vectors of neighboring CU’s in addition to regular prediction modes. Specifically:</w:t>
      </w:r>
    </w:p>
    <w:p w14:paraId="78E4D247" w14:textId="77777777" w:rsidR="00686E4D" w:rsidRDefault="00686E4D" w:rsidP="00686E4D">
      <w:pPr>
        <w:pStyle w:val="ListParagraph"/>
        <w:numPr>
          <w:ilvl w:val="0"/>
          <w:numId w:val="16"/>
        </w:numPr>
        <w:rPr>
          <w:noProof/>
          <w:lang w:val="en-CA"/>
        </w:rPr>
      </w:pPr>
      <w:r>
        <w:rPr>
          <w:noProof/>
          <w:lang w:val="en-CA"/>
        </w:rPr>
        <w:t>Obtain block vectors of all merge candidates</w:t>
      </w:r>
    </w:p>
    <w:p w14:paraId="7D63F509" w14:textId="77777777" w:rsidR="00686E4D" w:rsidRDefault="00686E4D" w:rsidP="00686E4D">
      <w:pPr>
        <w:pStyle w:val="ListParagraph"/>
        <w:numPr>
          <w:ilvl w:val="0"/>
          <w:numId w:val="16"/>
        </w:numPr>
        <w:rPr>
          <w:noProof/>
          <w:lang w:val="en-CA"/>
        </w:rPr>
      </w:pPr>
      <w:r>
        <w:rPr>
          <w:noProof/>
          <w:lang w:val="en-CA"/>
        </w:rPr>
        <w:t>Select the best block vector according to SATD template cost</w:t>
      </w:r>
    </w:p>
    <w:p w14:paraId="7EBC5539" w14:textId="77777777" w:rsidR="00686E4D" w:rsidRDefault="00686E4D" w:rsidP="00686E4D">
      <w:pPr>
        <w:pStyle w:val="ListParagraph"/>
        <w:numPr>
          <w:ilvl w:val="0"/>
          <w:numId w:val="16"/>
        </w:numPr>
        <w:rPr>
          <w:noProof/>
          <w:lang w:val="en-CA"/>
        </w:rPr>
      </w:pPr>
      <w:r>
        <w:rPr>
          <w:noProof/>
          <w:lang w:val="en-CA"/>
        </w:rPr>
        <w:t>Test the best block vector (if available) inside SGPM candidate list construction.</w:t>
      </w:r>
    </w:p>
    <w:p w14:paraId="48405676" w14:textId="1A1E6EC2" w:rsidR="00686E4D" w:rsidRPr="00686E4D" w:rsidRDefault="00686E4D" w:rsidP="00686E4D">
      <w:pPr>
        <w:rPr>
          <w:noProof/>
          <w:lang w:val="en-CA"/>
        </w:rPr>
      </w:pPr>
    </w:p>
    <w:p w14:paraId="634F49E6" w14:textId="77777777" w:rsidR="00120D56" w:rsidRPr="00275C93" w:rsidRDefault="00120D56" w:rsidP="00120D56">
      <w:pPr>
        <w:pStyle w:val="Heading1"/>
      </w:pPr>
      <w:r w:rsidRPr="00275C93">
        <w:t>Experimental results</w:t>
      </w:r>
    </w:p>
    <w:p w14:paraId="6249FD5A" w14:textId="1240528C"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0F82EB5B" w14:textId="77777777" w:rsidR="00A93A08" w:rsidRDefault="00A93A08" w:rsidP="00A6219E">
      <w:pPr>
        <w:rPr>
          <w:szCs w:val="22"/>
          <w:lang w:val="en-CA"/>
        </w:rPr>
      </w:pPr>
    </w:p>
    <w:tbl>
      <w:tblPr>
        <w:tblW w:w="7281" w:type="dxa"/>
        <w:jc w:val="center"/>
        <w:tblCellMar>
          <w:left w:w="70" w:type="dxa"/>
          <w:right w:w="70" w:type="dxa"/>
        </w:tblCellMar>
        <w:tblLook w:val="04A0" w:firstRow="1" w:lastRow="0" w:firstColumn="1" w:lastColumn="0" w:noHBand="0" w:noVBand="1"/>
      </w:tblPr>
      <w:tblGrid>
        <w:gridCol w:w="1040"/>
        <w:gridCol w:w="988"/>
        <w:gridCol w:w="988"/>
        <w:gridCol w:w="988"/>
        <w:gridCol w:w="1054"/>
        <w:gridCol w:w="1054"/>
        <w:gridCol w:w="1169"/>
      </w:tblGrid>
      <w:tr w:rsidR="00A93A08" w:rsidRPr="00A93A08" w14:paraId="467492A3" w14:textId="77777777" w:rsidTr="00A93A08">
        <w:trPr>
          <w:trHeight w:val="255"/>
          <w:jc w:val="center"/>
        </w:trPr>
        <w:tc>
          <w:tcPr>
            <w:tcW w:w="1040" w:type="dxa"/>
            <w:tcBorders>
              <w:top w:val="nil"/>
              <w:left w:val="nil"/>
              <w:bottom w:val="nil"/>
              <w:right w:val="nil"/>
            </w:tcBorders>
            <w:shd w:val="clear" w:color="auto" w:fill="auto"/>
            <w:noWrap/>
            <w:vAlign w:val="center"/>
            <w:hideMark/>
          </w:tcPr>
          <w:p w14:paraId="2AF8874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69D748"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3A08">
              <w:rPr>
                <w:rFonts w:ascii="Arial" w:hAnsi="Arial" w:cs="Arial"/>
                <w:b/>
                <w:bCs/>
                <w:color w:val="000000"/>
                <w:sz w:val="18"/>
                <w:szCs w:val="18"/>
                <w:lang w:val="fr-FR" w:eastAsia="fr-FR"/>
              </w:rPr>
              <w:t xml:space="preserve">All Intra Main 10 </w:t>
            </w:r>
          </w:p>
        </w:tc>
      </w:tr>
      <w:tr w:rsidR="00A93A08" w:rsidRPr="00A93A08" w14:paraId="2B5FB68C" w14:textId="77777777" w:rsidTr="00A93A08">
        <w:trPr>
          <w:trHeight w:val="255"/>
          <w:jc w:val="center"/>
        </w:trPr>
        <w:tc>
          <w:tcPr>
            <w:tcW w:w="1040" w:type="dxa"/>
            <w:tcBorders>
              <w:top w:val="nil"/>
              <w:left w:val="nil"/>
              <w:bottom w:val="nil"/>
              <w:right w:val="nil"/>
            </w:tcBorders>
            <w:shd w:val="clear" w:color="auto" w:fill="auto"/>
            <w:noWrap/>
            <w:vAlign w:val="center"/>
            <w:hideMark/>
          </w:tcPr>
          <w:p w14:paraId="012A5AE0"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0ECE6D1"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3A08">
              <w:rPr>
                <w:rFonts w:ascii="Arial" w:hAnsi="Arial" w:cs="Arial"/>
                <w:b/>
                <w:bCs/>
                <w:color w:val="000000"/>
                <w:sz w:val="18"/>
                <w:szCs w:val="18"/>
                <w:lang w:val="fr-FR" w:eastAsia="fr-FR"/>
              </w:rPr>
              <w:t>Over ECM-10.0</w:t>
            </w:r>
          </w:p>
        </w:tc>
      </w:tr>
      <w:tr w:rsidR="00A93A08" w:rsidRPr="00A93A08" w14:paraId="1D25675C" w14:textId="77777777" w:rsidTr="00A93A08">
        <w:trPr>
          <w:trHeight w:val="255"/>
          <w:jc w:val="center"/>
        </w:trPr>
        <w:tc>
          <w:tcPr>
            <w:tcW w:w="1040" w:type="dxa"/>
            <w:tcBorders>
              <w:top w:val="nil"/>
              <w:left w:val="nil"/>
              <w:bottom w:val="nil"/>
              <w:right w:val="nil"/>
            </w:tcBorders>
            <w:shd w:val="clear" w:color="auto" w:fill="auto"/>
            <w:noWrap/>
            <w:vAlign w:val="center"/>
            <w:hideMark/>
          </w:tcPr>
          <w:p w14:paraId="11EAD6E7"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8" w:type="dxa"/>
            <w:tcBorders>
              <w:top w:val="nil"/>
              <w:left w:val="single" w:sz="8" w:space="0" w:color="auto"/>
              <w:bottom w:val="single" w:sz="8" w:space="0" w:color="auto"/>
              <w:right w:val="nil"/>
            </w:tcBorders>
            <w:shd w:val="clear" w:color="auto" w:fill="auto"/>
            <w:noWrap/>
            <w:vAlign w:val="center"/>
            <w:hideMark/>
          </w:tcPr>
          <w:p w14:paraId="79431EAD"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Y</w:t>
            </w:r>
          </w:p>
        </w:tc>
        <w:tc>
          <w:tcPr>
            <w:tcW w:w="988" w:type="dxa"/>
            <w:tcBorders>
              <w:top w:val="nil"/>
              <w:left w:val="nil"/>
              <w:bottom w:val="single" w:sz="8" w:space="0" w:color="auto"/>
              <w:right w:val="nil"/>
            </w:tcBorders>
            <w:shd w:val="clear" w:color="auto" w:fill="auto"/>
            <w:noWrap/>
            <w:vAlign w:val="center"/>
            <w:hideMark/>
          </w:tcPr>
          <w:p w14:paraId="1EFCCCFC"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U</w:t>
            </w:r>
          </w:p>
        </w:tc>
        <w:tc>
          <w:tcPr>
            <w:tcW w:w="988" w:type="dxa"/>
            <w:tcBorders>
              <w:top w:val="nil"/>
              <w:left w:val="nil"/>
              <w:bottom w:val="single" w:sz="8" w:space="0" w:color="auto"/>
              <w:right w:val="single" w:sz="4" w:space="0" w:color="auto"/>
            </w:tcBorders>
            <w:shd w:val="clear" w:color="auto" w:fill="auto"/>
            <w:noWrap/>
            <w:vAlign w:val="center"/>
            <w:hideMark/>
          </w:tcPr>
          <w:p w14:paraId="63509605"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V</w:t>
            </w:r>
          </w:p>
        </w:tc>
        <w:tc>
          <w:tcPr>
            <w:tcW w:w="1054" w:type="dxa"/>
            <w:tcBorders>
              <w:top w:val="nil"/>
              <w:left w:val="nil"/>
              <w:bottom w:val="single" w:sz="8" w:space="0" w:color="auto"/>
              <w:right w:val="nil"/>
            </w:tcBorders>
            <w:shd w:val="clear" w:color="auto" w:fill="auto"/>
            <w:noWrap/>
            <w:vAlign w:val="center"/>
            <w:hideMark/>
          </w:tcPr>
          <w:p w14:paraId="259819A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3A08">
              <w:rPr>
                <w:rFonts w:ascii="Arial" w:hAnsi="Arial" w:cs="Arial"/>
                <w:color w:val="000000"/>
                <w:sz w:val="18"/>
                <w:szCs w:val="18"/>
                <w:lang w:val="fr-FR" w:eastAsia="fr-FR"/>
              </w:rPr>
              <w:t>EncT</w:t>
            </w:r>
            <w:proofErr w:type="spellEnd"/>
          </w:p>
        </w:tc>
        <w:tc>
          <w:tcPr>
            <w:tcW w:w="1054" w:type="dxa"/>
            <w:tcBorders>
              <w:top w:val="nil"/>
              <w:left w:val="nil"/>
              <w:bottom w:val="single" w:sz="8" w:space="0" w:color="auto"/>
              <w:right w:val="nil"/>
            </w:tcBorders>
            <w:shd w:val="clear" w:color="auto" w:fill="auto"/>
            <w:noWrap/>
            <w:vAlign w:val="center"/>
            <w:hideMark/>
          </w:tcPr>
          <w:p w14:paraId="571DF636"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3A08">
              <w:rPr>
                <w:rFonts w:ascii="Arial" w:hAnsi="Arial" w:cs="Arial"/>
                <w:color w:val="000000"/>
                <w:sz w:val="18"/>
                <w:szCs w:val="18"/>
                <w:lang w:val="fr-FR" w:eastAsia="fr-FR"/>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37B52D4"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3A08">
              <w:rPr>
                <w:rFonts w:ascii="Arial" w:hAnsi="Arial" w:cs="Arial"/>
                <w:color w:val="000000"/>
                <w:sz w:val="18"/>
                <w:szCs w:val="18"/>
                <w:lang w:val="fr-FR" w:eastAsia="fr-FR"/>
              </w:rPr>
              <w:t>VmPeak</w:t>
            </w:r>
            <w:proofErr w:type="spellEnd"/>
          </w:p>
        </w:tc>
      </w:tr>
      <w:tr w:rsidR="00A93A08" w:rsidRPr="00A93A08" w14:paraId="64EB8A32" w14:textId="77777777" w:rsidTr="00A93A08">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FAEDD1"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A1</w:t>
            </w:r>
          </w:p>
        </w:tc>
        <w:tc>
          <w:tcPr>
            <w:tcW w:w="988" w:type="dxa"/>
            <w:tcBorders>
              <w:top w:val="nil"/>
              <w:left w:val="nil"/>
              <w:bottom w:val="nil"/>
              <w:right w:val="nil"/>
            </w:tcBorders>
            <w:shd w:val="clear" w:color="auto" w:fill="auto"/>
            <w:noWrap/>
            <w:vAlign w:val="center"/>
            <w:hideMark/>
          </w:tcPr>
          <w:p w14:paraId="3B824A0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-0,01%</w:t>
            </w:r>
          </w:p>
        </w:tc>
        <w:tc>
          <w:tcPr>
            <w:tcW w:w="988" w:type="dxa"/>
            <w:tcBorders>
              <w:top w:val="nil"/>
              <w:left w:val="nil"/>
              <w:bottom w:val="nil"/>
              <w:right w:val="nil"/>
            </w:tcBorders>
            <w:shd w:val="clear" w:color="auto" w:fill="auto"/>
            <w:noWrap/>
            <w:vAlign w:val="center"/>
            <w:hideMark/>
          </w:tcPr>
          <w:p w14:paraId="105E1BD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-0,03%</w:t>
            </w:r>
          </w:p>
        </w:tc>
        <w:tc>
          <w:tcPr>
            <w:tcW w:w="988" w:type="dxa"/>
            <w:tcBorders>
              <w:top w:val="nil"/>
              <w:left w:val="nil"/>
              <w:bottom w:val="nil"/>
              <w:right w:val="single" w:sz="4" w:space="0" w:color="auto"/>
            </w:tcBorders>
            <w:shd w:val="clear" w:color="auto" w:fill="auto"/>
            <w:noWrap/>
            <w:vAlign w:val="center"/>
            <w:hideMark/>
          </w:tcPr>
          <w:p w14:paraId="055E331D"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-0,13%</w:t>
            </w:r>
          </w:p>
        </w:tc>
        <w:tc>
          <w:tcPr>
            <w:tcW w:w="1054" w:type="dxa"/>
            <w:tcBorders>
              <w:top w:val="nil"/>
              <w:left w:val="nil"/>
              <w:bottom w:val="nil"/>
              <w:right w:val="nil"/>
            </w:tcBorders>
            <w:shd w:val="clear" w:color="auto" w:fill="auto"/>
            <w:noWrap/>
            <w:vAlign w:val="center"/>
            <w:hideMark/>
          </w:tcPr>
          <w:p w14:paraId="09DBA1A0"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97,1%</w:t>
            </w:r>
          </w:p>
        </w:tc>
        <w:tc>
          <w:tcPr>
            <w:tcW w:w="1054" w:type="dxa"/>
            <w:tcBorders>
              <w:top w:val="nil"/>
              <w:left w:val="nil"/>
              <w:bottom w:val="nil"/>
              <w:right w:val="nil"/>
            </w:tcBorders>
            <w:shd w:val="clear" w:color="auto" w:fill="auto"/>
            <w:noWrap/>
            <w:vAlign w:val="center"/>
            <w:hideMark/>
          </w:tcPr>
          <w:p w14:paraId="49D4328B"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94,5%</w:t>
            </w:r>
          </w:p>
        </w:tc>
        <w:tc>
          <w:tcPr>
            <w:tcW w:w="1169" w:type="dxa"/>
            <w:tcBorders>
              <w:top w:val="nil"/>
              <w:left w:val="single" w:sz="4" w:space="0" w:color="auto"/>
              <w:bottom w:val="nil"/>
              <w:right w:val="single" w:sz="8" w:space="0" w:color="auto"/>
            </w:tcBorders>
            <w:shd w:val="clear" w:color="auto" w:fill="auto"/>
            <w:noWrap/>
            <w:vAlign w:val="center"/>
            <w:hideMark/>
          </w:tcPr>
          <w:p w14:paraId="6CA3D9E8"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70E13950" w14:textId="77777777" w:rsidTr="00A93A0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B21962D"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A2</w:t>
            </w:r>
          </w:p>
        </w:tc>
        <w:tc>
          <w:tcPr>
            <w:tcW w:w="988" w:type="dxa"/>
            <w:tcBorders>
              <w:top w:val="nil"/>
              <w:left w:val="nil"/>
              <w:bottom w:val="nil"/>
              <w:right w:val="nil"/>
            </w:tcBorders>
            <w:shd w:val="clear" w:color="auto" w:fill="auto"/>
            <w:noWrap/>
            <w:vAlign w:val="center"/>
            <w:hideMark/>
          </w:tcPr>
          <w:p w14:paraId="128B1969"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-0,09%</w:t>
            </w:r>
          </w:p>
        </w:tc>
        <w:tc>
          <w:tcPr>
            <w:tcW w:w="988" w:type="dxa"/>
            <w:tcBorders>
              <w:top w:val="nil"/>
              <w:left w:val="nil"/>
              <w:bottom w:val="nil"/>
              <w:right w:val="nil"/>
            </w:tcBorders>
            <w:shd w:val="clear" w:color="auto" w:fill="auto"/>
            <w:noWrap/>
            <w:vAlign w:val="center"/>
            <w:hideMark/>
          </w:tcPr>
          <w:p w14:paraId="7D5A9B8B"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-0,09%</w:t>
            </w:r>
          </w:p>
        </w:tc>
        <w:tc>
          <w:tcPr>
            <w:tcW w:w="988" w:type="dxa"/>
            <w:tcBorders>
              <w:top w:val="nil"/>
              <w:left w:val="nil"/>
              <w:bottom w:val="nil"/>
              <w:right w:val="single" w:sz="4" w:space="0" w:color="auto"/>
            </w:tcBorders>
            <w:shd w:val="clear" w:color="auto" w:fill="auto"/>
            <w:noWrap/>
            <w:vAlign w:val="center"/>
            <w:hideMark/>
          </w:tcPr>
          <w:p w14:paraId="180E31DD"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-0,13%</w:t>
            </w:r>
          </w:p>
        </w:tc>
        <w:tc>
          <w:tcPr>
            <w:tcW w:w="1054" w:type="dxa"/>
            <w:tcBorders>
              <w:top w:val="nil"/>
              <w:left w:val="nil"/>
              <w:bottom w:val="nil"/>
              <w:right w:val="nil"/>
            </w:tcBorders>
            <w:shd w:val="clear" w:color="auto" w:fill="auto"/>
            <w:noWrap/>
            <w:vAlign w:val="center"/>
            <w:hideMark/>
          </w:tcPr>
          <w:p w14:paraId="739BA341"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94,0%</w:t>
            </w:r>
          </w:p>
        </w:tc>
        <w:tc>
          <w:tcPr>
            <w:tcW w:w="1054" w:type="dxa"/>
            <w:tcBorders>
              <w:top w:val="nil"/>
              <w:left w:val="nil"/>
              <w:bottom w:val="nil"/>
              <w:right w:val="nil"/>
            </w:tcBorders>
            <w:shd w:val="clear" w:color="auto" w:fill="auto"/>
            <w:noWrap/>
            <w:vAlign w:val="center"/>
            <w:hideMark/>
          </w:tcPr>
          <w:p w14:paraId="34D2E8C1"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w:t>
            </w:r>
            <w:proofErr w:type="gramStart"/>
            <w:r w:rsidRPr="00CC465B">
              <w:rPr>
                <w:rFonts w:ascii="Arial" w:hAnsi="Arial" w:cs="Arial"/>
                <w:color w:val="000000"/>
                <w:sz w:val="18"/>
                <w:szCs w:val="18"/>
                <w:highlight w:val="yellow"/>
                <w:lang w:val="fr-FR" w:eastAsia="fr-FR"/>
              </w:rPr>
              <w:t>NUM!</w:t>
            </w:r>
            <w:proofErr w:type="gramEnd"/>
          </w:p>
        </w:tc>
        <w:tc>
          <w:tcPr>
            <w:tcW w:w="1169" w:type="dxa"/>
            <w:tcBorders>
              <w:top w:val="nil"/>
              <w:left w:val="single" w:sz="4" w:space="0" w:color="auto"/>
              <w:bottom w:val="nil"/>
              <w:right w:val="single" w:sz="8" w:space="0" w:color="auto"/>
            </w:tcBorders>
            <w:shd w:val="clear" w:color="auto" w:fill="auto"/>
            <w:noWrap/>
            <w:vAlign w:val="center"/>
            <w:hideMark/>
          </w:tcPr>
          <w:p w14:paraId="1A37FC92"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#DIV/</w:t>
            </w:r>
            <w:proofErr w:type="gramStart"/>
            <w:r w:rsidRPr="00CC465B">
              <w:rPr>
                <w:rFonts w:ascii="Arial" w:hAnsi="Arial" w:cs="Arial"/>
                <w:color w:val="000000"/>
                <w:sz w:val="18"/>
                <w:szCs w:val="18"/>
                <w:highlight w:val="yellow"/>
                <w:lang w:val="fr-FR" w:eastAsia="fr-FR"/>
              </w:rPr>
              <w:t>0!</w:t>
            </w:r>
            <w:proofErr w:type="gramEnd"/>
          </w:p>
        </w:tc>
      </w:tr>
      <w:tr w:rsidR="00A93A08" w:rsidRPr="00A93A08" w14:paraId="2428568C" w14:textId="77777777" w:rsidTr="00A93A0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B60AED2"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B</w:t>
            </w:r>
          </w:p>
        </w:tc>
        <w:tc>
          <w:tcPr>
            <w:tcW w:w="988" w:type="dxa"/>
            <w:tcBorders>
              <w:top w:val="nil"/>
              <w:left w:val="nil"/>
              <w:bottom w:val="nil"/>
              <w:right w:val="nil"/>
            </w:tcBorders>
            <w:shd w:val="clear" w:color="auto" w:fill="auto"/>
            <w:noWrap/>
            <w:vAlign w:val="center"/>
            <w:hideMark/>
          </w:tcPr>
          <w:p w14:paraId="171F7267"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-0,05%</w:t>
            </w:r>
          </w:p>
        </w:tc>
        <w:tc>
          <w:tcPr>
            <w:tcW w:w="988" w:type="dxa"/>
            <w:tcBorders>
              <w:top w:val="nil"/>
              <w:left w:val="nil"/>
              <w:bottom w:val="nil"/>
              <w:right w:val="nil"/>
            </w:tcBorders>
            <w:shd w:val="clear" w:color="auto" w:fill="auto"/>
            <w:noWrap/>
            <w:vAlign w:val="center"/>
            <w:hideMark/>
          </w:tcPr>
          <w:p w14:paraId="2C74912B"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0,01%</w:t>
            </w:r>
          </w:p>
        </w:tc>
        <w:tc>
          <w:tcPr>
            <w:tcW w:w="988" w:type="dxa"/>
            <w:tcBorders>
              <w:top w:val="nil"/>
              <w:left w:val="nil"/>
              <w:bottom w:val="nil"/>
              <w:right w:val="single" w:sz="4" w:space="0" w:color="auto"/>
            </w:tcBorders>
            <w:shd w:val="clear" w:color="auto" w:fill="auto"/>
            <w:noWrap/>
            <w:vAlign w:val="center"/>
            <w:hideMark/>
          </w:tcPr>
          <w:p w14:paraId="0EF1D77F"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-0,03%</w:t>
            </w:r>
          </w:p>
        </w:tc>
        <w:tc>
          <w:tcPr>
            <w:tcW w:w="1054" w:type="dxa"/>
            <w:tcBorders>
              <w:top w:val="nil"/>
              <w:left w:val="nil"/>
              <w:bottom w:val="nil"/>
              <w:right w:val="nil"/>
            </w:tcBorders>
            <w:shd w:val="clear" w:color="auto" w:fill="auto"/>
            <w:noWrap/>
            <w:vAlign w:val="center"/>
            <w:hideMark/>
          </w:tcPr>
          <w:p w14:paraId="6EE4D171"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94,3%</w:t>
            </w:r>
          </w:p>
        </w:tc>
        <w:tc>
          <w:tcPr>
            <w:tcW w:w="1054" w:type="dxa"/>
            <w:tcBorders>
              <w:top w:val="nil"/>
              <w:left w:val="nil"/>
              <w:bottom w:val="nil"/>
              <w:right w:val="nil"/>
            </w:tcBorders>
            <w:shd w:val="clear" w:color="auto" w:fill="auto"/>
            <w:noWrap/>
            <w:vAlign w:val="center"/>
            <w:hideMark/>
          </w:tcPr>
          <w:p w14:paraId="5B43BFA1"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94,3%</w:t>
            </w:r>
          </w:p>
        </w:tc>
        <w:tc>
          <w:tcPr>
            <w:tcW w:w="1169" w:type="dxa"/>
            <w:tcBorders>
              <w:top w:val="nil"/>
              <w:left w:val="single" w:sz="4" w:space="0" w:color="auto"/>
              <w:bottom w:val="nil"/>
              <w:right w:val="single" w:sz="8" w:space="0" w:color="auto"/>
            </w:tcBorders>
            <w:shd w:val="clear" w:color="auto" w:fill="auto"/>
            <w:noWrap/>
            <w:vAlign w:val="center"/>
            <w:hideMark/>
          </w:tcPr>
          <w:p w14:paraId="511B6CC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185F50B4" w14:textId="77777777" w:rsidTr="00A93A0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A8D0D4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C</w:t>
            </w:r>
          </w:p>
        </w:tc>
        <w:tc>
          <w:tcPr>
            <w:tcW w:w="988" w:type="dxa"/>
            <w:tcBorders>
              <w:top w:val="nil"/>
              <w:left w:val="nil"/>
              <w:bottom w:val="nil"/>
              <w:right w:val="nil"/>
            </w:tcBorders>
            <w:shd w:val="clear" w:color="auto" w:fill="auto"/>
            <w:noWrap/>
            <w:vAlign w:val="center"/>
            <w:hideMark/>
          </w:tcPr>
          <w:p w14:paraId="5044380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-0,05%</w:t>
            </w:r>
          </w:p>
        </w:tc>
        <w:tc>
          <w:tcPr>
            <w:tcW w:w="988" w:type="dxa"/>
            <w:tcBorders>
              <w:top w:val="nil"/>
              <w:left w:val="nil"/>
              <w:bottom w:val="nil"/>
              <w:right w:val="nil"/>
            </w:tcBorders>
            <w:shd w:val="clear" w:color="auto" w:fill="auto"/>
            <w:noWrap/>
            <w:vAlign w:val="center"/>
            <w:hideMark/>
          </w:tcPr>
          <w:p w14:paraId="64259A4A"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0,00%</w:t>
            </w:r>
          </w:p>
        </w:tc>
        <w:tc>
          <w:tcPr>
            <w:tcW w:w="988" w:type="dxa"/>
            <w:tcBorders>
              <w:top w:val="nil"/>
              <w:left w:val="nil"/>
              <w:bottom w:val="nil"/>
              <w:right w:val="single" w:sz="4" w:space="0" w:color="auto"/>
            </w:tcBorders>
            <w:shd w:val="clear" w:color="auto" w:fill="auto"/>
            <w:noWrap/>
            <w:vAlign w:val="center"/>
            <w:hideMark/>
          </w:tcPr>
          <w:p w14:paraId="119CE280"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0,07%</w:t>
            </w:r>
          </w:p>
        </w:tc>
        <w:tc>
          <w:tcPr>
            <w:tcW w:w="1054" w:type="dxa"/>
            <w:tcBorders>
              <w:top w:val="nil"/>
              <w:left w:val="nil"/>
              <w:bottom w:val="nil"/>
              <w:right w:val="nil"/>
            </w:tcBorders>
            <w:shd w:val="clear" w:color="auto" w:fill="auto"/>
            <w:noWrap/>
            <w:vAlign w:val="center"/>
            <w:hideMark/>
          </w:tcPr>
          <w:p w14:paraId="4AAA0544"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100,6%</w:t>
            </w:r>
          </w:p>
        </w:tc>
        <w:tc>
          <w:tcPr>
            <w:tcW w:w="1054" w:type="dxa"/>
            <w:tcBorders>
              <w:top w:val="nil"/>
              <w:left w:val="nil"/>
              <w:bottom w:val="nil"/>
              <w:right w:val="nil"/>
            </w:tcBorders>
            <w:shd w:val="clear" w:color="auto" w:fill="auto"/>
            <w:noWrap/>
            <w:vAlign w:val="center"/>
            <w:hideMark/>
          </w:tcPr>
          <w:p w14:paraId="7798E774"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109,8%</w:t>
            </w:r>
          </w:p>
        </w:tc>
        <w:tc>
          <w:tcPr>
            <w:tcW w:w="1169" w:type="dxa"/>
            <w:tcBorders>
              <w:top w:val="nil"/>
              <w:left w:val="single" w:sz="4" w:space="0" w:color="auto"/>
              <w:bottom w:val="nil"/>
              <w:right w:val="single" w:sz="8" w:space="0" w:color="auto"/>
            </w:tcBorders>
            <w:shd w:val="clear" w:color="auto" w:fill="auto"/>
            <w:noWrap/>
            <w:vAlign w:val="center"/>
            <w:hideMark/>
          </w:tcPr>
          <w:p w14:paraId="3FF4409B"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2B8375A0" w14:textId="77777777" w:rsidTr="00A93A0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BA7CD6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E</w:t>
            </w:r>
          </w:p>
        </w:tc>
        <w:tc>
          <w:tcPr>
            <w:tcW w:w="988" w:type="dxa"/>
            <w:tcBorders>
              <w:top w:val="nil"/>
              <w:left w:val="nil"/>
              <w:bottom w:val="nil"/>
              <w:right w:val="nil"/>
            </w:tcBorders>
            <w:shd w:val="clear" w:color="auto" w:fill="auto"/>
            <w:noWrap/>
            <w:vAlign w:val="center"/>
            <w:hideMark/>
          </w:tcPr>
          <w:p w14:paraId="0F80A5B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-0,11%</w:t>
            </w:r>
          </w:p>
        </w:tc>
        <w:tc>
          <w:tcPr>
            <w:tcW w:w="988" w:type="dxa"/>
            <w:tcBorders>
              <w:top w:val="nil"/>
              <w:left w:val="nil"/>
              <w:bottom w:val="nil"/>
              <w:right w:val="nil"/>
            </w:tcBorders>
            <w:shd w:val="clear" w:color="auto" w:fill="auto"/>
            <w:noWrap/>
            <w:vAlign w:val="center"/>
            <w:hideMark/>
          </w:tcPr>
          <w:p w14:paraId="55632704"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-0,07%</w:t>
            </w:r>
          </w:p>
        </w:tc>
        <w:tc>
          <w:tcPr>
            <w:tcW w:w="988" w:type="dxa"/>
            <w:tcBorders>
              <w:top w:val="nil"/>
              <w:left w:val="nil"/>
              <w:bottom w:val="nil"/>
              <w:right w:val="single" w:sz="4" w:space="0" w:color="auto"/>
            </w:tcBorders>
            <w:shd w:val="clear" w:color="auto" w:fill="auto"/>
            <w:noWrap/>
            <w:vAlign w:val="center"/>
            <w:hideMark/>
          </w:tcPr>
          <w:p w14:paraId="57DC98BF"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-0,11%</w:t>
            </w:r>
          </w:p>
        </w:tc>
        <w:tc>
          <w:tcPr>
            <w:tcW w:w="1054" w:type="dxa"/>
            <w:tcBorders>
              <w:top w:val="nil"/>
              <w:left w:val="nil"/>
              <w:bottom w:val="nil"/>
              <w:right w:val="nil"/>
            </w:tcBorders>
            <w:shd w:val="clear" w:color="auto" w:fill="auto"/>
            <w:noWrap/>
            <w:vAlign w:val="center"/>
            <w:hideMark/>
          </w:tcPr>
          <w:p w14:paraId="44DCBE7D"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100,8%</w:t>
            </w:r>
          </w:p>
        </w:tc>
        <w:tc>
          <w:tcPr>
            <w:tcW w:w="1054" w:type="dxa"/>
            <w:tcBorders>
              <w:top w:val="nil"/>
              <w:left w:val="nil"/>
              <w:bottom w:val="nil"/>
              <w:right w:val="nil"/>
            </w:tcBorders>
            <w:shd w:val="clear" w:color="auto" w:fill="auto"/>
            <w:noWrap/>
            <w:vAlign w:val="center"/>
            <w:hideMark/>
          </w:tcPr>
          <w:p w14:paraId="638498DA"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104,8%</w:t>
            </w:r>
          </w:p>
        </w:tc>
        <w:tc>
          <w:tcPr>
            <w:tcW w:w="1169" w:type="dxa"/>
            <w:tcBorders>
              <w:top w:val="nil"/>
              <w:left w:val="single" w:sz="4" w:space="0" w:color="auto"/>
              <w:bottom w:val="nil"/>
              <w:right w:val="single" w:sz="8" w:space="0" w:color="auto"/>
            </w:tcBorders>
            <w:shd w:val="clear" w:color="auto" w:fill="auto"/>
            <w:noWrap/>
            <w:vAlign w:val="center"/>
            <w:hideMark/>
          </w:tcPr>
          <w:p w14:paraId="70E8BC0F"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4339CFD6" w14:textId="77777777" w:rsidTr="00A93A08">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443D6F"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3A08">
              <w:rPr>
                <w:rFonts w:ascii="Arial" w:hAnsi="Arial" w:cs="Arial"/>
                <w:b/>
                <w:bCs/>
                <w:color w:val="000000"/>
                <w:sz w:val="18"/>
                <w:szCs w:val="18"/>
                <w:lang w:val="fr-FR" w:eastAsia="fr-FR"/>
              </w:rPr>
              <w:t>Overall</w:t>
            </w:r>
            <w:proofErr w:type="spellEnd"/>
            <w:r w:rsidRPr="00A93A08">
              <w:rPr>
                <w:rFonts w:ascii="Arial" w:hAnsi="Arial" w:cs="Arial"/>
                <w:b/>
                <w:bCs/>
                <w:color w:val="000000"/>
                <w:sz w:val="18"/>
                <w:szCs w:val="18"/>
                <w:lang w:val="fr-FR" w:eastAsia="fr-FR"/>
              </w:rPr>
              <w:t xml:space="preserve"> </w:t>
            </w:r>
          </w:p>
        </w:tc>
        <w:tc>
          <w:tcPr>
            <w:tcW w:w="988" w:type="dxa"/>
            <w:tcBorders>
              <w:top w:val="single" w:sz="8" w:space="0" w:color="auto"/>
              <w:left w:val="nil"/>
              <w:bottom w:val="nil"/>
              <w:right w:val="nil"/>
            </w:tcBorders>
            <w:shd w:val="clear" w:color="auto" w:fill="auto"/>
            <w:noWrap/>
            <w:vAlign w:val="center"/>
            <w:hideMark/>
          </w:tcPr>
          <w:p w14:paraId="6DF5C202"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-0,06%</w:t>
            </w:r>
          </w:p>
        </w:tc>
        <w:tc>
          <w:tcPr>
            <w:tcW w:w="988" w:type="dxa"/>
            <w:tcBorders>
              <w:top w:val="single" w:sz="8" w:space="0" w:color="auto"/>
              <w:left w:val="nil"/>
              <w:bottom w:val="nil"/>
              <w:right w:val="nil"/>
            </w:tcBorders>
            <w:shd w:val="clear" w:color="auto" w:fill="auto"/>
            <w:noWrap/>
            <w:vAlign w:val="center"/>
            <w:hideMark/>
          </w:tcPr>
          <w:p w14:paraId="0820BC25"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-0,03%</w:t>
            </w:r>
          </w:p>
        </w:tc>
        <w:tc>
          <w:tcPr>
            <w:tcW w:w="988" w:type="dxa"/>
            <w:tcBorders>
              <w:top w:val="single" w:sz="8" w:space="0" w:color="auto"/>
              <w:left w:val="nil"/>
              <w:bottom w:val="nil"/>
              <w:right w:val="single" w:sz="4" w:space="0" w:color="auto"/>
            </w:tcBorders>
            <w:shd w:val="clear" w:color="auto" w:fill="auto"/>
            <w:noWrap/>
            <w:vAlign w:val="center"/>
            <w:hideMark/>
          </w:tcPr>
          <w:p w14:paraId="6ADE7CD4"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-0,05%</w:t>
            </w:r>
          </w:p>
        </w:tc>
        <w:tc>
          <w:tcPr>
            <w:tcW w:w="1054" w:type="dxa"/>
            <w:tcBorders>
              <w:top w:val="single" w:sz="8" w:space="0" w:color="auto"/>
              <w:left w:val="nil"/>
              <w:bottom w:val="nil"/>
              <w:right w:val="nil"/>
            </w:tcBorders>
            <w:shd w:val="clear" w:color="auto" w:fill="auto"/>
            <w:noWrap/>
            <w:vAlign w:val="center"/>
            <w:hideMark/>
          </w:tcPr>
          <w:p w14:paraId="7467C35A"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97,1%</w:t>
            </w:r>
          </w:p>
        </w:tc>
        <w:tc>
          <w:tcPr>
            <w:tcW w:w="1054" w:type="dxa"/>
            <w:tcBorders>
              <w:top w:val="single" w:sz="8" w:space="0" w:color="auto"/>
              <w:left w:val="nil"/>
              <w:bottom w:val="nil"/>
              <w:right w:val="nil"/>
            </w:tcBorders>
            <w:shd w:val="clear" w:color="auto" w:fill="auto"/>
            <w:noWrap/>
            <w:vAlign w:val="center"/>
            <w:hideMark/>
          </w:tcPr>
          <w:p w14:paraId="4BBE5B17"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w:t>
            </w:r>
            <w:proofErr w:type="gramStart"/>
            <w:r w:rsidRPr="00CC465B">
              <w:rPr>
                <w:rFonts w:ascii="Arial" w:hAnsi="Arial" w:cs="Arial"/>
                <w:color w:val="000000"/>
                <w:sz w:val="18"/>
                <w:szCs w:val="18"/>
                <w:highlight w:val="yellow"/>
                <w:lang w:val="fr-FR" w:eastAsia="fr-FR"/>
              </w:rPr>
              <w:t>NUM!</w:t>
            </w:r>
            <w:proofErr w:type="gramEnd"/>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0B963E2" w14:textId="77777777" w:rsidR="00A93A08" w:rsidRPr="00CC465B"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CC465B">
              <w:rPr>
                <w:rFonts w:ascii="Arial" w:hAnsi="Arial" w:cs="Arial"/>
                <w:color w:val="000000"/>
                <w:sz w:val="18"/>
                <w:szCs w:val="18"/>
                <w:highlight w:val="yellow"/>
                <w:lang w:val="fr-FR" w:eastAsia="fr-FR"/>
              </w:rPr>
              <w:t>#DIV/</w:t>
            </w:r>
            <w:proofErr w:type="gramStart"/>
            <w:r w:rsidRPr="00CC465B">
              <w:rPr>
                <w:rFonts w:ascii="Arial" w:hAnsi="Arial" w:cs="Arial"/>
                <w:color w:val="000000"/>
                <w:sz w:val="18"/>
                <w:szCs w:val="18"/>
                <w:highlight w:val="yellow"/>
                <w:lang w:val="fr-FR" w:eastAsia="fr-FR"/>
              </w:rPr>
              <w:t>0!</w:t>
            </w:r>
            <w:proofErr w:type="gramEnd"/>
          </w:p>
        </w:tc>
      </w:tr>
      <w:tr w:rsidR="00A93A08" w:rsidRPr="00A93A08" w14:paraId="2904333D" w14:textId="77777777" w:rsidTr="00A93A08">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E70C7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D</w:t>
            </w:r>
          </w:p>
        </w:tc>
        <w:tc>
          <w:tcPr>
            <w:tcW w:w="988" w:type="dxa"/>
            <w:tcBorders>
              <w:top w:val="single" w:sz="8" w:space="0" w:color="auto"/>
              <w:left w:val="nil"/>
              <w:bottom w:val="nil"/>
              <w:right w:val="nil"/>
            </w:tcBorders>
            <w:shd w:val="clear" w:color="auto" w:fill="auto"/>
            <w:noWrap/>
            <w:vAlign w:val="center"/>
            <w:hideMark/>
          </w:tcPr>
          <w:p w14:paraId="09D56B1A"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-0,01%</w:t>
            </w:r>
          </w:p>
        </w:tc>
        <w:tc>
          <w:tcPr>
            <w:tcW w:w="988" w:type="dxa"/>
            <w:tcBorders>
              <w:top w:val="single" w:sz="8" w:space="0" w:color="auto"/>
              <w:left w:val="nil"/>
              <w:bottom w:val="nil"/>
              <w:right w:val="nil"/>
            </w:tcBorders>
            <w:shd w:val="clear" w:color="auto" w:fill="auto"/>
            <w:noWrap/>
            <w:vAlign w:val="center"/>
            <w:hideMark/>
          </w:tcPr>
          <w:p w14:paraId="5B7A7752"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-0,15%</w:t>
            </w:r>
          </w:p>
        </w:tc>
        <w:tc>
          <w:tcPr>
            <w:tcW w:w="988" w:type="dxa"/>
            <w:tcBorders>
              <w:top w:val="single" w:sz="8" w:space="0" w:color="auto"/>
              <w:left w:val="nil"/>
              <w:bottom w:val="nil"/>
              <w:right w:val="single" w:sz="4" w:space="0" w:color="auto"/>
            </w:tcBorders>
            <w:shd w:val="clear" w:color="auto" w:fill="auto"/>
            <w:noWrap/>
            <w:vAlign w:val="center"/>
            <w:hideMark/>
          </w:tcPr>
          <w:p w14:paraId="04406B72"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-0,20%</w:t>
            </w:r>
          </w:p>
        </w:tc>
        <w:tc>
          <w:tcPr>
            <w:tcW w:w="1054" w:type="dxa"/>
            <w:tcBorders>
              <w:top w:val="single" w:sz="8" w:space="0" w:color="auto"/>
              <w:left w:val="nil"/>
              <w:bottom w:val="nil"/>
              <w:right w:val="nil"/>
            </w:tcBorders>
            <w:shd w:val="clear" w:color="auto" w:fill="auto"/>
            <w:noWrap/>
            <w:vAlign w:val="center"/>
            <w:hideMark/>
          </w:tcPr>
          <w:p w14:paraId="3666A20C"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96,7%</w:t>
            </w:r>
          </w:p>
        </w:tc>
        <w:tc>
          <w:tcPr>
            <w:tcW w:w="1054" w:type="dxa"/>
            <w:tcBorders>
              <w:top w:val="single" w:sz="8" w:space="0" w:color="auto"/>
              <w:left w:val="nil"/>
              <w:bottom w:val="nil"/>
              <w:right w:val="nil"/>
            </w:tcBorders>
            <w:shd w:val="clear" w:color="auto" w:fill="auto"/>
            <w:noWrap/>
            <w:vAlign w:val="center"/>
            <w:hideMark/>
          </w:tcPr>
          <w:p w14:paraId="1A637197"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107,2%</w:t>
            </w:r>
          </w:p>
        </w:tc>
        <w:tc>
          <w:tcPr>
            <w:tcW w:w="1169" w:type="dxa"/>
            <w:tcBorders>
              <w:top w:val="nil"/>
              <w:left w:val="single" w:sz="4" w:space="0" w:color="auto"/>
              <w:bottom w:val="nil"/>
              <w:right w:val="single" w:sz="8" w:space="0" w:color="auto"/>
            </w:tcBorders>
            <w:shd w:val="clear" w:color="auto" w:fill="auto"/>
            <w:noWrap/>
            <w:vAlign w:val="center"/>
            <w:hideMark/>
          </w:tcPr>
          <w:p w14:paraId="74096F6A"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6F6DD667" w14:textId="77777777" w:rsidTr="00A93A08">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12E7D35"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F</w:t>
            </w:r>
          </w:p>
        </w:tc>
        <w:tc>
          <w:tcPr>
            <w:tcW w:w="988" w:type="dxa"/>
            <w:tcBorders>
              <w:top w:val="nil"/>
              <w:left w:val="nil"/>
              <w:bottom w:val="nil"/>
              <w:right w:val="nil"/>
            </w:tcBorders>
            <w:shd w:val="clear" w:color="auto" w:fill="auto"/>
            <w:noWrap/>
            <w:vAlign w:val="center"/>
            <w:hideMark/>
          </w:tcPr>
          <w:p w14:paraId="0F863020"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-0,29%</w:t>
            </w:r>
          </w:p>
        </w:tc>
        <w:tc>
          <w:tcPr>
            <w:tcW w:w="988" w:type="dxa"/>
            <w:tcBorders>
              <w:top w:val="nil"/>
              <w:left w:val="nil"/>
              <w:bottom w:val="nil"/>
              <w:right w:val="nil"/>
            </w:tcBorders>
            <w:shd w:val="clear" w:color="auto" w:fill="auto"/>
            <w:noWrap/>
            <w:vAlign w:val="center"/>
            <w:hideMark/>
          </w:tcPr>
          <w:p w14:paraId="29F0F53F"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-0,21%</w:t>
            </w:r>
          </w:p>
        </w:tc>
        <w:tc>
          <w:tcPr>
            <w:tcW w:w="988" w:type="dxa"/>
            <w:tcBorders>
              <w:top w:val="nil"/>
              <w:left w:val="nil"/>
              <w:bottom w:val="nil"/>
              <w:right w:val="single" w:sz="4" w:space="0" w:color="auto"/>
            </w:tcBorders>
            <w:shd w:val="clear" w:color="auto" w:fill="auto"/>
            <w:noWrap/>
            <w:vAlign w:val="center"/>
            <w:hideMark/>
          </w:tcPr>
          <w:p w14:paraId="1BFD3F84"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-0,12%</w:t>
            </w:r>
          </w:p>
        </w:tc>
        <w:tc>
          <w:tcPr>
            <w:tcW w:w="1054" w:type="dxa"/>
            <w:tcBorders>
              <w:top w:val="nil"/>
              <w:left w:val="nil"/>
              <w:bottom w:val="nil"/>
              <w:right w:val="nil"/>
            </w:tcBorders>
            <w:shd w:val="clear" w:color="auto" w:fill="auto"/>
            <w:noWrap/>
            <w:vAlign w:val="center"/>
            <w:hideMark/>
          </w:tcPr>
          <w:p w14:paraId="5D7A6552"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92,8%</w:t>
            </w:r>
          </w:p>
        </w:tc>
        <w:tc>
          <w:tcPr>
            <w:tcW w:w="1054" w:type="dxa"/>
            <w:tcBorders>
              <w:top w:val="nil"/>
              <w:left w:val="nil"/>
              <w:bottom w:val="nil"/>
              <w:right w:val="nil"/>
            </w:tcBorders>
            <w:shd w:val="clear" w:color="auto" w:fill="auto"/>
            <w:noWrap/>
            <w:vAlign w:val="center"/>
            <w:hideMark/>
          </w:tcPr>
          <w:p w14:paraId="3B8DE7BC"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100,7%</w:t>
            </w:r>
          </w:p>
        </w:tc>
        <w:tc>
          <w:tcPr>
            <w:tcW w:w="1169" w:type="dxa"/>
            <w:tcBorders>
              <w:top w:val="nil"/>
              <w:left w:val="single" w:sz="4" w:space="0" w:color="auto"/>
              <w:bottom w:val="nil"/>
              <w:right w:val="single" w:sz="8" w:space="0" w:color="auto"/>
            </w:tcBorders>
            <w:shd w:val="clear" w:color="auto" w:fill="auto"/>
            <w:noWrap/>
            <w:vAlign w:val="center"/>
            <w:hideMark/>
          </w:tcPr>
          <w:p w14:paraId="4DFFF52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r w:rsidR="00A93A08" w:rsidRPr="00A93A08" w14:paraId="4876BC98" w14:textId="77777777" w:rsidTr="00A93A08">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3C70E73"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Class TGM</w:t>
            </w:r>
          </w:p>
        </w:tc>
        <w:tc>
          <w:tcPr>
            <w:tcW w:w="988" w:type="dxa"/>
            <w:tcBorders>
              <w:top w:val="nil"/>
              <w:left w:val="nil"/>
              <w:bottom w:val="single" w:sz="8" w:space="0" w:color="auto"/>
              <w:right w:val="nil"/>
            </w:tcBorders>
            <w:shd w:val="clear" w:color="auto" w:fill="auto"/>
            <w:noWrap/>
            <w:vAlign w:val="center"/>
            <w:hideMark/>
          </w:tcPr>
          <w:p w14:paraId="6682344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-0,43%</w:t>
            </w:r>
          </w:p>
        </w:tc>
        <w:tc>
          <w:tcPr>
            <w:tcW w:w="988" w:type="dxa"/>
            <w:tcBorders>
              <w:top w:val="nil"/>
              <w:left w:val="nil"/>
              <w:bottom w:val="single" w:sz="8" w:space="0" w:color="auto"/>
              <w:right w:val="nil"/>
            </w:tcBorders>
            <w:shd w:val="clear" w:color="auto" w:fill="auto"/>
            <w:noWrap/>
            <w:vAlign w:val="center"/>
            <w:hideMark/>
          </w:tcPr>
          <w:p w14:paraId="2C1D8F12"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-0,39%</w:t>
            </w:r>
          </w:p>
        </w:tc>
        <w:tc>
          <w:tcPr>
            <w:tcW w:w="988" w:type="dxa"/>
            <w:tcBorders>
              <w:top w:val="nil"/>
              <w:left w:val="nil"/>
              <w:bottom w:val="single" w:sz="8" w:space="0" w:color="auto"/>
              <w:right w:val="single" w:sz="4" w:space="0" w:color="auto"/>
            </w:tcBorders>
            <w:shd w:val="clear" w:color="auto" w:fill="auto"/>
            <w:noWrap/>
            <w:vAlign w:val="center"/>
            <w:hideMark/>
          </w:tcPr>
          <w:p w14:paraId="05066D40"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-0,44%</w:t>
            </w:r>
          </w:p>
        </w:tc>
        <w:tc>
          <w:tcPr>
            <w:tcW w:w="1054" w:type="dxa"/>
            <w:tcBorders>
              <w:top w:val="nil"/>
              <w:left w:val="nil"/>
              <w:bottom w:val="single" w:sz="8" w:space="0" w:color="auto"/>
              <w:right w:val="nil"/>
            </w:tcBorders>
            <w:shd w:val="clear" w:color="auto" w:fill="auto"/>
            <w:noWrap/>
            <w:vAlign w:val="center"/>
            <w:hideMark/>
          </w:tcPr>
          <w:p w14:paraId="6299DD35"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93,3%</w:t>
            </w:r>
          </w:p>
        </w:tc>
        <w:tc>
          <w:tcPr>
            <w:tcW w:w="1054" w:type="dxa"/>
            <w:tcBorders>
              <w:top w:val="nil"/>
              <w:left w:val="nil"/>
              <w:bottom w:val="single" w:sz="8" w:space="0" w:color="auto"/>
              <w:right w:val="nil"/>
            </w:tcBorders>
            <w:shd w:val="clear" w:color="auto" w:fill="auto"/>
            <w:noWrap/>
            <w:vAlign w:val="center"/>
            <w:hideMark/>
          </w:tcPr>
          <w:p w14:paraId="43C8137E"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98,0%</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DA0AF6C" w14:textId="77777777" w:rsidR="00A93A08" w:rsidRPr="00A93A08" w:rsidRDefault="00A93A08" w:rsidP="00A93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3A08">
              <w:rPr>
                <w:rFonts w:ascii="Arial" w:hAnsi="Arial" w:cs="Arial"/>
                <w:color w:val="000000"/>
                <w:sz w:val="18"/>
                <w:szCs w:val="18"/>
                <w:lang w:val="fr-FR" w:eastAsia="fr-FR"/>
              </w:rPr>
              <w:t>#DIV/</w:t>
            </w:r>
            <w:proofErr w:type="gramStart"/>
            <w:r w:rsidRPr="00A93A08">
              <w:rPr>
                <w:rFonts w:ascii="Arial" w:hAnsi="Arial" w:cs="Arial"/>
                <w:color w:val="000000"/>
                <w:sz w:val="18"/>
                <w:szCs w:val="18"/>
                <w:lang w:val="fr-FR" w:eastAsia="fr-FR"/>
              </w:rPr>
              <w:t>0!</w:t>
            </w:r>
            <w:proofErr w:type="gramEnd"/>
          </w:p>
        </w:tc>
      </w:tr>
    </w:tbl>
    <w:p w14:paraId="05EB6404" w14:textId="77777777" w:rsidR="00A93A08" w:rsidRDefault="00A93A08" w:rsidP="00A93A08">
      <w:pPr>
        <w:jc w:val="center"/>
        <w:rPr>
          <w:szCs w:val="22"/>
          <w:lang w:val="en-CA"/>
        </w:rPr>
      </w:pPr>
    </w:p>
    <w:p w14:paraId="38F1F883" w14:textId="358416C5" w:rsidR="00A65CA9" w:rsidRDefault="00A6219E" w:rsidP="00A65CA9">
      <w:pPr>
        <w:pStyle w:val="Heading1"/>
      </w:pPr>
      <w:r>
        <w:t>Conclusion</w:t>
      </w:r>
    </w:p>
    <w:p w14:paraId="09B43F01" w14:textId="738EFDC2" w:rsidR="00175AA8" w:rsidRDefault="00A0081C" w:rsidP="00175AA8">
      <w:r>
        <w:t>This contribution proposes 3 aspects to extend IBC/IntraTMP in ECM and better align their design.</w:t>
      </w:r>
    </w:p>
    <w:p w14:paraId="45E442A5" w14:textId="1268AA81" w:rsidR="00A0081C" w:rsidRDefault="00A0081C" w:rsidP="00A0081C">
      <w:pPr>
        <w:pStyle w:val="ListParagraph"/>
        <w:numPr>
          <w:ilvl w:val="0"/>
          <w:numId w:val="20"/>
        </w:numPr>
      </w:pPr>
      <w:r>
        <w:t>In DIMD, adaptive selection between planar and IntraTMP/IBC as the mode to be blended with an angular mode.</w:t>
      </w:r>
    </w:p>
    <w:p w14:paraId="4981DBE9" w14:textId="29448EA0" w:rsidR="00A0081C" w:rsidRDefault="00A0081C" w:rsidP="00A0081C">
      <w:pPr>
        <w:pStyle w:val="ListParagraph"/>
        <w:numPr>
          <w:ilvl w:val="0"/>
          <w:numId w:val="20"/>
        </w:numPr>
      </w:pPr>
      <w:r>
        <w:t>Allowing LIC usage in IntraTMP mode, as is already the case for IBC.</w:t>
      </w:r>
    </w:p>
    <w:p w14:paraId="6254D402" w14:textId="64FE09F2" w:rsidR="00A0081C" w:rsidRDefault="00A0081C" w:rsidP="00A0081C">
      <w:pPr>
        <w:pStyle w:val="ListParagraph"/>
        <w:numPr>
          <w:ilvl w:val="0"/>
          <w:numId w:val="20"/>
        </w:numPr>
      </w:pPr>
      <w:r>
        <w:t>In SGPM, allow block-vector-based prediction modes in addition to angular intra prediction modes.</w:t>
      </w:r>
    </w:p>
    <w:p w14:paraId="2C40A146" w14:textId="77777777" w:rsidR="00C11094" w:rsidRDefault="00C11094" w:rsidP="00C11094"/>
    <w:p w14:paraId="1560D784" w14:textId="7647E0A8" w:rsidR="00C11094" w:rsidRPr="00175AA8" w:rsidRDefault="00C11094" w:rsidP="00C11094">
      <w:r>
        <w:t>It is proposed to further study the proposed extension of block-vector based prediction modes in next round of EE2.</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4F1B" w14:textId="77777777" w:rsidR="004E0B7E" w:rsidRDefault="004E0B7E">
      <w:r>
        <w:separator/>
      </w:r>
    </w:p>
  </w:endnote>
  <w:endnote w:type="continuationSeparator" w:id="0">
    <w:p w14:paraId="0FF60C11" w14:textId="77777777" w:rsidR="004E0B7E" w:rsidRDefault="004E0B7E">
      <w:r>
        <w:continuationSeparator/>
      </w:r>
    </w:p>
  </w:endnote>
  <w:endnote w:type="continuationNotice" w:id="1">
    <w:p w14:paraId="5565CF3A" w14:textId="77777777" w:rsidR="004E0B7E" w:rsidRDefault="004E0B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F451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5DEA">
      <w:rPr>
        <w:rStyle w:val="PageNumber"/>
        <w:noProof/>
      </w:rPr>
      <w:t>2023-10-12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40C9" w14:textId="77777777" w:rsidR="004E0B7E" w:rsidRDefault="004E0B7E">
      <w:r>
        <w:separator/>
      </w:r>
    </w:p>
  </w:footnote>
  <w:footnote w:type="continuationSeparator" w:id="0">
    <w:p w14:paraId="6FB2DF35" w14:textId="77777777" w:rsidR="004E0B7E" w:rsidRDefault="004E0B7E">
      <w:r>
        <w:continuationSeparator/>
      </w:r>
    </w:p>
  </w:footnote>
  <w:footnote w:type="continuationNotice" w:id="1">
    <w:p w14:paraId="2E357977" w14:textId="77777777" w:rsidR="004E0B7E" w:rsidRDefault="004E0B7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32312"/>
    <w:multiLevelType w:val="hybridMultilevel"/>
    <w:tmpl w:val="F79E0EB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DF60FF"/>
    <w:multiLevelType w:val="hybridMultilevel"/>
    <w:tmpl w:val="FA067F42"/>
    <w:lvl w:ilvl="0" w:tplc="EBB40FC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5B12F1"/>
    <w:multiLevelType w:val="hybridMultilevel"/>
    <w:tmpl w:val="E368896A"/>
    <w:lvl w:ilvl="0" w:tplc="AC803B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D205C"/>
    <w:multiLevelType w:val="hybridMultilevel"/>
    <w:tmpl w:val="1BBC63F6"/>
    <w:lvl w:ilvl="0" w:tplc="3C3E836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6"/>
  </w:num>
  <w:num w:numId="3" w16cid:durableId="2006005728">
    <w:abstractNumId w:val="11"/>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3"/>
  </w:num>
  <w:num w:numId="13" w16cid:durableId="1594702832">
    <w:abstractNumId w:val="6"/>
  </w:num>
  <w:num w:numId="14" w16cid:durableId="1471291707">
    <w:abstractNumId w:val="14"/>
  </w:num>
  <w:num w:numId="15" w16cid:durableId="963075949">
    <w:abstractNumId w:val="15"/>
  </w:num>
  <w:num w:numId="16" w16cid:durableId="2005088746">
    <w:abstractNumId w:val="3"/>
  </w:num>
  <w:num w:numId="17" w16cid:durableId="1075711058">
    <w:abstractNumId w:val="17"/>
  </w:num>
  <w:num w:numId="18" w16cid:durableId="1296643721">
    <w:abstractNumId w:val="10"/>
  </w:num>
  <w:num w:numId="19" w16cid:durableId="1983073625">
    <w:abstractNumId w:val="18"/>
  </w:num>
  <w:num w:numId="20" w16cid:durableId="771320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23D63"/>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3BDE"/>
    <w:rsid w:val="00106FB9"/>
    <w:rsid w:val="001157C2"/>
    <w:rsid w:val="00120D56"/>
    <w:rsid w:val="00120F59"/>
    <w:rsid w:val="00124E38"/>
    <w:rsid w:val="0012580B"/>
    <w:rsid w:val="00131217"/>
    <w:rsid w:val="00131F90"/>
    <w:rsid w:val="0013458C"/>
    <w:rsid w:val="0013526E"/>
    <w:rsid w:val="00142845"/>
    <w:rsid w:val="00146152"/>
    <w:rsid w:val="00150F19"/>
    <w:rsid w:val="00155526"/>
    <w:rsid w:val="001556C6"/>
    <w:rsid w:val="00162098"/>
    <w:rsid w:val="001623C6"/>
    <w:rsid w:val="00171371"/>
    <w:rsid w:val="00175A24"/>
    <w:rsid w:val="00175AA8"/>
    <w:rsid w:val="001801E9"/>
    <w:rsid w:val="00183D6D"/>
    <w:rsid w:val="001847D2"/>
    <w:rsid w:val="00187E58"/>
    <w:rsid w:val="001924FE"/>
    <w:rsid w:val="00194C7C"/>
    <w:rsid w:val="00195D41"/>
    <w:rsid w:val="001960DD"/>
    <w:rsid w:val="001A0FD5"/>
    <w:rsid w:val="001A297E"/>
    <w:rsid w:val="001A368E"/>
    <w:rsid w:val="001A4160"/>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D5A55"/>
    <w:rsid w:val="001E0248"/>
    <w:rsid w:val="001E02BE"/>
    <w:rsid w:val="001E2D80"/>
    <w:rsid w:val="001E3B37"/>
    <w:rsid w:val="001F2594"/>
    <w:rsid w:val="001F6A5E"/>
    <w:rsid w:val="002055A6"/>
    <w:rsid w:val="00206460"/>
    <w:rsid w:val="002069B4"/>
    <w:rsid w:val="002070A8"/>
    <w:rsid w:val="002108E3"/>
    <w:rsid w:val="00215DFC"/>
    <w:rsid w:val="002212DF"/>
    <w:rsid w:val="00222CD4"/>
    <w:rsid w:val="00225016"/>
    <w:rsid w:val="002253CA"/>
    <w:rsid w:val="002264A6"/>
    <w:rsid w:val="00227BA7"/>
    <w:rsid w:val="0023011C"/>
    <w:rsid w:val="00230D1E"/>
    <w:rsid w:val="002375C1"/>
    <w:rsid w:val="0024305A"/>
    <w:rsid w:val="00245509"/>
    <w:rsid w:val="00247E1E"/>
    <w:rsid w:val="0026093C"/>
    <w:rsid w:val="00263398"/>
    <w:rsid w:val="00263B99"/>
    <w:rsid w:val="002647D8"/>
    <w:rsid w:val="00266F06"/>
    <w:rsid w:val="00270A2A"/>
    <w:rsid w:val="00273CC6"/>
    <w:rsid w:val="00275BCF"/>
    <w:rsid w:val="00275C93"/>
    <w:rsid w:val="00276C81"/>
    <w:rsid w:val="00280613"/>
    <w:rsid w:val="00285B3F"/>
    <w:rsid w:val="00286256"/>
    <w:rsid w:val="00291E36"/>
    <w:rsid w:val="00292257"/>
    <w:rsid w:val="002944F6"/>
    <w:rsid w:val="002A04B4"/>
    <w:rsid w:val="002A54E0"/>
    <w:rsid w:val="002B1595"/>
    <w:rsid w:val="002B191D"/>
    <w:rsid w:val="002B2AE2"/>
    <w:rsid w:val="002B2E5B"/>
    <w:rsid w:val="002B2E83"/>
    <w:rsid w:val="002B69DD"/>
    <w:rsid w:val="002D0AF6"/>
    <w:rsid w:val="002D29A5"/>
    <w:rsid w:val="002D5E4E"/>
    <w:rsid w:val="002E034B"/>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57BF"/>
    <w:rsid w:val="003373EC"/>
    <w:rsid w:val="00342FF4"/>
    <w:rsid w:val="00344E5A"/>
    <w:rsid w:val="00346148"/>
    <w:rsid w:val="00356635"/>
    <w:rsid w:val="00360889"/>
    <w:rsid w:val="0036196E"/>
    <w:rsid w:val="003669EA"/>
    <w:rsid w:val="003706CC"/>
    <w:rsid w:val="00373FE0"/>
    <w:rsid w:val="00373FF6"/>
    <w:rsid w:val="00377710"/>
    <w:rsid w:val="003A25F5"/>
    <w:rsid w:val="003A2D8E"/>
    <w:rsid w:val="003A7CE6"/>
    <w:rsid w:val="003C1656"/>
    <w:rsid w:val="003C20E4"/>
    <w:rsid w:val="003C66A1"/>
    <w:rsid w:val="003C66FB"/>
    <w:rsid w:val="003D417E"/>
    <w:rsid w:val="003D6342"/>
    <w:rsid w:val="003E6F90"/>
    <w:rsid w:val="003E73ED"/>
    <w:rsid w:val="003E7E48"/>
    <w:rsid w:val="003F3A50"/>
    <w:rsid w:val="003F5D0F"/>
    <w:rsid w:val="00414101"/>
    <w:rsid w:val="004219CF"/>
    <w:rsid w:val="004234F0"/>
    <w:rsid w:val="00423688"/>
    <w:rsid w:val="00427EEC"/>
    <w:rsid w:val="00433DDB"/>
    <w:rsid w:val="00435A29"/>
    <w:rsid w:val="00437619"/>
    <w:rsid w:val="00460EC8"/>
    <w:rsid w:val="00464F8A"/>
    <w:rsid w:val="00465A1E"/>
    <w:rsid w:val="004777A8"/>
    <w:rsid w:val="004806DC"/>
    <w:rsid w:val="0049445A"/>
    <w:rsid w:val="004957D9"/>
    <w:rsid w:val="004A113B"/>
    <w:rsid w:val="004A2A63"/>
    <w:rsid w:val="004A4420"/>
    <w:rsid w:val="004A5395"/>
    <w:rsid w:val="004B210C"/>
    <w:rsid w:val="004B3BCF"/>
    <w:rsid w:val="004B4A19"/>
    <w:rsid w:val="004B6170"/>
    <w:rsid w:val="004B720B"/>
    <w:rsid w:val="004C2D1B"/>
    <w:rsid w:val="004C687D"/>
    <w:rsid w:val="004D0287"/>
    <w:rsid w:val="004D0B0C"/>
    <w:rsid w:val="004D101B"/>
    <w:rsid w:val="004D405F"/>
    <w:rsid w:val="004D4A7D"/>
    <w:rsid w:val="004E0040"/>
    <w:rsid w:val="004E0B7E"/>
    <w:rsid w:val="004E1C47"/>
    <w:rsid w:val="004E3D60"/>
    <w:rsid w:val="004E4F4F"/>
    <w:rsid w:val="004E6789"/>
    <w:rsid w:val="004F4A2A"/>
    <w:rsid w:val="004F57F1"/>
    <w:rsid w:val="004F61E3"/>
    <w:rsid w:val="00502E10"/>
    <w:rsid w:val="0050354E"/>
    <w:rsid w:val="005055B4"/>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6326"/>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26F8"/>
    <w:rsid w:val="006230AE"/>
    <w:rsid w:val="00624B33"/>
    <w:rsid w:val="0063041A"/>
    <w:rsid w:val="00630AA2"/>
    <w:rsid w:val="00630CF8"/>
    <w:rsid w:val="00631D8B"/>
    <w:rsid w:val="0063317C"/>
    <w:rsid w:val="00642D0E"/>
    <w:rsid w:val="00645DEA"/>
    <w:rsid w:val="00646707"/>
    <w:rsid w:val="00657F7E"/>
    <w:rsid w:val="00660F3E"/>
    <w:rsid w:val="00662102"/>
    <w:rsid w:val="0066253C"/>
    <w:rsid w:val="00662E58"/>
    <w:rsid w:val="006637F2"/>
    <w:rsid w:val="006642A5"/>
    <w:rsid w:val="00664DCF"/>
    <w:rsid w:val="00670464"/>
    <w:rsid w:val="00671112"/>
    <w:rsid w:val="006742F4"/>
    <w:rsid w:val="00675325"/>
    <w:rsid w:val="00683168"/>
    <w:rsid w:val="0068693D"/>
    <w:rsid w:val="00686E4D"/>
    <w:rsid w:val="00687B7C"/>
    <w:rsid w:val="0069413D"/>
    <w:rsid w:val="00696B1F"/>
    <w:rsid w:val="006978CF"/>
    <w:rsid w:val="006A0E5C"/>
    <w:rsid w:val="006A48E6"/>
    <w:rsid w:val="006A5692"/>
    <w:rsid w:val="006A5E89"/>
    <w:rsid w:val="006A7104"/>
    <w:rsid w:val="006C5D39"/>
    <w:rsid w:val="006D32E2"/>
    <w:rsid w:val="006D6D9B"/>
    <w:rsid w:val="006E2810"/>
    <w:rsid w:val="006E5417"/>
    <w:rsid w:val="006E6D8C"/>
    <w:rsid w:val="006F0794"/>
    <w:rsid w:val="006F1F70"/>
    <w:rsid w:val="006F2D8E"/>
    <w:rsid w:val="006F54CA"/>
    <w:rsid w:val="006F7528"/>
    <w:rsid w:val="00701BE7"/>
    <w:rsid w:val="007023DE"/>
    <w:rsid w:val="00703B78"/>
    <w:rsid w:val="00706B9B"/>
    <w:rsid w:val="00707AED"/>
    <w:rsid w:val="00712F60"/>
    <w:rsid w:val="00720E3B"/>
    <w:rsid w:val="00733FE3"/>
    <w:rsid w:val="0074025C"/>
    <w:rsid w:val="0074393F"/>
    <w:rsid w:val="00745F6B"/>
    <w:rsid w:val="0075175B"/>
    <w:rsid w:val="0075585E"/>
    <w:rsid w:val="00762FB2"/>
    <w:rsid w:val="00765F91"/>
    <w:rsid w:val="00770571"/>
    <w:rsid w:val="007768FF"/>
    <w:rsid w:val="007824D3"/>
    <w:rsid w:val="007929D1"/>
    <w:rsid w:val="00796EE3"/>
    <w:rsid w:val="007A2D07"/>
    <w:rsid w:val="007A570C"/>
    <w:rsid w:val="007A778F"/>
    <w:rsid w:val="007A7D29"/>
    <w:rsid w:val="007B1EDE"/>
    <w:rsid w:val="007B4AB8"/>
    <w:rsid w:val="007C081C"/>
    <w:rsid w:val="007C3DD9"/>
    <w:rsid w:val="007D0859"/>
    <w:rsid w:val="007D08AA"/>
    <w:rsid w:val="007D1181"/>
    <w:rsid w:val="007D4422"/>
    <w:rsid w:val="007D45FE"/>
    <w:rsid w:val="007D6D41"/>
    <w:rsid w:val="007D79F6"/>
    <w:rsid w:val="007E01A3"/>
    <w:rsid w:val="007E2456"/>
    <w:rsid w:val="007E3E44"/>
    <w:rsid w:val="007F0BEA"/>
    <w:rsid w:val="007F1F8B"/>
    <w:rsid w:val="007F214D"/>
    <w:rsid w:val="007F6205"/>
    <w:rsid w:val="007F67A1"/>
    <w:rsid w:val="007F6AF1"/>
    <w:rsid w:val="00801A7B"/>
    <w:rsid w:val="00806D09"/>
    <w:rsid w:val="00811C05"/>
    <w:rsid w:val="00813A4F"/>
    <w:rsid w:val="008206C8"/>
    <w:rsid w:val="008277D0"/>
    <w:rsid w:val="008302CF"/>
    <w:rsid w:val="008359CA"/>
    <w:rsid w:val="0085369D"/>
    <w:rsid w:val="00853B8D"/>
    <w:rsid w:val="0086387C"/>
    <w:rsid w:val="008707A8"/>
    <w:rsid w:val="0087218B"/>
    <w:rsid w:val="00874A6C"/>
    <w:rsid w:val="008763FF"/>
    <w:rsid w:val="00876C65"/>
    <w:rsid w:val="00882F72"/>
    <w:rsid w:val="00883B80"/>
    <w:rsid w:val="008846C6"/>
    <w:rsid w:val="008860C3"/>
    <w:rsid w:val="0089390C"/>
    <w:rsid w:val="00893DC4"/>
    <w:rsid w:val="008A147E"/>
    <w:rsid w:val="008A4B4C"/>
    <w:rsid w:val="008B235D"/>
    <w:rsid w:val="008C239F"/>
    <w:rsid w:val="008D5168"/>
    <w:rsid w:val="008E480C"/>
    <w:rsid w:val="008E7053"/>
    <w:rsid w:val="008F2243"/>
    <w:rsid w:val="008F372A"/>
    <w:rsid w:val="00902501"/>
    <w:rsid w:val="0090309E"/>
    <w:rsid w:val="0090484F"/>
    <w:rsid w:val="00907757"/>
    <w:rsid w:val="009130D1"/>
    <w:rsid w:val="009134CD"/>
    <w:rsid w:val="009212B0"/>
    <w:rsid w:val="00921FA1"/>
    <w:rsid w:val="009234A5"/>
    <w:rsid w:val="0092556C"/>
    <w:rsid w:val="00926F72"/>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D0288"/>
    <w:rsid w:val="009D7A81"/>
    <w:rsid w:val="009D7CE6"/>
    <w:rsid w:val="009E448E"/>
    <w:rsid w:val="009F0626"/>
    <w:rsid w:val="009F106E"/>
    <w:rsid w:val="009F18EF"/>
    <w:rsid w:val="009F3946"/>
    <w:rsid w:val="009F496B"/>
    <w:rsid w:val="00A0081C"/>
    <w:rsid w:val="00A01439"/>
    <w:rsid w:val="00A02E61"/>
    <w:rsid w:val="00A05CFF"/>
    <w:rsid w:val="00A0658C"/>
    <w:rsid w:val="00A13048"/>
    <w:rsid w:val="00A1365C"/>
    <w:rsid w:val="00A329C9"/>
    <w:rsid w:val="00A435CD"/>
    <w:rsid w:val="00A46843"/>
    <w:rsid w:val="00A56B97"/>
    <w:rsid w:val="00A5735B"/>
    <w:rsid w:val="00A6093D"/>
    <w:rsid w:val="00A6219E"/>
    <w:rsid w:val="00A63BF1"/>
    <w:rsid w:val="00A65CA9"/>
    <w:rsid w:val="00A703CE"/>
    <w:rsid w:val="00A7191A"/>
    <w:rsid w:val="00A72017"/>
    <w:rsid w:val="00A767DC"/>
    <w:rsid w:val="00A76A6D"/>
    <w:rsid w:val="00A81B07"/>
    <w:rsid w:val="00A83253"/>
    <w:rsid w:val="00A865AB"/>
    <w:rsid w:val="00A93A08"/>
    <w:rsid w:val="00AA6E84"/>
    <w:rsid w:val="00AB1A1C"/>
    <w:rsid w:val="00AB4721"/>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71381"/>
    <w:rsid w:val="00B73A2A"/>
    <w:rsid w:val="00B74219"/>
    <w:rsid w:val="00B75A51"/>
    <w:rsid w:val="00B75AB0"/>
    <w:rsid w:val="00B77255"/>
    <w:rsid w:val="00B827C6"/>
    <w:rsid w:val="00B87845"/>
    <w:rsid w:val="00B92B8C"/>
    <w:rsid w:val="00B94B06"/>
    <w:rsid w:val="00B94C28"/>
    <w:rsid w:val="00BB3B55"/>
    <w:rsid w:val="00BB4D07"/>
    <w:rsid w:val="00BC10BA"/>
    <w:rsid w:val="00BC5AFD"/>
    <w:rsid w:val="00BD35BB"/>
    <w:rsid w:val="00BD3F0F"/>
    <w:rsid w:val="00BD5D12"/>
    <w:rsid w:val="00BD6C76"/>
    <w:rsid w:val="00BD6F60"/>
    <w:rsid w:val="00BF69D7"/>
    <w:rsid w:val="00C00598"/>
    <w:rsid w:val="00C00DDE"/>
    <w:rsid w:val="00C04F43"/>
    <w:rsid w:val="00C05271"/>
    <w:rsid w:val="00C0609D"/>
    <w:rsid w:val="00C11094"/>
    <w:rsid w:val="00C115AB"/>
    <w:rsid w:val="00C21F44"/>
    <w:rsid w:val="00C257C2"/>
    <w:rsid w:val="00C26CCB"/>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65B"/>
    <w:rsid w:val="00CC4D4C"/>
    <w:rsid w:val="00CC5A42"/>
    <w:rsid w:val="00CC7797"/>
    <w:rsid w:val="00CD0CFD"/>
    <w:rsid w:val="00CD0EAB"/>
    <w:rsid w:val="00CE3346"/>
    <w:rsid w:val="00CE5E02"/>
    <w:rsid w:val="00CE7590"/>
    <w:rsid w:val="00CF34DB"/>
    <w:rsid w:val="00CF3917"/>
    <w:rsid w:val="00CF5374"/>
    <w:rsid w:val="00CF558F"/>
    <w:rsid w:val="00D010C0"/>
    <w:rsid w:val="00D06976"/>
    <w:rsid w:val="00D06B8B"/>
    <w:rsid w:val="00D073E2"/>
    <w:rsid w:val="00D1555A"/>
    <w:rsid w:val="00D33DAE"/>
    <w:rsid w:val="00D446EC"/>
    <w:rsid w:val="00D51BF0"/>
    <w:rsid w:val="00D531DB"/>
    <w:rsid w:val="00D5445B"/>
    <w:rsid w:val="00D55942"/>
    <w:rsid w:val="00D65FB8"/>
    <w:rsid w:val="00D74B61"/>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761"/>
    <w:rsid w:val="00DC6C44"/>
    <w:rsid w:val="00DD02F4"/>
    <w:rsid w:val="00DD220E"/>
    <w:rsid w:val="00DD6622"/>
    <w:rsid w:val="00DE1693"/>
    <w:rsid w:val="00DE1C7C"/>
    <w:rsid w:val="00DE6B43"/>
    <w:rsid w:val="00DF47E4"/>
    <w:rsid w:val="00E00332"/>
    <w:rsid w:val="00E041C6"/>
    <w:rsid w:val="00E11923"/>
    <w:rsid w:val="00E207D8"/>
    <w:rsid w:val="00E21F74"/>
    <w:rsid w:val="00E262D4"/>
    <w:rsid w:val="00E31B32"/>
    <w:rsid w:val="00E35DFE"/>
    <w:rsid w:val="00E36250"/>
    <w:rsid w:val="00E4724E"/>
    <w:rsid w:val="00E47F2D"/>
    <w:rsid w:val="00E54051"/>
    <w:rsid w:val="00E54511"/>
    <w:rsid w:val="00E5550A"/>
    <w:rsid w:val="00E55C68"/>
    <w:rsid w:val="00E57239"/>
    <w:rsid w:val="00E60EDC"/>
    <w:rsid w:val="00E61CB4"/>
    <w:rsid w:val="00E61DAC"/>
    <w:rsid w:val="00E7086B"/>
    <w:rsid w:val="00E72B80"/>
    <w:rsid w:val="00E75FE3"/>
    <w:rsid w:val="00E818FC"/>
    <w:rsid w:val="00E81FBE"/>
    <w:rsid w:val="00E841D9"/>
    <w:rsid w:val="00E8654F"/>
    <w:rsid w:val="00E86C4C"/>
    <w:rsid w:val="00E907A3"/>
    <w:rsid w:val="00E95FAF"/>
    <w:rsid w:val="00E97F76"/>
    <w:rsid w:val="00EA1966"/>
    <w:rsid w:val="00EA39E0"/>
    <w:rsid w:val="00EA5AE0"/>
    <w:rsid w:val="00EB56E1"/>
    <w:rsid w:val="00EB7AB1"/>
    <w:rsid w:val="00EC32BD"/>
    <w:rsid w:val="00ED1C8D"/>
    <w:rsid w:val="00ED536F"/>
    <w:rsid w:val="00EE7CD8"/>
    <w:rsid w:val="00EF0F3F"/>
    <w:rsid w:val="00EF37F6"/>
    <w:rsid w:val="00EF48CC"/>
    <w:rsid w:val="00F00801"/>
    <w:rsid w:val="00F030A5"/>
    <w:rsid w:val="00F1059C"/>
    <w:rsid w:val="00F1064D"/>
    <w:rsid w:val="00F2488D"/>
    <w:rsid w:val="00F251CF"/>
    <w:rsid w:val="00F27DF0"/>
    <w:rsid w:val="00F360A5"/>
    <w:rsid w:val="00F36633"/>
    <w:rsid w:val="00F555E9"/>
    <w:rsid w:val="00F57972"/>
    <w:rsid w:val="00F60010"/>
    <w:rsid w:val="00F601A0"/>
    <w:rsid w:val="00F6368B"/>
    <w:rsid w:val="00F712E9"/>
    <w:rsid w:val="00F73032"/>
    <w:rsid w:val="00F848FC"/>
    <w:rsid w:val="00F8545D"/>
    <w:rsid w:val="00F906F6"/>
    <w:rsid w:val="00F9192C"/>
    <w:rsid w:val="00F9282A"/>
    <w:rsid w:val="00F942B7"/>
    <w:rsid w:val="00F95EF4"/>
    <w:rsid w:val="00F96BAD"/>
    <w:rsid w:val="00FA139D"/>
    <w:rsid w:val="00FA1E83"/>
    <w:rsid w:val="00FA50FA"/>
    <w:rsid w:val="00FA56CF"/>
    <w:rsid w:val="00FA60F5"/>
    <w:rsid w:val="00FB0E84"/>
    <w:rsid w:val="00FC2405"/>
    <w:rsid w:val="00FD01C2"/>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 w:type="paragraph" w:styleId="CommentSubject">
    <w:name w:val="annotation subject"/>
    <w:basedOn w:val="CommentText"/>
    <w:next w:val="CommentText"/>
    <w:link w:val="CommentSubjectChar"/>
    <w:semiHidden/>
    <w:unhideWhenUsed/>
    <w:rsid w:val="00630CF8"/>
    <w:rPr>
      <w:b/>
      <w:bCs/>
    </w:rPr>
  </w:style>
  <w:style w:type="character" w:customStyle="1" w:styleId="CommentSubjectChar">
    <w:name w:val="Comment Subject Char"/>
    <w:basedOn w:val="CommentTextChar"/>
    <w:link w:val="CommentSubject"/>
    <w:semiHidden/>
    <w:rsid w:val="00630C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8482">
      <w:bodyDiv w:val="1"/>
      <w:marLeft w:val="0"/>
      <w:marRight w:val="0"/>
      <w:marTop w:val="0"/>
      <w:marBottom w:val="0"/>
      <w:divBdr>
        <w:top w:val="none" w:sz="0" w:space="0" w:color="auto"/>
        <w:left w:val="none" w:sz="0" w:space="0" w:color="auto"/>
        <w:bottom w:val="none" w:sz="0" w:space="0" w:color="auto"/>
        <w:right w:val="none" w:sz="0" w:space="0" w:color="auto"/>
      </w:divBdr>
    </w:div>
    <w:div w:id="420954481">
      <w:bodyDiv w:val="1"/>
      <w:marLeft w:val="0"/>
      <w:marRight w:val="0"/>
      <w:marTop w:val="0"/>
      <w:marBottom w:val="0"/>
      <w:divBdr>
        <w:top w:val="none" w:sz="0" w:space="0" w:color="auto"/>
        <w:left w:val="none" w:sz="0" w:space="0" w:color="auto"/>
        <w:bottom w:val="none" w:sz="0" w:space="0" w:color="auto"/>
        <w:right w:val="none" w:sz="0" w:space="0" w:color="auto"/>
      </w:divBdr>
    </w:div>
    <w:div w:id="425005308">
      <w:bodyDiv w:val="1"/>
      <w:marLeft w:val="0"/>
      <w:marRight w:val="0"/>
      <w:marTop w:val="0"/>
      <w:marBottom w:val="0"/>
      <w:divBdr>
        <w:top w:val="none" w:sz="0" w:space="0" w:color="auto"/>
        <w:left w:val="none" w:sz="0" w:space="0" w:color="auto"/>
        <w:bottom w:val="none" w:sz="0" w:space="0" w:color="auto"/>
        <w:right w:val="none" w:sz="0" w:space="0" w:color="auto"/>
      </w:divBdr>
    </w:div>
    <w:div w:id="431054638">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315335996">
      <w:bodyDiv w:val="1"/>
      <w:marLeft w:val="0"/>
      <w:marRight w:val="0"/>
      <w:marTop w:val="0"/>
      <w:marBottom w:val="0"/>
      <w:divBdr>
        <w:top w:val="none" w:sz="0" w:space="0" w:color="auto"/>
        <w:left w:val="none" w:sz="0" w:space="0" w:color="auto"/>
        <w:bottom w:val="none" w:sz="0" w:space="0" w:color="auto"/>
        <w:right w:val="none" w:sz="0" w:space="0" w:color="auto"/>
      </w:divBdr>
    </w:div>
    <w:div w:id="1328628034">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509177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0852">
      <w:bodyDiv w:val="1"/>
      <w:marLeft w:val="0"/>
      <w:marRight w:val="0"/>
      <w:marTop w:val="0"/>
      <w:marBottom w:val="0"/>
      <w:divBdr>
        <w:top w:val="none" w:sz="0" w:space="0" w:color="auto"/>
        <w:left w:val="none" w:sz="0" w:space="0" w:color="auto"/>
        <w:bottom w:val="none" w:sz="0" w:space="0" w:color="auto"/>
        <w:right w:val="none" w:sz="0" w:space="0" w:color="auto"/>
      </w:divBdr>
    </w:div>
    <w:div w:id="1739549401">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 w:id="2030253106">
      <w:bodyDiv w:val="1"/>
      <w:marLeft w:val="0"/>
      <w:marRight w:val="0"/>
      <w:marTop w:val="0"/>
      <w:marBottom w:val="0"/>
      <w:divBdr>
        <w:top w:val="none" w:sz="0" w:space="0" w:color="auto"/>
        <w:left w:val="none" w:sz="0" w:space="0" w:color="auto"/>
        <w:bottom w:val="none" w:sz="0" w:space="0" w:color="auto"/>
        <w:right w:val="none" w:sz="0" w:space="0" w:color="auto"/>
      </w:divBdr>
      <w:divsChild>
        <w:div w:id="1281183302">
          <w:marLeft w:val="0"/>
          <w:marRight w:val="0"/>
          <w:marTop w:val="0"/>
          <w:marBottom w:val="0"/>
          <w:divBdr>
            <w:top w:val="none" w:sz="0" w:space="0" w:color="auto"/>
            <w:left w:val="none" w:sz="0" w:space="0" w:color="auto"/>
            <w:bottom w:val="none" w:sz="0" w:space="0" w:color="auto"/>
            <w:right w:val="none" w:sz="0" w:space="0" w:color="auto"/>
          </w:divBdr>
        </w:div>
        <w:div w:id="1972248057">
          <w:marLeft w:val="0"/>
          <w:marRight w:val="0"/>
          <w:marTop w:val="0"/>
          <w:marBottom w:val="0"/>
          <w:divBdr>
            <w:top w:val="none" w:sz="0" w:space="0" w:color="auto"/>
            <w:left w:val="none" w:sz="0" w:space="0" w:color="auto"/>
            <w:bottom w:val="none" w:sz="0" w:space="0" w:color="auto"/>
            <w:right w:val="none" w:sz="0" w:space="0" w:color="auto"/>
          </w:divBdr>
        </w:div>
        <w:div w:id="2090232044">
          <w:marLeft w:val="0"/>
          <w:marRight w:val="0"/>
          <w:marTop w:val="0"/>
          <w:marBottom w:val="0"/>
          <w:divBdr>
            <w:top w:val="none" w:sz="0" w:space="0" w:color="auto"/>
            <w:left w:val="none" w:sz="0" w:space="0" w:color="auto"/>
            <w:bottom w:val="none" w:sz="0" w:space="0" w:color="auto"/>
            <w:right w:val="none" w:sz="0" w:space="0" w:color="auto"/>
          </w:divBdr>
        </w:div>
        <w:div w:id="1436435423">
          <w:marLeft w:val="0"/>
          <w:marRight w:val="0"/>
          <w:marTop w:val="0"/>
          <w:marBottom w:val="0"/>
          <w:divBdr>
            <w:top w:val="none" w:sz="0" w:space="0" w:color="auto"/>
            <w:left w:val="none" w:sz="0" w:space="0" w:color="auto"/>
            <w:bottom w:val="none" w:sz="0" w:space="0" w:color="auto"/>
            <w:right w:val="none" w:sz="0" w:space="0" w:color="auto"/>
          </w:divBdr>
        </w:div>
        <w:div w:id="1362512729">
          <w:marLeft w:val="0"/>
          <w:marRight w:val="0"/>
          <w:marTop w:val="0"/>
          <w:marBottom w:val="0"/>
          <w:divBdr>
            <w:top w:val="none" w:sz="0" w:space="0" w:color="auto"/>
            <w:left w:val="none" w:sz="0" w:space="0" w:color="auto"/>
            <w:bottom w:val="none" w:sz="0" w:space="0" w:color="auto"/>
            <w:right w:val="none" w:sz="0" w:space="0" w:color="auto"/>
          </w:divBdr>
        </w:div>
        <w:div w:id="855117190">
          <w:marLeft w:val="0"/>
          <w:marRight w:val="0"/>
          <w:marTop w:val="0"/>
          <w:marBottom w:val="0"/>
          <w:divBdr>
            <w:top w:val="none" w:sz="0" w:space="0" w:color="auto"/>
            <w:left w:val="none" w:sz="0" w:space="0" w:color="auto"/>
            <w:bottom w:val="none" w:sz="0" w:space="0" w:color="auto"/>
            <w:right w:val="none" w:sz="0" w:space="0" w:color="auto"/>
          </w:divBdr>
        </w:div>
        <w:div w:id="1201822067">
          <w:marLeft w:val="0"/>
          <w:marRight w:val="0"/>
          <w:marTop w:val="0"/>
          <w:marBottom w:val="0"/>
          <w:divBdr>
            <w:top w:val="none" w:sz="0" w:space="0" w:color="auto"/>
            <w:left w:val="none" w:sz="0" w:space="0" w:color="auto"/>
            <w:bottom w:val="none" w:sz="0" w:space="0" w:color="auto"/>
            <w:right w:val="none" w:sz="0" w:space="0" w:color="auto"/>
          </w:divBdr>
        </w:div>
        <w:div w:id="874926581">
          <w:marLeft w:val="0"/>
          <w:marRight w:val="0"/>
          <w:marTop w:val="0"/>
          <w:marBottom w:val="0"/>
          <w:divBdr>
            <w:top w:val="none" w:sz="0" w:space="0" w:color="auto"/>
            <w:left w:val="none" w:sz="0" w:space="0" w:color="auto"/>
            <w:bottom w:val="none" w:sz="0" w:space="0" w:color="auto"/>
            <w:right w:val="none" w:sz="0" w:space="0" w:color="auto"/>
          </w:divBdr>
        </w:div>
        <w:div w:id="899286580">
          <w:marLeft w:val="0"/>
          <w:marRight w:val="0"/>
          <w:marTop w:val="0"/>
          <w:marBottom w:val="0"/>
          <w:divBdr>
            <w:top w:val="none" w:sz="0" w:space="0" w:color="auto"/>
            <w:left w:val="none" w:sz="0" w:space="0" w:color="auto"/>
            <w:bottom w:val="none" w:sz="0" w:space="0" w:color="auto"/>
            <w:right w:val="none" w:sz="0" w:space="0" w:color="auto"/>
          </w:divBdr>
        </w:div>
        <w:div w:id="2013792970">
          <w:marLeft w:val="0"/>
          <w:marRight w:val="0"/>
          <w:marTop w:val="0"/>
          <w:marBottom w:val="0"/>
          <w:divBdr>
            <w:top w:val="none" w:sz="0" w:space="0" w:color="auto"/>
            <w:left w:val="none" w:sz="0" w:space="0" w:color="auto"/>
            <w:bottom w:val="none" w:sz="0" w:space="0" w:color="auto"/>
            <w:right w:val="none" w:sz="0" w:space="0" w:color="auto"/>
          </w:divBdr>
        </w:div>
        <w:div w:id="1990212228">
          <w:marLeft w:val="0"/>
          <w:marRight w:val="0"/>
          <w:marTop w:val="0"/>
          <w:marBottom w:val="0"/>
          <w:divBdr>
            <w:top w:val="none" w:sz="0" w:space="0" w:color="auto"/>
            <w:left w:val="none" w:sz="0" w:space="0" w:color="auto"/>
            <w:bottom w:val="none" w:sz="0" w:space="0" w:color="auto"/>
            <w:right w:val="none" w:sz="0" w:space="0" w:color="auto"/>
          </w:divBdr>
        </w:div>
        <w:div w:id="2018995216">
          <w:marLeft w:val="0"/>
          <w:marRight w:val="0"/>
          <w:marTop w:val="0"/>
          <w:marBottom w:val="0"/>
          <w:divBdr>
            <w:top w:val="none" w:sz="0" w:space="0" w:color="auto"/>
            <w:left w:val="none" w:sz="0" w:space="0" w:color="auto"/>
            <w:bottom w:val="none" w:sz="0" w:space="0" w:color="auto"/>
            <w:right w:val="none" w:sz="0" w:space="0" w:color="auto"/>
          </w:divBdr>
        </w:div>
      </w:divsChild>
    </w:div>
    <w:div w:id="21110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eannec@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2.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3.xml><?xml version="1.0" encoding="utf-8"?>
<ds:datastoreItem xmlns:ds="http://schemas.openxmlformats.org/officeDocument/2006/customXml" ds:itemID="{392EC05A-1B61-4768-9F07-753381768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866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38</cp:revision>
  <cp:lastPrinted>1900-01-02T02:00:00Z</cp:lastPrinted>
  <dcterms:created xsi:type="dcterms:W3CDTF">2023-10-12T12:36:00Z</dcterms:created>
  <dcterms:modified xsi:type="dcterms:W3CDTF">2023-10-12T16:48:00Z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