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EB69D" w14:textId="77777777" w:rsidR="00E7563C" w:rsidRDefault="00E7563C"/>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936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C88E5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DB7939" w:rsidRPr="00DB7939">
              <w:rPr>
                <w:lang w:val="en-CA"/>
              </w:rPr>
              <w:t>0229</w:t>
            </w:r>
            <w:r w:rsidR="006A0E5C" w:rsidRPr="006A0E5C">
              <w:rPr>
                <w:lang w:val="en-CA"/>
              </w:rPr>
              <w:t>-v</w:t>
            </w:r>
            <w:r w:rsidR="00DB7939" w:rsidRPr="00DB793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E685E6" w:rsidR="00E61DAC" w:rsidRPr="005B217D" w:rsidRDefault="00E7563C" w:rsidP="00E7563C">
            <w:pPr>
              <w:spacing w:before="60" w:after="60"/>
              <w:rPr>
                <w:b/>
                <w:szCs w:val="22"/>
                <w:lang w:val="en-CA"/>
              </w:rPr>
            </w:pPr>
            <w:r>
              <w:rPr>
                <w:b/>
                <w:szCs w:val="22"/>
                <w:lang w:val="en-CA"/>
              </w:rPr>
              <w:t>Crosscheck of JVET-AE0112(</w:t>
            </w:r>
            <w:r w:rsidRPr="00E7563C">
              <w:rPr>
                <w:b/>
                <w:szCs w:val="22"/>
                <w:lang w:val="en-CA"/>
              </w:rPr>
              <w:t>EE1-5.1: Deep Reference Frame Generation for Inter Prediction Enhancement</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A42435" w:rsidR="00E61DAC" w:rsidRPr="005B217D" w:rsidRDefault="0013458C" w:rsidP="00E7563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3BB1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5D4153" w:rsidR="00E61DAC" w:rsidRPr="005B217D" w:rsidRDefault="00E7563C" w:rsidP="00E7563C">
            <w:pPr>
              <w:spacing w:before="60" w:after="60"/>
              <w:rPr>
                <w:szCs w:val="22"/>
                <w:lang w:val="en-CA"/>
              </w:rPr>
            </w:pPr>
            <w:r>
              <w:rPr>
                <w:szCs w:val="22"/>
                <w:lang w:val="en-CA"/>
              </w:rPr>
              <w:t>Zhihuang Xie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9D63730" w:rsidR="00E61DAC" w:rsidRPr="005B217D" w:rsidRDefault="00E61DAC" w:rsidP="00E7563C">
            <w:pPr>
              <w:spacing w:before="60" w:after="60"/>
              <w:rPr>
                <w:szCs w:val="22"/>
                <w:lang w:val="en-CA"/>
              </w:rPr>
            </w:pPr>
            <w:r w:rsidRPr="005B217D">
              <w:rPr>
                <w:szCs w:val="22"/>
                <w:lang w:val="en-CA"/>
              </w:rPr>
              <w:br/>
            </w:r>
            <w:r w:rsidRPr="005B217D">
              <w:rPr>
                <w:szCs w:val="22"/>
                <w:lang w:val="en-CA"/>
              </w:rPr>
              <w:br/>
            </w:r>
            <w:r w:rsidR="00E7563C">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ED59A5" w:rsidR="00E61DAC" w:rsidRPr="005B217D" w:rsidRDefault="00E7563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3EAFC202" w14:textId="75C1FEDD" w:rsidR="00E7563C" w:rsidRDefault="00E7563C" w:rsidP="009234A5">
      <w:pPr>
        <w:rPr>
          <w:szCs w:val="22"/>
          <w:lang w:val="en-CA" w:eastAsia="zh-CN"/>
        </w:rPr>
      </w:pPr>
      <w:r>
        <w:rPr>
          <w:szCs w:val="22"/>
          <w:lang w:val="en-CA"/>
        </w:rPr>
        <w:t>T</w:t>
      </w:r>
      <w:r>
        <w:rPr>
          <w:rFonts w:hint="eastAsia"/>
          <w:szCs w:val="22"/>
          <w:lang w:val="en-CA" w:eastAsia="zh-CN"/>
        </w:rPr>
        <w:t>his</w:t>
      </w:r>
      <w:r>
        <w:rPr>
          <w:szCs w:val="22"/>
          <w:lang w:val="en-CA" w:eastAsia="zh-CN"/>
        </w:rPr>
        <w:t xml:space="preserve"> contribution reports the cross-check results of JVET-AE0112, which is also known as EE1-5.1. In EE1-5.1, a simplified network architecture is studied for inter prediction to get a better trade-off between complexity and performance. Both training and inference are conducted in this crosscheck. </w:t>
      </w:r>
    </w:p>
    <w:p w14:paraId="723883F2" w14:textId="23655BCD" w:rsidR="00263398" w:rsidRPr="005B217D" w:rsidRDefault="00E7563C" w:rsidP="009234A5">
      <w:pPr>
        <w:rPr>
          <w:szCs w:val="22"/>
          <w:lang w:val="en-CA"/>
        </w:rPr>
      </w:pPr>
      <w:r>
        <w:rPr>
          <w:szCs w:val="22"/>
          <w:lang w:val="en-CA" w:eastAsia="zh-CN"/>
        </w:rPr>
        <w:t>From the observation of the completed results, the performance difference between proponent’s model and crosschecker’s model is ~0.2% for random access. It is asserted that the performance gap is small.</w:t>
      </w:r>
    </w:p>
    <w:p w14:paraId="7D2AC1F0" w14:textId="6955D18A" w:rsidR="00745F6B" w:rsidRPr="005B217D" w:rsidRDefault="00E7563C" w:rsidP="00E11923">
      <w:pPr>
        <w:pStyle w:val="1"/>
        <w:rPr>
          <w:lang w:val="en-CA"/>
        </w:rPr>
      </w:pPr>
      <w:r>
        <w:rPr>
          <w:lang w:val="en-CA"/>
        </w:rPr>
        <w:t>Introduction</w:t>
      </w:r>
    </w:p>
    <w:p w14:paraId="3259049D" w14:textId="77777777" w:rsidR="00E7563C" w:rsidRDefault="00E7563C" w:rsidP="00E7563C">
      <w:pPr>
        <w:jc w:val="center"/>
        <w:rPr>
          <w:lang w:val="en-CA" w:eastAsia="zh-CN"/>
        </w:rPr>
      </w:pPr>
      <w:r>
        <w:rPr>
          <w:noProof/>
          <w:lang w:eastAsia="zh-CN"/>
        </w:rPr>
        <w:drawing>
          <wp:inline distT="0" distB="0" distL="0" distR="0" wp14:anchorId="65DC26F0" wp14:editId="49CEB0DC">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9"/>
                    <a:stretch>
                      <a:fillRect/>
                    </a:stretch>
                  </pic:blipFill>
                  <pic:spPr>
                    <a:xfrm>
                      <a:off x="0" y="0"/>
                      <a:ext cx="5940000" cy="2566385"/>
                    </a:xfrm>
                    <a:prstGeom prst="rect">
                      <a:avLst/>
                    </a:prstGeom>
                  </pic:spPr>
                </pic:pic>
              </a:graphicData>
            </a:graphic>
          </wp:inline>
        </w:drawing>
      </w:r>
    </w:p>
    <w:p w14:paraId="1C12BC13" w14:textId="77777777" w:rsidR="00E7563C" w:rsidRDefault="00E7563C" w:rsidP="00E7563C">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15C5F1DB" w14:textId="3B690280" w:rsidR="00E7563C" w:rsidRDefault="00E7563C" w:rsidP="00E7563C">
      <w:pPr>
        <w:rPr>
          <w:lang w:val="en-CA" w:eastAsia="zh-CN"/>
        </w:rPr>
      </w:pPr>
      <w:r>
        <w:rPr>
          <w:lang w:val="en-CA" w:eastAsia="zh-CN"/>
        </w:rPr>
        <w:t>The framework of the EE1-5.1 is depicted in Figure 1. Two reconstructed frames chosen from the DPB are input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5878EE40" w14:textId="60E89CA7" w:rsidR="00E7563C" w:rsidRPr="00E7563C" w:rsidRDefault="00E7563C" w:rsidP="00E7563C">
      <w:pPr>
        <w:pStyle w:val="1"/>
        <w:rPr>
          <w:lang w:val="en-CA"/>
        </w:rPr>
      </w:pPr>
      <w:r>
        <w:rPr>
          <w:rFonts w:hint="eastAsia"/>
          <w:lang w:val="en-CA" w:eastAsia="zh-CN"/>
        </w:rPr>
        <w:lastRenderedPageBreak/>
        <w:t>C</w:t>
      </w:r>
      <w:r>
        <w:rPr>
          <w:lang w:val="en-CA" w:eastAsia="zh-CN"/>
        </w:rPr>
        <w:t>rosscheck status</w:t>
      </w:r>
    </w:p>
    <w:p w14:paraId="6C5F0B19" w14:textId="721201A4" w:rsidR="00E61DAC" w:rsidRDefault="00E7563C" w:rsidP="00E7563C">
      <w:pPr>
        <w:pStyle w:val="2"/>
        <w:rPr>
          <w:lang w:val="en-CA" w:eastAsia="zh-CN"/>
        </w:rPr>
      </w:pPr>
      <w:r>
        <w:rPr>
          <w:rFonts w:hint="eastAsia"/>
          <w:lang w:val="en-CA" w:eastAsia="zh-CN"/>
        </w:rPr>
        <w:t>T</w:t>
      </w:r>
      <w:r>
        <w:rPr>
          <w:lang w:val="en-CA" w:eastAsia="zh-CN"/>
        </w:rPr>
        <w:t>raining crosscheck</w:t>
      </w:r>
    </w:p>
    <w:p w14:paraId="4B126291" w14:textId="5F881841" w:rsidR="00B808BC" w:rsidRDefault="00E7563C" w:rsidP="00E7563C">
      <w:pPr>
        <w:rPr>
          <w:lang w:val="en-CA" w:eastAsia="zh-CN"/>
        </w:rPr>
      </w:pPr>
      <w:r>
        <w:rPr>
          <w:rFonts w:hint="eastAsia"/>
          <w:lang w:val="en-CA" w:eastAsia="zh-CN"/>
        </w:rPr>
        <w:t>A</w:t>
      </w:r>
      <w:r>
        <w:rPr>
          <w:lang w:val="en-CA" w:eastAsia="zh-CN"/>
        </w:rPr>
        <w:t>s required by</w:t>
      </w:r>
      <w:r w:rsidR="00795D68">
        <w:rPr>
          <w:lang w:val="en-CA" w:eastAsia="zh-CN"/>
        </w:rPr>
        <w:t xml:space="preserve"> the</w:t>
      </w:r>
      <w:r>
        <w:rPr>
          <w:lang w:val="en-CA" w:eastAsia="zh-CN"/>
        </w:rPr>
        <w:t xml:space="preserve"> proponent</w:t>
      </w:r>
      <w:r w:rsidR="00795D68">
        <w:rPr>
          <w:lang w:val="en-CA" w:eastAsia="zh-CN"/>
        </w:rPr>
        <w:t xml:space="preserve"> of JVET-AE0112</w:t>
      </w:r>
      <w:r w:rsidR="00795D68" w:rsidRPr="00795D68">
        <w:rPr>
          <w:vertAlign w:val="superscript"/>
          <w:lang w:val="en-CA" w:eastAsia="zh-CN"/>
        </w:rPr>
        <w:t>[1]</w:t>
      </w:r>
      <w:r>
        <w:rPr>
          <w:lang w:val="en-CA" w:eastAsia="zh-CN"/>
        </w:rPr>
        <w:t xml:space="preserve">, the training crosscheck was conducted during this meeting cycle. </w:t>
      </w:r>
      <w:r w:rsidR="00B808BC">
        <w:rPr>
          <w:lang w:val="en-CA" w:eastAsia="zh-CN"/>
        </w:rPr>
        <w:t xml:space="preserve">All training scripts were provided by proponents of EE1-5.1. The crosschecker tried the best to match the training environment as same as the proponent’s. </w:t>
      </w:r>
      <w:r w:rsidR="00B808BC">
        <w:rPr>
          <w:rFonts w:hint="eastAsia"/>
          <w:lang w:val="en-CA" w:eastAsia="zh-CN"/>
        </w:rPr>
        <w:t>P</w:t>
      </w:r>
      <w:r w:rsidR="00B808BC">
        <w:rPr>
          <w:lang w:val="en-CA" w:eastAsia="zh-CN"/>
        </w:rPr>
        <w:t>ython3.7 and pytorch1.9 were also required.</w:t>
      </w:r>
    </w:p>
    <w:p w14:paraId="284092A5" w14:textId="77F451B6" w:rsidR="00B808BC" w:rsidRDefault="00B808BC" w:rsidP="00E7563C">
      <w:pPr>
        <w:rPr>
          <w:lang w:val="en-CA" w:eastAsia="zh-CN"/>
        </w:rPr>
      </w:pPr>
      <w:r>
        <w:rPr>
          <w:lang w:val="en-CA" w:eastAsia="zh-CN"/>
        </w:rPr>
        <w:t>Vimeo dataset</w:t>
      </w:r>
      <w:r w:rsidR="00795D68" w:rsidRPr="00795D68">
        <w:rPr>
          <w:vertAlign w:val="superscript"/>
          <w:lang w:val="en-CA" w:eastAsia="zh-CN"/>
        </w:rPr>
        <w:t>[2]</w:t>
      </w:r>
      <w:r>
        <w:rPr>
          <w:lang w:val="en-CA" w:eastAsia="zh-CN"/>
        </w:rPr>
        <w:t xml:space="preserve"> was converted to YUV files then encoded by pure VTM anchor to generate the training dataset.</w:t>
      </w:r>
    </w:p>
    <w:p w14:paraId="6BA543E9" w14:textId="413E1C04" w:rsidR="00B808BC" w:rsidRDefault="00B808BC" w:rsidP="00E7563C">
      <w:pPr>
        <w:rPr>
          <w:lang w:val="en-CA" w:eastAsia="zh-CN"/>
        </w:rPr>
      </w:pPr>
      <w:r>
        <w:rPr>
          <w:lang w:val="en-CA" w:eastAsia="zh-CN"/>
        </w:rPr>
        <w:t>The whole training process took almost 4 days to finish 200 epoch on a V100.</w:t>
      </w:r>
    </w:p>
    <w:p w14:paraId="06C5A0A5" w14:textId="3BF0EFA4" w:rsidR="00B808BC" w:rsidRDefault="00B808BC" w:rsidP="00E7563C">
      <w:pPr>
        <w:rPr>
          <w:lang w:val="en-CA" w:eastAsia="zh-CN"/>
        </w:rPr>
      </w:pPr>
      <w:r>
        <w:rPr>
          <w:lang w:val="en-CA" w:eastAsia="zh-CN"/>
        </w:rPr>
        <w:t>The best performance in validation dataset was chosen to be the final model to conduct inference.</w:t>
      </w:r>
    </w:p>
    <w:p w14:paraId="252637E1" w14:textId="58C07180" w:rsidR="00B808BC" w:rsidRDefault="00B808BC" w:rsidP="00B808BC">
      <w:pPr>
        <w:pStyle w:val="2"/>
        <w:rPr>
          <w:lang w:val="en-CA" w:eastAsia="zh-CN"/>
        </w:rPr>
      </w:pPr>
      <w:r>
        <w:rPr>
          <w:rFonts w:hint="eastAsia"/>
          <w:lang w:val="en-CA" w:eastAsia="zh-CN"/>
        </w:rPr>
        <w:t>I</w:t>
      </w:r>
      <w:r>
        <w:rPr>
          <w:lang w:val="en-CA" w:eastAsia="zh-CN"/>
        </w:rPr>
        <w:t>nference crosscheck</w:t>
      </w:r>
    </w:p>
    <w:p w14:paraId="69CF2E37" w14:textId="53B34392" w:rsidR="00B808BC" w:rsidRDefault="007E4B7E" w:rsidP="00B808BC">
      <w:pPr>
        <w:rPr>
          <w:lang w:val="en-CA" w:eastAsia="zh-CN"/>
        </w:rPr>
      </w:pPr>
      <w:r>
        <w:rPr>
          <w:lang w:val="en-CA" w:eastAsia="zh-CN"/>
        </w:rPr>
        <w:t>The proposed method was implemented on top of NNVC-5.0, and model was converted to floating sadl.</w:t>
      </w:r>
    </w:p>
    <w:p w14:paraId="2DE07C6B" w14:textId="094E2ABB" w:rsidR="007E4B7E" w:rsidRDefault="007E4B7E" w:rsidP="007E4B7E">
      <w:pPr>
        <w:pStyle w:val="1"/>
        <w:rPr>
          <w:lang w:val="en-CA" w:eastAsia="zh-CN"/>
        </w:rPr>
      </w:pPr>
      <w:r>
        <w:rPr>
          <w:rFonts w:hint="eastAsia"/>
          <w:lang w:val="en-CA" w:eastAsia="zh-CN"/>
        </w:rPr>
        <w:t>S</w:t>
      </w:r>
      <w:r>
        <w:rPr>
          <w:lang w:val="en-CA" w:eastAsia="zh-CN"/>
        </w:rPr>
        <w:t>imulation results</w:t>
      </w:r>
    </w:p>
    <w:p w14:paraId="16C9EE26" w14:textId="05050356" w:rsidR="007E4B7E" w:rsidRDefault="007E4B7E" w:rsidP="007E4B7E">
      <w:pPr>
        <w:tabs>
          <w:tab w:val="clear" w:pos="360"/>
          <w:tab w:val="left" w:pos="40"/>
        </w:tabs>
        <w:rPr>
          <w:lang w:val="en-CA" w:eastAsia="zh-CN"/>
        </w:rPr>
      </w:pPr>
      <w:r>
        <w:rPr>
          <w:lang w:val="en-CA" w:eastAsia="zh-CN"/>
        </w:rPr>
        <w:tab/>
        <w:t>The simulation was conducted under common test condition</w:t>
      </w:r>
      <w:r w:rsidR="00795D68" w:rsidRPr="00795D68">
        <w:rPr>
          <w:vertAlign w:val="superscript"/>
          <w:lang w:val="en-CA" w:eastAsia="zh-CN"/>
        </w:rPr>
        <w:t>[3]</w:t>
      </w:r>
      <w:r>
        <w:rPr>
          <w:lang w:val="en-CA" w:eastAsia="zh-CN"/>
        </w:rPr>
        <w:t xml:space="preserve">, but only neural network based inter prediction was enabled. </w:t>
      </w:r>
    </w:p>
    <w:tbl>
      <w:tblPr>
        <w:tblW w:w="9540" w:type="dxa"/>
        <w:tblInd w:w="10" w:type="dxa"/>
        <w:tblLook w:val="04A0" w:firstRow="1" w:lastRow="0" w:firstColumn="1" w:lastColumn="0" w:noHBand="0" w:noVBand="1"/>
      </w:tblPr>
      <w:tblGrid>
        <w:gridCol w:w="1660"/>
        <w:gridCol w:w="967"/>
        <w:gridCol w:w="966"/>
        <w:gridCol w:w="966"/>
        <w:gridCol w:w="966"/>
        <w:gridCol w:w="966"/>
        <w:gridCol w:w="966"/>
        <w:gridCol w:w="966"/>
        <w:gridCol w:w="1117"/>
      </w:tblGrid>
      <w:tr w:rsidR="007E4B7E" w:rsidRPr="007E4B7E" w14:paraId="35D20B79" w14:textId="77777777" w:rsidTr="007E4B7E">
        <w:trPr>
          <w:trHeight w:val="255"/>
        </w:trPr>
        <w:tc>
          <w:tcPr>
            <w:tcW w:w="1660" w:type="dxa"/>
            <w:tcBorders>
              <w:top w:val="nil"/>
              <w:left w:val="nil"/>
              <w:bottom w:val="nil"/>
              <w:right w:val="nil"/>
            </w:tcBorders>
            <w:shd w:val="clear" w:color="auto" w:fill="auto"/>
            <w:noWrap/>
            <w:vAlign w:val="center"/>
            <w:hideMark/>
          </w:tcPr>
          <w:p w14:paraId="6BBAC84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77A2A64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4B7E">
              <w:rPr>
                <w:rFonts w:ascii="Arial" w:eastAsia="宋体" w:hAnsi="Arial" w:cs="Arial"/>
                <w:b/>
                <w:bCs/>
                <w:color w:val="000000"/>
                <w:sz w:val="18"/>
                <w:szCs w:val="18"/>
                <w:lang w:eastAsia="zh-CN"/>
              </w:rPr>
              <w:t xml:space="preserve">Random access Main10 </w:t>
            </w:r>
          </w:p>
        </w:tc>
      </w:tr>
      <w:tr w:rsidR="007E4B7E" w:rsidRPr="007E4B7E" w14:paraId="21241C6A" w14:textId="77777777" w:rsidTr="007E4B7E">
        <w:trPr>
          <w:trHeight w:val="255"/>
        </w:trPr>
        <w:tc>
          <w:tcPr>
            <w:tcW w:w="1660" w:type="dxa"/>
            <w:tcBorders>
              <w:top w:val="nil"/>
              <w:left w:val="nil"/>
              <w:bottom w:val="nil"/>
              <w:right w:val="nil"/>
            </w:tcBorders>
            <w:shd w:val="clear" w:color="auto" w:fill="auto"/>
            <w:noWrap/>
            <w:vAlign w:val="center"/>
            <w:hideMark/>
          </w:tcPr>
          <w:p w14:paraId="560EE969"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1D53C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4B7E">
              <w:rPr>
                <w:rFonts w:ascii="Arial" w:eastAsia="宋体" w:hAnsi="Arial" w:cs="Arial"/>
                <w:b/>
                <w:bCs/>
                <w:color w:val="000000"/>
                <w:sz w:val="18"/>
                <w:szCs w:val="18"/>
                <w:lang w:eastAsia="zh-CN"/>
              </w:rPr>
              <w:t>BD-rate Over VTM-11.0_nnvc-4.0</w:t>
            </w:r>
          </w:p>
        </w:tc>
      </w:tr>
      <w:tr w:rsidR="007E4B7E" w:rsidRPr="007E4B7E" w14:paraId="717F096B" w14:textId="77777777" w:rsidTr="007E4B7E">
        <w:trPr>
          <w:trHeight w:val="255"/>
        </w:trPr>
        <w:tc>
          <w:tcPr>
            <w:tcW w:w="1660" w:type="dxa"/>
            <w:tcBorders>
              <w:top w:val="nil"/>
              <w:left w:val="nil"/>
              <w:bottom w:val="nil"/>
              <w:right w:val="nil"/>
            </w:tcBorders>
            <w:shd w:val="clear" w:color="auto" w:fill="auto"/>
            <w:noWrap/>
            <w:vAlign w:val="center"/>
            <w:hideMark/>
          </w:tcPr>
          <w:p w14:paraId="0162D28C"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7" w:type="dxa"/>
            <w:tcBorders>
              <w:top w:val="nil"/>
              <w:left w:val="single" w:sz="8" w:space="0" w:color="auto"/>
              <w:bottom w:val="single" w:sz="8" w:space="0" w:color="auto"/>
              <w:right w:val="nil"/>
            </w:tcBorders>
            <w:shd w:val="clear" w:color="auto" w:fill="auto"/>
            <w:noWrap/>
            <w:vAlign w:val="center"/>
            <w:hideMark/>
          </w:tcPr>
          <w:p w14:paraId="4733F5A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Y-PSNR</w:t>
            </w:r>
          </w:p>
        </w:tc>
        <w:tc>
          <w:tcPr>
            <w:tcW w:w="966" w:type="dxa"/>
            <w:tcBorders>
              <w:top w:val="nil"/>
              <w:left w:val="nil"/>
              <w:bottom w:val="single" w:sz="8" w:space="0" w:color="auto"/>
              <w:right w:val="nil"/>
            </w:tcBorders>
            <w:shd w:val="clear" w:color="auto" w:fill="auto"/>
            <w:noWrap/>
            <w:vAlign w:val="center"/>
            <w:hideMark/>
          </w:tcPr>
          <w:p w14:paraId="2F635192"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U-PSNR</w:t>
            </w:r>
          </w:p>
        </w:tc>
        <w:tc>
          <w:tcPr>
            <w:tcW w:w="966" w:type="dxa"/>
            <w:tcBorders>
              <w:top w:val="nil"/>
              <w:left w:val="nil"/>
              <w:bottom w:val="single" w:sz="8" w:space="0" w:color="auto"/>
              <w:right w:val="single" w:sz="4" w:space="0" w:color="auto"/>
            </w:tcBorders>
            <w:shd w:val="clear" w:color="auto" w:fill="auto"/>
            <w:noWrap/>
            <w:vAlign w:val="center"/>
            <w:hideMark/>
          </w:tcPr>
          <w:p w14:paraId="103D2DC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V-PSNR</w:t>
            </w:r>
          </w:p>
        </w:tc>
        <w:tc>
          <w:tcPr>
            <w:tcW w:w="966" w:type="dxa"/>
            <w:tcBorders>
              <w:top w:val="nil"/>
              <w:left w:val="single" w:sz="8" w:space="0" w:color="auto"/>
              <w:bottom w:val="single" w:sz="8" w:space="0" w:color="auto"/>
              <w:right w:val="nil"/>
            </w:tcBorders>
            <w:shd w:val="clear" w:color="auto" w:fill="auto"/>
            <w:noWrap/>
            <w:vAlign w:val="center"/>
            <w:hideMark/>
          </w:tcPr>
          <w:p w14:paraId="1612CA32"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Y-MSIM</w:t>
            </w:r>
          </w:p>
        </w:tc>
        <w:tc>
          <w:tcPr>
            <w:tcW w:w="966" w:type="dxa"/>
            <w:tcBorders>
              <w:top w:val="nil"/>
              <w:left w:val="nil"/>
              <w:bottom w:val="single" w:sz="8" w:space="0" w:color="auto"/>
              <w:right w:val="nil"/>
            </w:tcBorders>
            <w:shd w:val="clear" w:color="auto" w:fill="auto"/>
            <w:noWrap/>
            <w:vAlign w:val="center"/>
            <w:hideMark/>
          </w:tcPr>
          <w:p w14:paraId="69E3A6E5"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U-MSIM</w:t>
            </w:r>
          </w:p>
        </w:tc>
        <w:tc>
          <w:tcPr>
            <w:tcW w:w="966" w:type="dxa"/>
            <w:tcBorders>
              <w:top w:val="nil"/>
              <w:left w:val="nil"/>
              <w:bottom w:val="single" w:sz="8" w:space="0" w:color="auto"/>
              <w:right w:val="single" w:sz="4" w:space="0" w:color="auto"/>
            </w:tcBorders>
            <w:shd w:val="clear" w:color="auto" w:fill="auto"/>
            <w:noWrap/>
            <w:vAlign w:val="center"/>
            <w:hideMark/>
          </w:tcPr>
          <w:p w14:paraId="5D868B0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V-MSIM</w:t>
            </w:r>
          </w:p>
        </w:tc>
        <w:tc>
          <w:tcPr>
            <w:tcW w:w="966" w:type="dxa"/>
            <w:tcBorders>
              <w:top w:val="nil"/>
              <w:left w:val="nil"/>
              <w:bottom w:val="single" w:sz="8" w:space="0" w:color="auto"/>
              <w:right w:val="nil"/>
            </w:tcBorders>
            <w:shd w:val="clear" w:color="auto" w:fill="auto"/>
            <w:noWrap/>
            <w:vAlign w:val="center"/>
            <w:hideMark/>
          </w:tcPr>
          <w:p w14:paraId="0D8FDA8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62BFC1E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DecT CPU</w:t>
            </w:r>
          </w:p>
        </w:tc>
      </w:tr>
      <w:tr w:rsidR="007E4B7E" w:rsidRPr="007E4B7E" w14:paraId="159E90B7" w14:textId="77777777" w:rsidTr="007E4B7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1993EC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A1</w:t>
            </w:r>
          </w:p>
        </w:tc>
        <w:tc>
          <w:tcPr>
            <w:tcW w:w="967" w:type="dxa"/>
            <w:tcBorders>
              <w:top w:val="nil"/>
              <w:left w:val="nil"/>
              <w:bottom w:val="nil"/>
              <w:right w:val="nil"/>
            </w:tcBorders>
            <w:shd w:val="clear" w:color="auto" w:fill="auto"/>
            <w:noWrap/>
            <w:vAlign w:val="center"/>
            <w:hideMark/>
          </w:tcPr>
          <w:p w14:paraId="5F0A9B0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34EA5EF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1E4A1A80"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1BE7622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16ACB70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7AF73B7F"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79B265C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4BF8749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r>
      <w:tr w:rsidR="007E4B7E" w:rsidRPr="007E4B7E" w14:paraId="3489069B" w14:textId="77777777" w:rsidTr="007E4B7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F22829C"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A2</w:t>
            </w:r>
          </w:p>
        </w:tc>
        <w:tc>
          <w:tcPr>
            <w:tcW w:w="967" w:type="dxa"/>
            <w:tcBorders>
              <w:top w:val="nil"/>
              <w:left w:val="nil"/>
              <w:bottom w:val="nil"/>
              <w:right w:val="nil"/>
            </w:tcBorders>
            <w:shd w:val="clear" w:color="auto" w:fill="auto"/>
            <w:noWrap/>
            <w:vAlign w:val="center"/>
            <w:hideMark/>
          </w:tcPr>
          <w:p w14:paraId="69F99B79"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27CE541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317CB5BF"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single" w:sz="8" w:space="0" w:color="auto"/>
              <w:bottom w:val="nil"/>
              <w:right w:val="nil"/>
            </w:tcBorders>
            <w:shd w:val="clear" w:color="auto" w:fill="auto"/>
            <w:noWrap/>
            <w:vAlign w:val="center"/>
            <w:hideMark/>
          </w:tcPr>
          <w:p w14:paraId="18552D7E"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nil"/>
              <w:right w:val="nil"/>
            </w:tcBorders>
            <w:shd w:val="clear" w:color="auto" w:fill="auto"/>
            <w:noWrap/>
            <w:vAlign w:val="center"/>
            <w:hideMark/>
          </w:tcPr>
          <w:p w14:paraId="16BEEAB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nil"/>
              <w:right w:val="single" w:sz="4" w:space="0" w:color="auto"/>
            </w:tcBorders>
            <w:shd w:val="clear" w:color="auto" w:fill="auto"/>
            <w:noWrap/>
            <w:vAlign w:val="center"/>
            <w:hideMark/>
          </w:tcPr>
          <w:p w14:paraId="353FC500"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nil"/>
              <w:right w:val="nil"/>
            </w:tcBorders>
            <w:shd w:val="clear" w:color="auto" w:fill="auto"/>
            <w:noWrap/>
            <w:vAlign w:val="center"/>
            <w:hideMark/>
          </w:tcPr>
          <w:p w14:paraId="6A756C4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1117" w:type="dxa"/>
            <w:tcBorders>
              <w:top w:val="nil"/>
              <w:left w:val="nil"/>
              <w:bottom w:val="nil"/>
              <w:right w:val="single" w:sz="8" w:space="0" w:color="auto"/>
            </w:tcBorders>
            <w:shd w:val="clear" w:color="auto" w:fill="auto"/>
            <w:noWrap/>
            <w:vAlign w:val="center"/>
            <w:hideMark/>
          </w:tcPr>
          <w:p w14:paraId="35C72952"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r>
      <w:tr w:rsidR="007E4B7E" w:rsidRPr="007E4B7E" w14:paraId="7363F001" w14:textId="77777777" w:rsidTr="007E4B7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7CF3DA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B</w:t>
            </w:r>
          </w:p>
        </w:tc>
        <w:tc>
          <w:tcPr>
            <w:tcW w:w="967" w:type="dxa"/>
            <w:tcBorders>
              <w:top w:val="nil"/>
              <w:left w:val="single" w:sz="8" w:space="0" w:color="auto"/>
              <w:bottom w:val="nil"/>
              <w:right w:val="nil"/>
            </w:tcBorders>
            <w:shd w:val="clear" w:color="000000" w:fill="CCFFCC"/>
            <w:noWrap/>
            <w:vAlign w:val="center"/>
            <w:hideMark/>
          </w:tcPr>
          <w:p w14:paraId="347D053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-3.08%</w:t>
            </w:r>
          </w:p>
        </w:tc>
        <w:tc>
          <w:tcPr>
            <w:tcW w:w="966" w:type="dxa"/>
            <w:tcBorders>
              <w:top w:val="nil"/>
              <w:left w:val="nil"/>
              <w:bottom w:val="nil"/>
              <w:right w:val="nil"/>
            </w:tcBorders>
            <w:shd w:val="clear" w:color="000000" w:fill="CCFFCC"/>
            <w:noWrap/>
            <w:vAlign w:val="center"/>
            <w:hideMark/>
          </w:tcPr>
          <w:p w14:paraId="3B3EB945"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-7.12%</w:t>
            </w:r>
          </w:p>
        </w:tc>
        <w:tc>
          <w:tcPr>
            <w:tcW w:w="966" w:type="dxa"/>
            <w:tcBorders>
              <w:top w:val="nil"/>
              <w:left w:val="nil"/>
              <w:bottom w:val="nil"/>
              <w:right w:val="single" w:sz="4" w:space="0" w:color="auto"/>
            </w:tcBorders>
            <w:shd w:val="clear" w:color="000000" w:fill="CCFFCC"/>
            <w:noWrap/>
            <w:vAlign w:val="center"/>
            <w:hideMark/>
          </w:tcPr>
          <w:p w14:paraId="70566A2C"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-6.28%</w:t>
            </w:r>
          </w:p>
        </w:tc>
        <w:tc>
          <w:tcPr>
            <w:tcW w:w="966" w:type="dxa"/>
            <w:tcBorders>
              <w:top w:val="nil"/>
              <w:left w:val="single" w:sz="8" w:space="0" w:color="auto"/>
              <w:bottom w:val="nil"/>
              <w:right w:val="nil"/>
            </w:tcBorders>
            <w:shd w:val="clear" w:color="000000" w:fill="CCFFCC"/>
            <w:noWrap/>
            <w:vAlign w:val="center"/>
            <w:hideMark/>
          </w:tcPr>
          <w:p w14:paraId="3E341F95"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-3.68%</w:t>
            </w:r>
          </w:p>
        </w:tc>
        <w:tc>
          <w:tcPr>
            <w:tcW w:w="966" w:type="dxa"/>
            <w:tcBorders>
              <w:top w:val="nil"/>
              <w:left w:val="nil"/>
              <w:bottom w:val="nil"/>
              <w:right w:val="nil"/>
            </w:tcBorders>
            <w:shd w:val="clear" w:color="000000" w:fill="CCFFCC"/>
            <w:noWrap/>
            <w:vAlign w:val="center"/>
            <w:hideMark/>
          </w:tcPr>
          <w:p w14:paraId="70AC6BDF"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-9.14%</w:t>
            </w:r>
          </w:p>
        </w:tc>
        <w:tc>
          <w:tcPr>
            <w:tcW w:w="966" w:type="dxa"/>
            <w:tcBorders>
              <w:top w:val="nil"/>
              <w:left w:val="nil"/>
              <w:bottom w:val="nil"/>
              <w:right w:val="single" w:sz="4" w:space="0" w:color="auto"/>
            </w:tcBorders>
            <w:shd w:val="clear" w:color="000000" w:fill="CCFFCC"/>
            <w:noWrap/>
            <w:vAlign w:val="center"/>
            <w:hideMark/>
          </w:tcPr>
          <w:p w14:paraId="21B33490"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-7.78%</w:t>
            </w:r>
          </w:p>
        </w:tc>
        <w:tc>
          <w:tcPr>
            <w:tcW w:w="966" w:type="dxa"/>
            <w:tcBorders>
              <w:top w:val="nil"/>
              <w:left w:val="nil"/>
              <w:bottom w:val="nil"/>
              <w:right w:val="nil"/>
            </w:tcBorders>
            <w:shd w:val="clear" w:color="auto" w:fill="auto"/>
            <w:noWrap/>
            <w:vAlign w:val="center"/>
            <w:hideMark/>
          </w:tcPr>
          <w:p w14:paraId="72F4372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934%</w:t>
            </w:r>
          </w:p>
        </w:tc>
        <w:tc>
          <w:tcPr>
            <w:tcW w:w="1117" w:type="dxa"/>
            <w:tcBorders>
              <w:top w:val="nil"/>
              <w:left w:val="nil"/>
              <w:bottom w:val="nil"/>
              <w:right w:val="single" w:sz="8" w:space="0" w:color="auto"/>
            </w:tcBorders>
            <w:shd w:val="clear" w:color="auto" w:fill="auto"/>
            <w:noWrap/>
            <w:vAlign w:val="center"/>
            <w:hideMark/>
          </w:tcPr>
          <w:p w14:paraId="1DF5A266"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#NUM!</w:t>
            </w:r>
          </w:p>
        </w:tc>
      </w:tr>
      <w:tr w:rsidR="007E4B7E" w:rsidRPr="007E4B7E" w14:paraId="4EE8422C" w14:textId="77777777" w:rsidTr="007E4B7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BFB451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C</w:t>
            </w:r>
          </w:p>
        </w:tc>
        <w:tc>
          <w:tcPr>
            <w:tcW w:w="967" w:type="dxa"/>
            <w:tcBorders>
              <w:top w:val="nil"/>
              <w:left w:val="single" w:sz="8" w:space="0" w:color="auto"/>
              <w:bottom w:val="nil"/>
              <w:right w:val="nil"/>
            </w:tcBorders>
            <w:shd w:val="clear" w:color="000000" w:fill="CCFFCC"/>
            <w:noWrap/>
            <w:vAlign w:val="center"/>
            <w:hideMark/>
          </w:tcPr>
          <w:p w14:paraId="519708A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-4.32%</w:t>
            </w:r>
          </w:p>
        </w:tc>
        <w:tc>
          <w:tcPr>
            <w:tcW w:w="966" w:type="dxa"/>
            <w:tcBorders>
              <w:top w:val="nil"/>
              <w:left w:val="nil"/>
              <w:bottom w:val="nil"/>
              <w:right w:val="nil"/>
            </w:tcBorders>
            <w:shd w:val="clear" w:color="000000" w:fill="CCFFCC"/>
            <w:noWrap/>
            <w:vAlign w:val="center"/>
            <w:hideMark/>
          </w:tcPr>
          <w:p w14:paraId="2A32F0F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-6.77%</w:t>
            </w:r>
          </w:p>
        </w:tc>
        <w:tc>
          <w:tcPr>
            <w:tcW w:w="966" w:type="dxa"/>
            <w:tcBorders>
              <w:top w:val="nil"/>
              <w:left w:val="nil"/>
              <w:bottom w:val="nil"/>
              <w:right w:val="single" w:sz="4" w:space="0" w:color="auto"/>
            </w:tcBorders>
            <w:shd w:val="clear" w:color="000000" w:fill="CCFFCC"/>
            <w:noWrap/>
            <w:vAlign w:val="center"/>
            <w:hideMark/>
          </w:tcPr>
          <w:p w14:paraId="7F5208F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-6.88%</w:t>
            </w:r>
          </w:p>
        </w:tc>
        <w:tc>
          <w:tcPr>
            <w:tcW w:w="966" w:type="dxa"/>
            <w:tcBorders>
              <w:top w:val="nil"/>
              <w:left w:val="single" w:sz="8" w:space="0" w:color="auto"/>
              <w:bottom w:val="nil"/>
              <w:right w:val="nil"/>
            </w:tcBorders>
            <w:shd w:val="clear" w:color="000000" w:fill="CCFFCC"/>
            <w:noWrap/>
            <w:vAlign w:val="center"/>
            <w:hideMark/>
          </w:tcPr>
          <w:p w14:paraId="092EED8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-5.74%</w:t>
            </w:r>
          </w:p>
        </w:tc>
        <w:tc>
          <w:tcPr>
            <w:tcW w:w="966" w:type="dxa"/>
            <w:tcBorders>
              <w:top w:val="nil"/>
              <w:left w:val="nil"/>
              <w:bottom w:val="nil"/>
              <w:right w:val="nil"/>
            </w:tcBorders>
            <w:shd w:val="clear" w:color="000000" w:fill="CCFFCC"/>
            <w:noWrap/>
            <w:vAlign w:val="center"/>
            <w:hideMark/>
          </w:tcPr>
          <w:p w14:paraId="685A5EC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-9.57%</w:t>
            </w:r>
          </w:p>
        </w:tc>
        <w:tc>
          <w:tcPr>
            <w:tcW w:w="966" w:type="dxa"/>
            <w:tcBorders>
              <w:top w:val="nil"/>
              <w:left w:val="nil"/>
              <w:bottom w:val="nil"/>
              <w:right w:val="single" w:sz="4" w:space="0" w:color="auto"/>
            </w:tcBorders>
            <w:shd w:val="clear" w:color="000000" w:fill="CCFFCC"/>
            <w:noWrap/>
            <w:vAlign w:val="center"/>
            <w:hideMark/>
          </w:tcPr>
          <w:p w14:paraId="6DF2EE3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-9.62%</w:t>
            </w:r>
          </w:p>
        </w:tc>
        <w:tc>
          <w:tcPr>
            <w:tcW w:w="966" w:type="dxa"/>
            <w:tcBorders>
              <w:top w:val="nil"/>
              <w:left w:val="nil"/>
              <w:bottom w:val="nil"/>
              <w:right w:val="nil"/>
            </w:tcBorders>
            <w:shd w:val="clear" w:color="auto" w:fill="auto"/>
            <w:noWrap/>
            <w:vAlign w:val="center"/>
            <w:hideMark/>
          </w:tcPr>
          <w:p w14:paraId="1BAA238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505%</w:t>
            </w:r>
          </w:p>
        </w:tc>
        <w:tc>
          <w:tcPr>
            <w:tcW w:w="1117" w:type="dxa"/>
            <w:tcBorders>
              <w:top w:val="nil"/>
              <w:left w:val="nil"/>
              <w:bottom w:val="nil"/>
              <w:right w:val="single" w:sz="8" w:space="0" w:color="auto"/>
            </w:tcBorders>
            <w:shd w:val="clear" w:color="auto" w:fill="auto"/>
            <w:noWrap/>
            <w:vAlign w:val="center"/>
            <w:hideMark/>
          </w:tcPr>
          <w:p w14:paraId="6921C0A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#NUM!</w:t>
            </w:r>
          </w:p>
        </w:tc>
      </w:tr>
      <w:tr w:rsidR="007E4B7E" w:rsidRPr="007E4B7E" w14:paraId="53B35F5C" w14:textId="77777777" w:rsidTr="007E4B7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F3F6FB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E</w:t>
            </w:r>
          </w:p>
        </w:tc>
        <w:tc>
          <w:tcPr>
            <w:tcW w:w="967" w:type="dxa"/>
            <w:tcBorders>
              <w:top w:val="nil"/>
              <w:left w:val="nil"/>
              <w:bottom w:val="nil"/>
              <w:right w:val="nil"/>
            </w:tcBorders>
            <w:shd w:val="clear" w:color="auto" w:fill="auto"/>
            <w:noWrap/>
            <w:vAlign w:val="center"/>
            <w:hideMark/>
          </w:tcPr>
          <w:p w14:paraId="7FADC89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48F57ED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0D10795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 xml:space="preserve">　</w:t>
            </w:r>
          </w:p>
        </w:tc>
        <w:tc>
          <w:tcPr>
            <w:tcW w:w="966" w:type="dxa"/>
            <w:tcBorders>
              <w:top w:val="nil"/>
              <w:left w:val="single" w:sz="8" w:space="0" w:color="auto"/>
              <w:bottom w:val="nil"/>
              <w:right w:val="nil"/>
            </w:tcBorders>
            <w:shd w:val="clear" w:color="auto" w:fill="auto"/>
            <w:noWrap/>
            <w:vAlign w:val="center"/>
            <w:hideMark/>
          </w:tcPr>
          <w:p w14:paraId="4C0BDA0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7DB7BC5E"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0CC2581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 xml:space="preserve">　</w:t>
            </w:r>
          </w:p>
        </w:tc>
        <w:tc>
          <w:tcPr>
            <w:tcW w:w="966" w:type="dxa"/>
            <w:tcBorders>
              <w:top w:val="nil"/>
              <w:left w:val="nil"/>
              <w:bottom w:val="nil"/>
              <w:right w:val="nil"/>
            </w:tcBorders>
            <w:shd w:val="clear" w:color="auto" w:fill="auto"/>
            <w:noWrap/>
            <w:vAlign w:val="center"/>
            <w:hideMark/>
          </w:tcPr>
          <w:p w14:paraId="16BA1A3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 xml:space="preserve">　</w:t>
            </w:r>
          </w:p>
        </w:tc>
        <w:tc>
          <w:tcPr>
            <w:tcW w:w="1117" w:type="dxa"/>
            <w:tcBorders>
              <w:top w:val="nil"/>
              <w:left w:val="nil"/>
              <w:bottom w:val="nil"/>
              <w:right w:val="single" w:sz="8" w:space="0" w:color="auto"/>
            </w:tcBorders>
            <w:shd w:val="clear" w:color="auto" w:fill="auto"/>
            <w:noWrap/>
            <w:vAlign w:val="center"/>
            <w:hideMark/>
          </w:tcPr>
          <w:p w14:paraId="7C8D4C4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E4B7E" w:rsidRPr="007E4B7E" w14:paraId="1E54CBA5" w14:textId="77777777" w:rsidTr="007E4B7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35E2F1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4B7E">
              <w:rPr>
                <w:rFonts w:ascii="Arial" w:eastAsia="宋体" w:hAnsi="Arial" w:cs="Arial"/>
                <w:b/>
                <w:bCs/>
                <w:color w:val="000000"/>
                <w:sz w:val="18"/>
                <w:szCs w:val="18"/>
                <w:lang w:eastAsia="zh-CN"/>
              </w:rPr>
              <w:t>Overall</w:t>
            </w:r>
          </w:p>
        </w:tc>
        <w:tc>
          <w:tcPr>
            <w:tcW w:w="967" w:type="dxa"/>
            <w:tcBorders>
              <w:top w:val="single" w:sz="8" w:space="0" w:color="auto"/>
              <w:left w:val="nil"/>
              <w:bottom w:val="nil"/>
              <w:right w:val="nil"/>
            </w:tcBorders>
            <w:shd w:val="clear" w:color="auto" w:fill="auto"/>
            <w:noWrap/>
            <w:vAlign w:val="center"/>
            <w:hideMark/>
          </w:tcPr>
          <w:p w14:paraId="6F41DAC0"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4C71DD9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474E4AE9"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single" w:sz="8" w:space="0" w:color="auto"/>
              <w:left w:val="single" w:sz="8" w:space="0" w:color="auto"/>
              <w:bottom w:val="nil"/>
              <w:right w:val="nil"/>
            </w:tcBorders>
            <w:shd w:val="clear" w:color="auto" w:fill="auto"/>
            <w:noWrap/>
            <w:vAlign w:val="center"/>
            <w:hideMark/>
          </w:tcPr>
          <w:p w14:paraId="219CA5D0"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1191D5E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single" w:sz="8" w:space="0" w:color="auto"/>
              <w:left w:val="nil"/>
              <w:bottom w:val="nil"/>
              <w:right w:val="single" w:sz="4" w:space="0" w:color="auto"/>
            </w:tcBorders>
            <w:shd w:val="clear" w:color="auto" w:fill="auto"/>
            <w:noWrap/>
            <w:vAlign w:val="center"/>
            <w:hideMark/>
          </w:tcPr>
          <w:p w14:paraId="22C7173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single" w:sz="8" w:space="0" w:color="auto"/>
              <w:left w:val="nil"/>
              <w:bottom w:val="nil"/>
              <w:right w:val="nil"/>
            </w:tcBorders>
            <w:shd w:val="clear" w:color="auto" w:fill="auto"/>
            <w:noWrap/>
            <w:vAlign w:val="center"/>
            <w:hideMark/>
          </w:tcPr>
          <w:p w14:paraId="4AD28A32"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1117" w:type="dxa"/>
            <w:tcBorders>
              <w:top w:val="single" w:sz="8" w:space="0" w:color="auto"/>
              <w:left w:val="nil"/>
              <w:bottom w:val="nil"/>
              <w:right w:val="single" w:sz="8" w:space="0" w:color="auto"/>
            </w:tcBorders>
            <w:shd w:val="clear" w:color="auto" w:fill="auto"/>
            <w:noWrap/>
            <w:vAlign w:val="center"/>
            <w:hideMark/>
          </w:tcPr>
          <w:p w14:paraId="0A0C8B9D"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r>
      <w:tr w:rsidR="007E4B7E" w:rsidRPr="007E4B7E" w14:paraId="16192E42" w14:textId="77777777" w:rsidTr="007E4B7E">
        <w:trPr>
          <w:trHeight w:val="255"/>
        </w:trPr>
        <w:tc>
          <w:tcPr>
            <w:tcW w:w="1660" w:type="dxa"/>
            <w:tcBorders>
              <w:top w:val="single" w:sz="8" w:space="0" w:color="auto"/>
              <w:left w:val="single" w:sz="8" w:space="0" w:color="auto"/>
              <w:right w:val="nil"/>
            </w:tcBorders>
            <w:shd w:val="clear" w:color="auto" w:fill="auto"/>
            <w:noWrap/>
            <w:vAlign w:val="center"/>
            <w:hideMark/>
          </w:tcPr>
          <w:p w14:paraId="361548F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D</w:t>
            </w:r>
          </w:p>
        </w:tc>
        <w:tc>
          <w:tcPr>
            <w:tcW w:w="967" w:type="dxa"/>
            <w:tcBorders>
              <w:top w:val="single" w:sz="8" w:space="0" w:color="auto"/>
              <w:left w:val="single" w:sz="8" w:space="0" w:color="auto"/>
              <w:right w:val="nil"/>
            </w:tcBorders>
            <w:shd w:val="clear" w:color="000000" w:fill="CCFFCC"/>
            <w:noWrap/>
            <w:vAlign w:val="center"/>
            <w:hideMark/>
          </w:tcPr>
          <w:p w14:paraId="699D054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-5.22%</w:t>
            </w:r>
          </w:p>
        </w:tc>
        <w:tc>
          <w:tcPr>
            <w:tcW w:w="966" w:type="dxa"/>
            <w:tcBorders>
              <w:top w:val="single" w:sz="8" w:space="0" w:color="auto"/>
              <w:left w:val="nil"/>
              <w:right w:val="nil"/>
            </w:tcBorders>
            <w:shd w:val="clear" w:color="000000" w:fill="CCFFCC"/>
            <w:noWrap/>
            <w:vAlign w:val="center"/>
            <w:hideMark/>
          </w:tcPr>
          <w:p w14:paraId="47E0043A"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-5.68%</w:t>
            </w:r>
          </w:p>
        </w:tc>
        <w:tc>
          <w:tcPr>
            <w:tcW w:w="966" w:type="dxa"/>
            <w:tcBorders>
              <w:top w:val="single" w:sz="8" w:space="0" w:color="auto"/>
              <w:left w:val="nil"/>
              <w:right w:val="single" w:sz="4" w:space="0" w:color="auto"/>
            </w:tcBorders>
            <w:shd w:val="clear" w:color="000000" w:fill="CCFFCC"/>
            <w:noWrap/>
            <w:vAlign w:val="center"/>
            <w:hideMark/>
          </w:tcPr>
          <w:p w14:paraId="780F0EF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-6.28%</w:t>
            </w:r>
          </w:p>
        </w:tc>
        <w:tc>
          <w:tcPr>
            <w:tcW w:w="966" w:type="dxa"/>
            <w:tcBorders>
              <w:top w:val="single" w:sz="8" w:space="0" w:color="auto"/>
              <w:left w:val="single" w:sz="8" w:space="0" w:color="auto"/>
              <w:right w:val="nil"/>
            </w:tcBorders>
            <w:shd w:val="clear" w:color="000000" w:fill="CCFFCC"/>
            <w:noWrap/>
            <w:vAlign w:val="center"/>
            <w:hideMark/>
          </w:tcPr>
          <w:p w14:paraId="74BD26A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-5.47%</w:t>
            </w:r>
          </w:p>
        </w:tc>
        <w:tc>
          <w:tcPr>
            <w:tcW w:w="966" w:type="dxa"/>
            <w:tcBorders>
              <w:top w:val="single" w:sz="8" w:space="0" w:color="auto"/>
              <w:left w:val="nil"/>
              <w:right w:val="nil"/>
            </w:tcBorders>
            <w:shd w:val="clear" w:color="000000" w:fill="CCFFCC"/>
            <w:noWrap/>
            <w:vAlign w:val="center"/>
            <w:hideMark/>
          </w:tcPr>
          <w:p w14:paraId="17803B6C"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-10.21%</w:t>
            </w:r>
          </w:p>
        </w:tc>
        <w:tc>
          <w:tcPr>
            <w:tcW w:w="966" w:type="dxa"/>
            <w:tcBorders>
              <w:top w:val="single" w:sz="8" w:space="0" w:color="auto"/>
              <w:left w:val="nil"/>
              <w:right w:val="single" w:sz="4" w:space="0" w:color="auto"/>
            </w:tcBorders>
            <w:shd w:val="clear" w:color="000000" w:fill="CCFFCC"/>
            <w:noWrap/>
            <w:vAlign w:val="center"/>
            <w:hideMark/>
          </w:tcPr>
          <w:p w14:paraId="2D74499F"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E4B7E">
              <w:rPr>
                <w:rFonts w:ascii="Arial" w:eastAsia="宋体" w:hAnsi="Arial" w:cs="Arial"/>
                <w:sz w:val="18"/>
                <w:szCs w:val="18"/>
                <w:lang w:eastAsia="zh-CN"/>
              </w:rPr>
              <w:t>-9.94%</w:t>
            </w:r>
          </w:p>
        </w:tc>
        <w:tc>
          <w:tcPr>
            <w:tcW w:w="966" w:type="dxa"/>
            <w:tcBorders>
              <w:top w:val="single" w:sz="8" w:space="0" w:color="auto"/>
              <w:left w:val="nil"/>
              <w:right w:val="nil"/>
            </w:tcBorders>
            <w:shd w:val="clear" w:color="auto" w:fill="auto"/>
            <w:noWrap/>
            <w:vAlign w:val="center"/>
            <w:hideMark/>
          </w:tcPr>
          <w:p w14:paraId="613912C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898%</w:t>
            </w:r>
          </w:p>
        </w:tc>
        <w:tc>
          <w:tcPr>
            <w:tcW w:w="1117" w:type="dxa"/>
            <w:tcBorders>
              <w:top w:val="single" w:sz="8" w:space="0" w:color="auto"/>
              <w:left w:val="nil"/>
              <w:right w:val="single" w:sz="8" w:space="0" w:color="auto"/>
            </w:tcBorders>
            <w:shd w:val="clear" w:color="auto" w:fill="auto"/>
            <w:noWrap/>
            <w:vAlign w:val="center"/>
            <w:hideMark/>
          </w:tcPr>
          <w:p w14:paraId="6591669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#NUM!</w:t>
            </w:r>
          </w:p>
        </w:tc>
      </w:tr>
      <w:tr w:rsidR="007E4B7E" w:rsidRPr="007E4B7E" w14:paraId="3E74AB6F" w14:textId="77777777" w:rsidTr="007E4B7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F10626E"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Class F</w:t>
            </w:r>
          </w:p>
        </w:tc>
        <w:tc>
          <w:tcPr>
            <w:tcW w:w="967" w:type="dxa"/>
            <w:tcBorders>
              <w:top w:val="nil"/>
              <w:left w:val="nil"/>
              <w:bottom w:val="single" w:sz="8" w:space="0" w:color="auto"/>
              <w:right w:val="nil"/>
            </w:tcBorders>
            <w:shd w:val="clear" w:color="auto" w:fill="auto"/>
            <w:noWrap/>
            <w:vAlign w:val="center"/>
            <w:hideMark/>
          </w:tcPr>
          <w:p w14:paraId="129D089B"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2D5FD257"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501517A4"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single" w:sz="8" w:space="0" w:color="auto"/>
              <w:bottom w:val="single" w:sz="8" w:space="0" w:color="auto"/>
              <w:right w:val="nil"/>
            </w:tcBorders>
            <w:shd w:val="clear" w:color="auto" w:fill="auto"/>
            <w:noWrap/>
            <w:vAlign w:val="center"/>
            <w:hideMark/>
          </w:tcPr>
          <w:p w14:paraId="5438C5B8"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21060733"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single" w:sz="8" w:space="0" w:color="auto"/>
              <w:right w:val="single" w:sz="4" w:space="0" w:color="auto"/>
            </w:tcBorders>
            <w:shd w:val="clear" w:color="auto" w:fill="auto"/>
            <w:noWrap/>
            <w:vAlign w:val="center"/>
            <w:hideMark/>
          </w:tcPr>
          <w:p w14:paraId="7F4F03D1"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7E4B7E">
              <w:rPr>
                <w:rFonts w:ascii="Arial" w:eastAsia="宋体" w:hAnsi="Arial" w:cs="Arial"/>
                <w:color w:val="BFBFBF"/>
                <w:sz w:val="18"/>
                <w:szCs w:val="18"/>
                <w:lang w:eastAsia="zh-CN"/>
              </w:rPr>
              <w:t>#VALUE!</w:t>
            </w:r>
          </w:p>
        </w:tc>
        <w:tc>
          <w:tcPr>
            <w:tcW w:w="966" w:type="dxa"/>
            <w:tcBorders>
              <w:top w:val="nil"/>
              <w:left w:val="nil"/>
              <w:bottom w:val="single" w:sz="8" w:space="0" w:color="auto"/>
              <w:right w:val="nil"/>
            </w:tcBorders>
            <w:shd w:val="clear" w:color="auto" w:fill="auto"/>
            <w:noWrap/>
            <w:vAlign w:val="center"/>
            <w:hideMark/>
          </w:tcPr>
          <w:p w14:paraId="15527665"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#VALUE!</w:t>
            </w:r>
          </w:p>
        </w:tc>
        <w:tc>
          <w:tcPr>
            <w:tcW w:w="1117" w:type="dxa"/>
            <w:tcBorders>
              <w:top w:val="nil"/>
              <w:left w:val="nil"/>
              <w:bottom w:val="single" w:sz="8" w:space="0" w:color="auto"/>
              <w:right w:val="single" w:sz="8" w:space="0" w:color="auto"/>
            </w:tcBorders>
            <w:shd w:val="clear" w:color="auto" w:fill="auto"/>
            <w:noWrap/>
            <w:vAlign w:val="center"/>
            <w:hideMark/>
          </w:tcPr>
          <w:p w14:paraId="1794B1C6" w14:textId="77777777" w:rsidR="007E4B7E" w:rsidRPr="007E4B7E" w:rsidRDefault="007E4B7E" w:rsidP="007E4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4B7E">
              <w:rPr>
                <w:rFonts w:ascii="Arial" w:eastAsia="宋体" w:hAnsi="Arial" w:cs="Arial"/>
                <w:color w:val="000000"/>
                <w:sz w:val="18"/>
                <w:szCs w:val="18"/>
                <w:lang w:eastAsia="zh-CN"/>
              </w:rPr>
              <w:t>#NUM!</w:t>
            </w:r>
          </w:p>
        </w:tc>
      </w:tr>
    </w:tbl>
    <w:p w14:paraId="32EAF635" w14:textId="54D7B207" w:rsidR="007F1F8B" w:rsidRDefault="007E4B7E" w:rsidP="007E4B7E">
      <w:pPr>
        <w:pStyle w:val="1"/>
        <w:rPr>
          <w:lang w:val="en-CA" w:eastAsia="zh-CN"/>
        </w:rPr>
      </w:pPr>
      <w:r>
        <w:rPr>
          <w:rFonts w:hint="eastAsia"/>
          <w:lang w:val="en-CA" w:eastAsia="zh-CN"/>
        </w:rPr>
        <w:t>R</w:t>
      </w:r>
      <w:r>
        <w:rPr>
          <w:lang w:val="en-CA" w:eastAsia="zh-CN"/>
        </w:rPr>
        <w:t>eference</w:t>
      </w:r>
    </w:p>
    <w:p w14:paraId="2173B6CB" w14:textId="15E53386" w:rsidR="00795D68" w:rsidRDefault="00795D68" w:rsidP="00795D68">
      <w:r>
        <w:rPr>
          <w:szCs w:val="22"/>
          <w:lang w:val="en-CA" w:eastAsia="zh-CN"/>
        </w:rPr>
        <w:t xml:space="preserve">[1] W. Bao, W. Meng, </w:t>
      </w:r>
      <w:r>
        <w:rPr>
          <w:rFonts w:hint="eastAsia"/>
          <w:szCs w:val="22"/>
          <w:lang w:val="en-CA" w:eastAsia="zh-CN"/>
        </w:rPr>
        <w:t>J. Jia, </w:t>
      </w:r>
      <w:r>
        <w:rPr>
          <w:szCs w:val="22"/>
          <w:lang w:val="en-CA" w:eastAsia="zh-CN"/>
        </w:rPr>
        <w:t>Y. Zhang, H. Wang</w:t>
      </w:r>
      <w:r>
        <w:rPr>
          <w:rFonts w:hint="eastAsia"/>
          <w:szCs w:val="22"/>
          <w:lang w:val="en-CA" w:eastAsia="zh-CN"/>
        </w:rPr>
        <w:t>, Z. Chen, Z. Liu, X. Xu,</w:t>
      </w:r>
      <w:r>
        <w:rPr>
          <w:szCs w:val="22"/>
          <w:lang w:val="en-CA" w:eastAsia="zh-CN"/>
        </w:rPr>
        <w:t xml:space="preserve"> and</w:t>
      </w:r>
      <w:r>
        <w:rPr>
          <w:rFonts w:hint="eastAsia"/>
          <w:szCs w:val="22"/>
          <w:lang w:val="en-CA" w:eastAsia="zh-CN"/>
        </w:rPr>
        <w:t> S. Liu</w:t>
      </w:r>
      <w:r>
        <w:rPr>
          <w:szCs w:val="22"/>
          <w:lang w:val="en-CA" w:eastAsia="zh-CN"/>
        </w:rPr>
        <w:t>. “</w:t>
      </w:r>
      <w:r w:rsidRPr="00795D68">
        <w:rPr>
          <w:lang w:val="en-CA" w:eastAsia="zh-CN"/>
        </w:rPr>
        <w:t>EE1-5.1: Deep Reference Frame Generation for Inter Prediction Enhancement</w:t>
      </w:r>
      <w:r>
        <w:rPr>
          <w:lang w:val="en-CA" w:eastAsia="zh-CN"/>
        </w:rPr>
        <w:t>”</w:t>
      </w:r>
      <w:r>
        <w:rPr>
          <w:szCs w:val="22"/>
          <w:lang w:val="en-CA" w:eastAsia="zh-CN"/>
        </w:rPr>
        <w:t>. JVET-</w:t>
      </w:r>
      <w:r>
        <w:rPr>
          <w:lang w:val="en-CA"/>
        </w:rPr>
        <w:t>AE011</w:t>
      </w:r>
      <w:r>
        <w:rPr>
          <w:rFonts w:eastAsia="宋体" w:hint="eastAsia"/>
          <w:lang w:eastAsia="zh-CN"/>
        </w:rPr>
        <w:t>2</w:t>
      </w:r>
      <w:r>
        <w:rPr>
          <w:szCs w:val="22"/>
          <w:lang w:val="en-CA" w:eastAsia="zh-CN"/>
        </w:rPr>
        <w:t xml:space="preserve">, </w:t>
      </w:r>
      <w:r>
        <w:rPr>
          <w:rFonts w:eastAsia="宋体" w:hint="eastAsia"/>
          <w:lang w:eastAsia="zh-CN"/>
        </w:rPr>
        <w:t>3</w:t>
      </w:r>
      <w:r>
        <w:rPr>
          <w:rFonts w:eastAsia="宋体"/>
          <w:lang w:eastAsia="zh-CN"/>
        </w:rPr>
        <w:t>1</w:t>
      </w:r>
      <w:r>
        <w:t>th Meeting</w:t>
      </w:r>
      <w:r>
        <w:rPr>
          <w:lang w:val="en-CA"/>
        </w:rPr>
        <w:t xml:space="preserve">, Geneva, </w:t>
      </w:r>
      <w:r>
        <w:rPr>
          <w:rFonts w:eastAsia="宋体" w:hint="eastAsia"/>
          <w:lang w:eastAsia="zh-CN"/>
        </w:rPr>
        <w:t>1</w:t>
      </w:r>
      <w:r>
        <w:rPr>
          <w:rFonts w:eastAsia="宋体"/>
          <w:lang w:eastAsia="zh-CN"/>
        </w:rPr>
        <w:t>1</w:t>
      </w:r>
      <w:r>
        <w:rPr>
          <w:lang w:val="en-CA"/>
        </w:rPr>
        <w:t>–2</w:t>
      </w:r>
      <w:r>
        <w:rPr>
          <w:rFonts w:eastAsia="宋体"/>
          <w:lang w:eastAsia="zh-CN"/>
        </w:rPr>
        <w:t>0</w:t>
      </w:r>
      <w:r>
        <w:rPr>
          <w:lang w:val="en-CA"/>
        </w:rPr>
        <w:t xml:space="preserve"> July 2023</w:t>
      </w:r>
      <w:r>
        <w:t>.</w:t>
      </w:r>
    </w:p>
    <w:p w14:paraId="14F65A79" w14:textId="4A68D39C" w:rsidR="00795D68" w:rsidRDefault="00795D68" w:rsidP="00795D68">
      <w:pPr>
        <w:rPr>
          <w:lang w:eastAsia="zh-CN"/>
        </w:rPr>
      </w:pPr>
      <w:r>
        <w:rPr>
          <w:rFonts w:hint="eastAsia"/>
          <w:lang w:eastAsia="zh-CN"/>
        </w:rPr>
        <w:t>[</w:t>
      </w:r>
      <w:r>
        <w:rPr>
          <w:lang w:eastAsia="zh-CN"/>
        </w:rPr>
        <w:t>2]</w:t>
      </w:r>
      <w:r w:rsidRPr="00795D68">
        <w:t xml:space="preserve"> </w:t>
      </w:r>
      <w:hyperlink r:id="rId10" w:history="1">
        <w:r w:rsidRPr="008063EC">
          <w:rPr>
            <w:rStyle w:val="a6"/>
            <w:lang w:eastAsia="zh-CN"/>
          </w:rPr>
          <w:t>http://data.csail.mit.edu/tofu/dataset/vimeo_triplet.zip</w:t>
        </w:r>
      </w:hyperlink>
    </w:p>
    <w:p w14:paraId="62FC1388" w14:textId="6E7BD326" w:rsidR="00795D68" w:rsidRDefault="00795D68" w:rsidP="00795D68">
      <w:pPr>
        <w:rPr>
          <w:lang w:eastAsia="zh-CN"/>
        </w:rPr>
      </w:pPr>
      <w:r>
        <w:rPr>
          <w:lang w:eastAsia="zh-CN"/>
        </w:rPr>
        <w:t>[3]</w:t>
      </w:r>
      <w:r w:rsidRPr="00795D68">
        <w:rPr>
          <w:lang w:val="en-CA" w:eastAsia="zh-CN"/>
        </w:rPr>
        <w:t xml:space="preserve"> </w:t>
      </w:r>
      <w:r w:rsidRPr="004E1CAF">
        <w:rPr>
          <w:lang w:val="en-CA" w:eastAsia="zh-CN"/>
        </w:rPr>
        <w:t>E. Alshina, R.-L. Liao, S. Liu, A. Segall. JVET common test conditions and evaluation procedures for neural network-based video coding technolog</w:t>
      </w:r>
      <w:r>
        <w:rPr>
          <w:lang w:val="en-CA" w:eastAsia="zh-CN"/>
        </w:rPr>
        <w:t>y. JVET-AD2016, 30</w:t>
      </w:r>
      <w:r w:rsidRPr="001B3F33">
        <w:rPr>
          <w:vertAlign w:val="superscript"/>
          <w:lang w:val="en-CA" w:eastAsia="zh-CN"/>
        </w:rPr>
        <w:t>th</w:t>
      </w:r>
      <w:r>
        <w:rPr>
          <w:lang w:val="en-CA" w:eastAsia="zh-CN"/>
        </w:rPr>
        <w:t xml:space="preserve"> Meeting, Antalya, 21-28 April.</w:t>
      </w:r>
    </w:p>
    <w:p w14:paraId="71D597F2" w14:textId="77777777" w:rsidR="007E4B7E" w:rsidRPr="00795D68" w:rsidRDefault="007E4B7E" w:rsidP="007E4B7E">
      <w:pPr>
        <w:rPr>
          <w:lang w:eastAsia="zh-CN"/>
        </w:rPr>
      </w:pPr>
    </w:p>
    <w:sectPr w:rsidR="007E4B7E" w:rsidRPr="00795D6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7116" w14:textId="77777777" w:rsidR="00F96D04" w:rsidRDefault="00F96D04">
      <w:r>
        <w:separator/>
      </w:r>
    </w:p>
  </w:endnote>
  <w:endnote w:type="continuationSeparator" w:id="0">
    <w:p w14:paraId="60FC3B06" w14:textId="77777777" w:rsidR="00F96D04" w:rsidRDefault="00F9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D5552F" w:rsidR="00B808BC" w:rsidRPr="00C00DDE" w:rsidRDefault="00B808B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B793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B7939">
      <w:rPr>
        <w:rStyle w:val="a5"/>
        <w:noProof/>
      </w:rPr>
      <w:t>2023-07-10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AC419" w14:textId="77777777" w:rsidR="00F96D04" w:rsidRDefault="00F96D04">
      <w:r>
        <w:separator/>
      </w:r>
    </w:p>
  </w:footnote>
  <w:footnote w:type="continuationSeparator" w:id="0">
    <w:p w14:paraId="1640B011" w14:textId="77777777" w:rsidR="00F96D04" w:rsidRDefault="00F96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FE7"/>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0517"/>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5D68"/>
    <w:rsid w:val="00796EE3"/>
    <w:rsid w:val="007A7D29"/>
    <w:rsid w:val="007B4AB8"/>
    <w:rsid w:val="007C081C"/>
    <w:rsid w:val="007D1181"/>
    <w:rsid w:val="007E01A3"/>
    <w:rsid w:val="007E4B7E"/>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8BC"/>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B7939"/>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63C"/>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96D04"/>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2701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data.csail.mit.edu/tofu/dataset/vimeo_triplet.zip"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517</Words>
  <Characters>2951</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80275729</cp:lastModifiedBy>
  <cp:revision>4</cp:revision>
  <cp:lastPrinted>1900-01-01T08:00:00Z</cp:lastPrinted>
  <dcterms:created xsi:type="dcterms:W3CDTF">2023-07-10T14:12:00Z</dcterms:created>
  <dcterms:modified xsi:type="dcterms:W3CDTF">2023-07-10T14:57:00Z</dcterms:modified>
</cp:coreProperties>
</file>