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33DE9" w14:paraId="7E96CA4B" w14:textId="77777777" w:rsidTr="000962AC">
        <w:tc>
          <w:tcPr>
            <w:tcW w:w="6300" w:type="dxa"/>
          </w:tcPr>
          <w:p w14:paraId="18E03134" w14:textId="57BF9C51" w:rsidR="006C5D39" w:rsidRPr="00833DE9" w:rsidRDefault="00EF37F6" w:rsidP="00C97D78">
            <w:pPr>
              <w:tabs>
                <w:tab w:val="left" w:pos="7200"/>
              </w:tabs>
              <w:spacing w:before="0"/>
              <w:rPr>
                <w:b/>
                <w:szCs w:val="22"/>
              </w:rPr>
            </w:pPr>
            <w:r w:rsidRPr="00833DE9">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w:pict w14:anchorId="6E6A7D5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33DE9">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33DE9">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33DE9">
              <w:rPr>
                <w:b/>
                <w:szCs w:val="22"/>
              </w:rPr>
              <w:t xml:space="preserve">Joint </w:t>
            </w:r>
            <w:r w:rsidR="006C5D39" w:rsidRPr="00833DE9">
              <w:rPr>
                <w:b/>
                <w:szCs w:val="22"/>
              </w:rPr>
              <w:t xml:space="preserve">Video </w:t>
            </w:r>
            <w:r w:rsidR="00F712E9" w:rsidRPr="00833DE9">
              <w:rPr>
                <w:b/>
                <w:szCs w:val="22"/>
              </w:rPr>
              <w:t>Experts</w:t>
            </w:r>
            <w:r w:rsidR="009D7CE6" w:rsidRPr="00833DE9">
              <w:rPr>
                <w:b/>
                <w:szCs w:val="22"/>
              </w:rPr>
              <w:t xml:space="preserve"> Team</w:t>
            </w:r>
            <w:r w:rsidR="006C5D39" w:rsidRPr="00833DE9">
              <w:rPr>
                <w:b/>
                <w:szCs w:val="22"/>
              </w:rPr>
              <w:t xml:space="preserve"> (</w:t>
            </w:r>
            <w:r w:rsidR="009D7CE6" w:rsidRPr="00833DE9">
              <w:rPr>
                <w:b/>
                <w:szCs w:val="22"/>
              </w:rPr>
              <w:t>JVET</w:t>
            </w:r>
            <w:r w:rsidR="006C5D39" w:rsidRPr="00833DE9">
              <w:rPr>
                <w:b/>
                <w:szCs w:val="22"/>
              </w:rPr>
              <w:t>)</w:t>
            </w:r>
          </w:p>
          <w:p w14:paraId="6BCC5973" w14:textId="0FCCD71D" w:rsidR="00E61DAC" w:rsidRPr="00833DE9" w:rsidRDefault="00E54511" w:rsidP="00C97D78">
            <w:pPr>
              <w:tabs>
                <w:tab w:val="left" w:pos="7200"/>
              </w:tabs>
              <w:spacing w:before="0"/>
              <w:rPr>
                <w:b/>
                <w:szCs w:val="22"/>
              </w:rPr>
            </w:pPr>
            <w:r w:rsidRPr="00833DE9">
              <w:rPr>
                <w:b/>
                <w:szCs w:val="22"/>
              </w:rPr>
              <w:t xml:space="preserve">of </w:t>
            </w:r>
            <w:r w:rsidR="007F1F8B" w:rsidRPr="00833DE9">
              <w:rPr>
                <w:b/>
                <w:szCs w:val="22"/>
              </w:rPr>
              <w:t>ITU-T SG</w:t>
            </w:r>
            <w:r w:rsidR="005E1AC6" w:rsidRPr="00833DE9">
              <w:rPr>
                <w:b/>
                <w:szCs w:val="22"/>
              </w:rPr>
              <w:t> </w:t>
            </w:r>
            <w:r w:rsidR="007F1F8B" w:rsidRPr="00833DE9">
              <w:rPr>
                <w:b/>
                <w:szCs w:val="22"/>
              </w:rPr>
              <w:t>16 WP</w:t>
            </w:r>
            <w:r w:rsidR="005E1AC6" w:rsidRPr="00833DE9">
              <w:rPr>
                <w:b/>
                <w:szCs w:val="22"/>
              </w:rPr>
              <w:t> </w:t>
            </w:r>
            <w:r w:rsidR="007F1F8B" w:rsidRPr="00833DE9">
              <w:rPr>
                <w:b/>
                <w:szCs w:val="22"/>
              </w:rPr>
              <w:t>3 and ISO/IEC JTC</w:t>
            </w:r>
            <w:r w:rsidR="005E1AC6" w:rsidRPr="00833DE9">
              <w:rPr>
                <w:b/>
                <w:szCs w:val="22"/>
              </w:rPr>
              <w:t> </w:t>
            </w:r>
            <w:r w:rsidR="007F1F8B" w:rsidRPr="00833DE9">
              <w:rPr>
                <w:b/>
                <w:szCs w:val="22"/>
              </w:rPr>
              <w:t>1/SC</w:t>
            </w:r>
            <w:r w:rsidR="005E1AC6" w:rsidRPr="00833DE9">
              <w:rPr>
                <w:b/>
                <w:szCs w:val="22"/>
              </w:rPr>
              <w:t> </w:t>
            </w:r>
            <w:r w:rsidR="007F1F8B" w:rsidRPr="00833DE9">
              <w:rPr>
                <w:b/>
                <w:szCs w:val="22"/>
              </w:rPr>
              <w:t>29</w:t>
            </w:r>
          </w:p>
          <w:p w14:paraId="19908E82" w14:textId="4C20D440" w:rsidR="00E61DAC" w:rsidRPr="00833DE9" w:rsidRDefault="00CA6C65" w:rsidP="00536188">
            <w:pPr>
              <w:tabs>
                <w:tab w:val="left" w:pos="7200"/>
              </w:tabs>
              <w:spacing w:before="0"/>
              <w:rPr>
                <w:b/>
                <w:szCs w:val="22"/>
              </w:rPr>
            </w:pPr>
            <w:r w:rsidRPr="00833DE9">
              <w:t>3</w:t>
            </w:r>
            <w:r w:rsidR="00016BE7" w:rsidRPr="00833DE9">
              <w:t>1st</w:t>
            </w:r>
            <w:r w:rsidR="00084393" w:rsidRPr="00833DE9">
              <w:t xml:space="preserve"> Meeting, </w:t>
            </w:r>
            <w:r w:rsidR="00016BE7" w:rsidRPr="00833DE9">
              <w:t>Geneva</w:t>
            </w:r>
            <w:r w:rsidRPr="00833DE9">
              <w:t xml:space="preserve">, </w:t>
            </w:r>
            <w:r w:rsidR="00016BE7" w:rsidRPr="00833DE9">
              <w:t>CH</w:t>
            </w:r>
            <w:r w:rsidRPr="00833DE9">
              <w:t xml:space="preserve">, </w:t>
            </w:r>
            <w:r w:rsidR="00016BE7" w:rsidRPr="00833DE9">
              <w:t>1</w:t>
            </w:r>
            <w:r w:rsidRPr="00833DE9">
              <w:t>1–</w:t>
            </w:r>
            <w:r w:rsidR="00016BE7" w:rsidRPr="00833DE9">
              <w:t>19</w:t>
            </w:r>
            <w:r w:rsidRPr="00833DE9">
              <w:t xml:space="preserve"> </w:t>
            </w:r>
            <w:r w:rsidR="00016BE7" w:rsidRPr="00833DE9">
              <w:t>July</w:t>
            </w:r>
            <w:r w:rsidRPr="00833DE9">
              <w:t xml:space="preserve"> 2023</w:t>
            </w:r>
          </w:p>
        </w:tc>
        <w:tc>
          <w:tcPr>
            <w:tcW w:w="3060" w:type="dxa"/>
          </w:tcPr>
          <w:p w14:paraId="59B7E346" w14:textId="088630DB" w:rsidR="008A4B4C" w:rsidRPr="00833DE9" w:rsidRDefault="00E61DAC" w:rsidP="00536188">
            <w:pPr>
              <w:tabs>
                <w:tab w:val="left" w:pos="7200"/>
              </w:tabs>
              <w:rPr>
                <w:u w:val="single"/>
              </w:rPr>
            </w:pPr>
            <w:r w:rsidRPr="00833DE9">
              <w:t>Document</w:t>
            </w:r>
            <w:r w:rsidR="006C5D39" w:rsidRPr="00833DE9">
              <w:t xml:space="preserve">: </w:t>
            </w:r>
            <w:r w:rsidR="009D7CE6" w:rsidRPr="00833DE9">
              <w:t>JVET</w:t>
            </w:r>
            <w:r w:rsidRPr="00833DE9">
              <w:t>-</w:t>
            </w:r>
            <w:r w:rsidR="000C5F4C" w:rsidRPr="00833DE9">
              <w:t>A</w:t>
            </w:r>
            <w:r w:rsidR="00016BE7" w:rsidRPr="00833DE9">
              <w:t>E</w:t>
            </w:r>
            <w:r w:rsidR="004F393F">
              <w:t>0196</w:t>
            </w:r>
            <w:r w:rsidR="006A0E5C" w:rsidRPr="00833DE9">
              <w:t>-v</w:t>
            </w:r>
            <w:r w:rsidR="004F393F">
              <w:t>1</w:t>
            </w:r>
          </w:p>
        </w:tc>
      </w:tr>
    </w:tbl>
    <w:p w14:paraId="79DBA597" w14:textId="77777777" w:rsidR="00E61DAC" w:rsidRPr="00833DE9" w:rsidRDefault="00E61DAC" w:rsidP="00531AE9">
      <w:pPr>
        <w:spacing w:before="0"/>
      </w:pPr>
    </w:p>
    <w:tbl>
      <w:tblPr>
        <w:tblW w:w="9639" w:type="dxa"/>
        <w:tblLayout w:type="fixed"/>
        <w:tblLook w:val="0000" w:firstRow="0" w:lastRow="0" w:firstColumn="0" w:lastColumn="0" w:noHBand="0" w:noVBand="0"/>
      </w:tblPr>
      <w:tblGrid>
        <w:gridCol w:w="1458"/>
        <w:gridCol w:w="3787"/>
        <w:gridCol w:w="900"/>
        <w:gridCol w:w="3494"/>
      </w:tblGrid>
      <w:tr w:rsidR="00E61DAC" w:rsidRPr="00833DE9" w14:paraId="188D2B50" w14:textId="77777777" w:rsidTr="1D56E3CB">
        <w:tc>
          <w:tcPr>
            <w:tcW w:w="1458" w:type="dxa"/>
          </w:tcPr>
          <w:p w14:paraId="7A6C85EB" w14:textId="77777777" w:rsidR="00E61DAC" w:rsidRPr="00833DE9" w:rsidRDefault="00E61DAC">
            <w:pPr>
              <w:spacing w:before="60" w:after="60"/>
              <w:rPr>
                <w:i/>
                <w:szCs w:val="22"/>
              </w:rPr>
            </w:pPr>
            <w:r w:rsidRPr="00833DE9">
              <w:rPr>
                <w:i/>
                <w:szCs w:val="22"/>
              </w:rPr>
              <w:t>Title:</w:t>
            </w:r>
          </w:p>
        </w:tc>
        <w:tc>
          <w:tcPr>
            <w:tcW w:w="8181" w:type="dxa"/>
            <w:gridSpan w:val="3"/>
          </w:tcPr>
          <w:p w14:paraId="305A7026" w14:textId="251050D7" w:rsidR="00E61DAC" w:rsidRPr="00833DE9" w:rsidRDefault="005510C7" w:rsidP="009D7CE6">
            <w:pPr>
              <w:spacing w:before="60" w:after="60"/>
              <w:rPr>
                <w:b/>
                <w:szCs w:val="22"/>
              </w:rPr>
            </w:pPr>
            <w:r w:rsidRPr="00833DE9">
              <w:rPr>
                <w:b/>
                <w:szCs w:val="22"/>
              </w:rPr>
              <w:t>EE2</w:t>
            </w:r>
            <w:r w:rsidR="000C2C19" w:rsidRPr="00833DE9">
              <w:rPr>
                <w:b/>
                <w:szCs w:val="22"/>
              </w:rPr>
              <w:t>-3.4</w:t>
            </w:r>
            <w:r w:rsidRPr="00833DE9">
              <w:rPr>
                <w:b/>
                <w:szCs w:val="22"/>
              </w:rPr>
              <w:t xml:space="preserve">: </w:t>
            </w:r>
            <w:r w:rsidR="000C2C19" w:rsidRPr="00833DE9">
              <w:rPr>
                <w:b/>
                <w:szCs w:val="22"/>
              </w:rPr>
              <w:t xml:space="preserve">OBMC with </w:t>
            </w:r>
            <w:proofErr w:type="spellStart"/>
            <w:r w:rsidR="000C2C19" w:rsidRPr="00833DE9">
              <w:rPr>
                <w:b/>
                <w:szCs w:val="22"/>
              </w:rPr>
              <w:t>HPel</w:t>
            </w:r>
            <w:proofErr w:type="spellEnd"/>
            <w:r w:rsidR="000C2C19" w:rsidRPr="00833DE9">
              <w:rPr>
                <w:b/>
                <w:szCs w:val="22"/>
              </w:rPr>
              <w:t xml:space="preserve"> flag and BCW weights</w:t>
            </w:r>
          </w:p>
        </w:tc>
      </w:tr>
      <w:tr w:rsidR="00E61DAC" w:rsidRPr="00833DE9" w14:paraId="3D8B01B2" w14:textId="77777777" w:rsidTr="1D56E3CB">
        <w:tc>
          <w:tcPr>
            <w:tcW w:w="1458" w:type="dxa"/>
          </w:tcPr>
          <w:p w14:paraId="7AC356CE" w14:textId="77777777" w:rsidR="00E61DAC" w:rsidRPr="00833DE9" w:rsidRDefault="00E61DAC">
            <w:pPr>
              <w:spacing w:before="60" w:after="60"/>
              <w:rPr>
                <w:i/>
                <w:szCs w:val="22"/>
              </w:rPr>
            </w:pPr>
            <w:r w:rsidRPr="00833DE9">
              <w:rPr>
                <w:i/>
                <w:szCs w:val="22"/>
              </w:rPr>
              <w:t>Status:</w:t>
            </w:r>
          </w:p>
        </w:tc>
        <w:tc>
          <w:tcPr>
            <w:tcW w:w="8181" w:type="dxa"/>
            <w:gridSpan w:val="3"/>
          </w:tcPr>
          <w:p w14:paraId="32E60643" w14:textId="11D32C7B" w:rsidR="00E61DAC" w:rsidRPr="00833DE9" w:rsidRDefault="0013458C" w:rsidP="009D7CE6">
            <w:pPr>
              <w:spacing w:before="60" w:after="60"/>
              <w:rPr>
                <w:szCs w:val="22"/>
              </w:rPr>
            </w:pPr>
            <w:r w:rsidRPr="00833DE9">
              <w:rPr>
                <w:szCs w:val="22"/>
              </w:rPr>
              <w:t>Input d</w:t>
            </w:r>
            <w:r w:rsidR="00E61DAC" w:rsidRPr="00833DE9">
              <w:rPr>
                <w:szCs w:val="22"/>
              </w:rPr>
              <w:t xml:space="preserve">ocument to </w:t>
            </w:r>
            <w:r w:rsidR="009D7CE6" w:rsidRPr="00833DE9">
              <w:rPr>
                <w:szCs w:val="22"/>
              </w:rPr>
              <w:t>JVET</w:t>
            </w:r>
          </w:p>
        </w:tc>
      </w:tr>
      <w:tr w:rsidR="00E61DAC" w:rsidRPr="00833DE9" w14:paraId="7E6D99E3" w14:textId="77777777" w:rsidTr="1D56E3CB">
        <w:tc>
          <w:tcPr>
            <w:tcW w:w="1458" w:type="dxa"/>
          </w:tcPr>
          <w:p w14:paraId="18CCDCD6" w14:textId="77777777" w:rsidR="00E61DAC" w:rsidRPr="00833DE9" w:rsidRDefault="00E61DAC">
            <w:pPr>
              <w:spacing w:before="60" w:after="60"/>
              <w:rPr>
                <w:i/>
                <w:szCs w:val="22"/>
              </w:rPr>
            </w:pPr>
            <w:r w:rsidRPr="00833DE9">
              <w:rPr>
                <w:i/>
                <w:szCs w:val="22"/>
              </w:rPr>
              <w:t>Purpose:</w:t>
            </w:r>
          </w:p>
        </w:tc>
        <w:tc>
          <w:tcPr>
            <w:tcW w:w="8181" w:type="dxa"/>
            <w:gridSpan w:val="3"/>
          </w:tcPr>
          <w:p w14:paraId="0640C90D" w14:textId="20311C52" w:rsidR="00E61DAC" w:rsidRPr="00833DE9" w:rsidRDefault="003F577B" w:rsidP="005E1AC6">
            <w:pPr>
              <w:spacing w:before="60" w:after="60"/>
              <w:rPr>
                <w:szCs w:val="22"/>
              </w:rPr>
            </w:pPr>
            <w:r w:rsidRPr="00833DE9">
              <w:rPr>
                <w:szCs w:val="22"/>
              </w:rPr>
              <w:t>Proposal</w:t>
            </w:r>
          </w:p>
        </w:tc>
      </w:tr>
      <w:tr w:rsidR="00E61DAC" w:rsidRPr="00833DE9" w14:paraId="714CD808" w14:textId="77777777" w:rsidTr="1D56E3CB">
        <w:tc>
          <w:tcPr>
            <w:tcW w:w="1458" w:type="dxa"/>
          </w:tcPr>
          <w:p w14:paraId="4DB59313" w14:textId="77777777" w:rsidR="00E61DAC" w:rsidRPr="00833DE9" w:rsidRDefault="00E61DAC">
            <w:pPr>
              <w:spacing w:before="60" w:after="60"/>
              <w:rPr>
                <w:i/>
                <w:szCs w:val="22"/>
              </w:rPr>
            </w:pPr>
            <w:r w:rsidRPr="00833DE9">
              <w:rPr>
                <w:i/>
                <w:szCs w:val="22"/>
              </w:rPr>
              <w:t>Author(s) or</w:t>
            </w:r>
            <w:r w:rsidRPr="00833DE9">
              <w:rPr>
                <w:i/>
                <w:szCs w:val="22"/>
              </w:rPr>
              <w:br/>
              <w:t>Contact(s):</w:t>
            </w:r>
          </w:p>
        </w:tc>
        <w:tc>
          <w:tcPr>
            <w:tcW w:w="3787" w:type="dxa"/>
          </w:tcPr>
          <w:p w14:paraId="49D81240" w14:textId="109C76A2" w:rsidR="00E61DAC" w:rsidRPr="00E01D36" w:rsidRDefault="000C2C19" w:rsidP="000C2C19">
            <w:pPr>
              <w:spacing w:before="60" w:after="60"/>
              <w:rPr>
                <w:lang w:val="fr-FR"/>
              </w:rPr>
            </w:pPr>
            <w:r w:rsidRPr="00E01D36">
              <w:rPr>
                <w:lang w:val="fr-FR"/>
              </w:rPr>
              <w:t>Antoine Robert</w:t>
            </w:r>
            <w:r w:rsidRPr="00E01D36">
              <w:rPr>
                <w:lang w:val="fr-FR"/>
              </w:rPr>
              <w:br/>
            </w:r>
            <w:r w:rsidR="332F6CAF" w:rsidRPr="00E01D36">
              <w:rPr>
                <w:lang w:val="fr-FR"/>
              </w:rPr>
              <w:t>Fabrice Le L</w:t>
            </w:r>
            <w:r w:rsidR="7EA0A6CB" w:rsidRPr="00E01D36">
              <w:rPr>
                <w:lang w:val="fr-FR"/>
              </w:rPr>
              <w:t>é</w:t>
            </w:r>
            <w:r w:rsidR="332F6CAF" w:rsidRPr="00E01D36">
              <w:rPr>
                <w:lang w:val="fr-FR"/>
              </w:rPr>
              <w:t>annec</w:t>
            </w:r>
            <w:r w:rsidRPr="00E01D36">
              <w:rPr>
                <w:lang w:val="fr-FR"/>
              </w:rPr>
              <w:br/>
            </w:r>
            <w:r w:rsidR="332F6CAF" w:rsidRPr="00E01D36">
              <w:rPr>
                <w:lang w:val="fr-FR"/>
              </w:rPr>
              <w:t>Franck Galpin</w:t>
            </w:r>
            <w:r w:rsidR="00D85ADF" w:rsidRPr="00E01D36">
              <w:rPr>
                <w:lang w:val="fr-FR"/>
              </w:rPr>
              <w:br/>
            </w:r>
            <w:r w:rsidR="00B1398E" w:rsidRPr="00E01D36">
              <w:rPr>
                <w:lang w:val="fr-FR"/>
              </w:rPr>
              <w:t>Tangi Poirier</w:t>
            </w:r>
            <w:r w:rsidR="00B1398E" w:rsidRPr="00E01D36">
              <w:rPr>
                <w:lang w:val="fr-FR"/>
              </w:rPr>
              <w:br/>
              <w:t>Ya Chen</w:t>
            </w:r>
          </w:p>
        </w:tc>
        <w:tc>
          <w:tcPr>
            <w:tcW w:w="900" w:type="dxa"/>
          </w:tcPr>
          <w:p w14:paraId="0140ECA2" w14:textId="7DFA0F6F" w:rsidR="00E61DAC" w:rsidRPr="00833DE9" w:rsidRDefault="00E61DAC">
            <w:pPr>
              <w:spacing w:before="60" w:after="60"/>
              <w:rPr>
                <w:szCs w:val="22"/>
              </w:rPr>
            </w:pPr>
            <w:r w:rsidRPr="00833DE9">
              <w:rPr>
                <w:szCs w:val="22"/>
              </w:rPr>
              <w:t>Email:</w:t>
            </w:r>
          </w:p>
        </w:tc>
        <w:tc>
          <w:tcPr>
            <w:tcW w:w="3494" w:type="dxa"/>
          </w:tcPr>
          <w:p w14:paraId="2E2F82B5" w14:textId="7D2F1287" w:rsidR="00202B23" w:rsidRPr="00833DE9" w:rsidRDefault="00000000" w:rsidP="00BA1487">
            <w:pPr>
              <w:spacing w:before="60" w:after="60"/>
              <w:rPr>
                <w:rStyle w:val="Hyperlink"/>
              </w:rPr>
            </w:pPr>
            <w:hyperlink r:id="rId13" w:history="1">
              <w:r w:rsidR="000C2C19" w:rsidRPr="00833DE9">
                <w:rPr>
                  <w:rStyle w:val="Hyperlink"/>
                </w:rPr>
                <w:t>antoine.robert@interdigital.com</w:t>
              </w:r>
            </w:hyperlink>
          </w:p>
          <w:p w14:paraId="32C2ABFD" w14:textId="1E2DE0FE" w:rsidR="00E61DAC" w:rsidRPr="00833DE9" w:rsidRDefault="00E61DAC" w:rsidP="00BA1487">
            <w:pPr>
              <w:spacing w:before="60" w:after="120"/>
              <w:rPr>
                <w:szCs w:val="22"/>
              </w:rPr>
            </w:pPr>
          </w:p>
        </w:tc>
      </w:tr>
      <w:tr w:rsidR="00E61DAC" w:rsidRPr="00833DE9" w14:paraId="49AFAA61" w14:textId="77777777" w:rsidTr="1D56E3CB">
        <w:tc>
          <w:tcPr>
            <w:tcW w:w="1458" w:type="dxa"/>
          </w:tcPr>
          <w:p w14:paraId="2C08AF6B" w14:textId="77777777" w:rsidR="00E61DAC" w:rsidRPr="00833DE9" w:rsidRDefault="00E61DAC">
            <w:pPr>
              <w:spacing w:before="60" w:after="60"/>
              <w:rPr>
                <w:i/>
                <w:szCs w:val="22"/>
              </w:rPr>
            </w:pPr>
            <w:r w:rsidRPr="00833DE9">
              <w:rPr>
                <w:i/>
                <w:szCs w:val="22"/>
              </w:rPr>
              <w:t>Source:</w:t>
            </w:r>
          </w:p>
        </w:tc>
        <w:tc>
          <w:tcPr>
            <w:tcW w:w="8181" w:type="dxa"/>
            <w:gridSpan w:val="3"/>
          </w:tcPr>
          <w:p w14:paraId="643E6B85" w14:textId="09921343" w:rsidR="00E61DAC" w:rsidRPr="00833DE9" w:rsidRDefault="00FE398F">
            <w:pPr>
              <w:spacing w:before="60" w:after="60"/>
              <w:rPr>
                <w:szCs w:val="22"/>
              </w:rPr>
            </w:pPr>
            <w:proofErr w:type="spellStart"/>
            <w:r w:rsidRPr="00833DE9">
              <w:rPr>
                <w:szCs w:val="22"/>
              </w:rPr>
              <w:t>InterDigital</w:t>
            </w:r>
            <w:proofErr w:type="spellEnd"/>
          </w:p>
        </w:tc>
      </w:tr>
    </w:tbl>
    <w:p w14:paraId="732815A4" w14:textId="77777777" w:rsidR="00E61DAC" w:rsidRPr="00833DE9" w:rsidRDefault="00E61DAC">
      <w:pPr>
        <w:tabs>
          <w:tab w:val="right" w:pos="9360"/>
        </w:tabs>
        <w:spacing w:before="120" w:after="240"/>
        <w:jc w:val="center"/>
        <w:rPr>
          <w:szCs w:val="22"/>
        </w:rPr>
      </w:pPr>
      <w:r w:rsidRPr="00833DE9">
        <w:rPr>
          <w:szCs w:val="22"/>
          <w:u w:val="single"/>
        </w:rPr>
        <w:t>_____________________________</w:t>
      </w:r>
    </w:p>
    <w:p w14:paraId="63D31C94" w14:textId="77777777" w:rsidR="00275BCF" w:rsidRPr="00833DE9" w:rsidRDefault="00275BCF" w:rsidP="009234A5">
      <w:pPr>
        <w:pStyle w:val="Heading1"/>
        <w:numPr>
          <w:ilvl w:val="0"/>
          <w:numId w:val="0"/>
        </w:numPr>
        <w:ind w:left="432" w:hanging="432"/>
      </w:pPr>
      <w:r w:rsidRPr="00833DE9">
        <w:t>Abstract</w:t>
      </w:r>
    </w:p>
    <w:p w14:paraId="1A6F2AB6" w14:textId="60C51D0F" w:rsidR="000C2C19" w:rsidRPr="00833DE9" w:rsidRDefault="000C2C19" w:rsidP="00833DE9">
      <w:r w:rsidRPr="00833DE9">
        <w:t xml:space="preserve">This contribution reports the results of EE2 test 3.4 that proposes to use the </w:t>
      </w:r>
      <w:proofErr w:type="spellStart"/>
      <w:r w:rsidRPr="00833DE9">
        <w:t>HPel</w:t>
      </w:r>
      <w:proofErr w:type="spellEnd"/>
      <w:r w:rsidRPr="00833DE9">
        <w:t xml:space="preserve"> flag and the BCW weights of the neighboring and current CUs in the OBMC process.</w:t>
      </w:r>
    </w:p>
    <w:p w14:paraId="35C63CB8" w14:textId="79189659" w:rsidR="000C2C19" w:rsidRDefault="000C2C19" w:rsidP="00833DE9">
      <w:r w:rsidRPr="00833DE9">
        <w:t>The reported simulation results of the proposed method on top of the ECM-9.0 show gain of {0.01%, -0.</w:t>
      </w:r>
      <w:r w:rsidR="00833DE9" w:rsidRPr="00833DE9">
        <w:t>02</w:t>
      </w:r>
      <w:r w:rsidRPr="00833DE9">
        <w:t>%, -0.</w:t>
      </w:r>
      <w:r w:rsidR="00833DE9" w:rsidRPr="00833DE9">
        <w:t>02</w:t>
      </w:r>
      <w:r w:rsidRPr="00833DE9">
        <w:t>%} and {0.</w:t>
      </w:r>
      <w:r w:rsidR="00833DE9" w:rsidRPr="00833DE9">
        <w:t>01</w:t>
      </w:r>
      <w:r w:rsidRPr="00833DE9">
        <w:t>%, 0.2</w:t>
      </w:r>
      <w:r w:rsidR="00833DE9" w:rsidRPr="00833DE9">
        <w:t>6</w:t>
      </w:r>
      <w:r w:rsidRPr="00833DE9">
        <w:t>%, 0.</w:t>
      </w:r>
      <w:r w:rsidR="00833DE9" w:rsidRPr="00833DE9">
        <w:t>06</w:t>
      </w:r>
      <w:r w:rsidRPr="00833DE9">
        <w:t xml:space="preserve">%} for YUV in RA and LDB respectively with an unchanged complexity of the </w:t>
      </w:r>
      <w:r w:rsidR="00833DE9" w:rsidRPr="00833DE9">
        <w:t xml:space="preserve">encoder and </w:t>
      </w:r>
      <w:r w:rsidRPr="00833DE9">
        <w:t>decoder.</w:t>
      </w:r>
    </w:p>
    <w:p w14:paraId="4C758026" w14:textId="430970D6" w:rsidR="00387469" w:rsidRPr="00833DE9" w:rsidRDefault="00387469" w:rsidP="00833DE9">
      <w:r>
        <w:rPr>
          <w:rStyle w:val="normaltextrun"/>
          <w:color w:val="000000"/>
          <w:szCs w:val="22"/>
          <w:shd w:val="clear" w:color="auto" w:fill="FFFFFF"/>
        </w:rPr>
        <w:t xml:space="preserve">It </w:t>
      </w:r>
      <w:proofErr w:type="gramStart"/>
      <w:r>
        <w:rPr>
          <w:rStyle w:val="normaltextrun"/>
          <w:color w:val="000000"/>
          <w:szCs w:val="22"/>
          <w:shd w:val="clear" w:color="auto" w:fill="FFFFFF"/>
        </w:rPr>
        <w:t>has to</w:t>
      </w:r>
      <w:proofErr w:type="gramEnd"/>
      <w:r>
        <w:rPr>
          <w:rStyle w:val="normaltextrun"/>
          <w:color w:val="000000"/>
          <w:szCs w:val="22"/>
          <w:shd w:val="clear" w:color="auto" w:fill="FFFFFF"/>
        </w:rPr>
        <w:t xml:space="preserve"> be noticed that the drop in gain on ECM-9.0 compared to the initial proposal JVET-AD0183 is due to the </w:t>
      </w:r>
      <w:r w:rsidR="007118BB">
        <w:rPr>
          <w:rStyle w:val="normaltextrun"/>
          <w:color w:val="000000"/>
          <w:szCs w:val="22"/>
          <w:shd w:val="clear" w:color="auto" w:fill="FFFFFF"/>
        </w:rPr>
        <w:t>implementation</w:t>
      </w:r>
      <w:r w:rsidR="00E150DD">
        <w:rPr>
          <w:rStyle w:val="normaltextrun"/>
          <w:color w:val="000000"/>
          <w:szCs w:val="22"/>
          <w:shd w:val="clear" w:color="auto" w:fill="FFFFFF"/>
        </w:rPr>
        <w:t xml:space="preserve"> in ECM9.0</w:t>
      </w:r>
      <w:r w:rsidR="007118BB">
        <w:rPr>
          <w:rStyle w:val="normaltextrun"/>
          <w:color w:val="000000"/>
          <w:szCs w:val="22"/>
          <w:shd w:val="clear" w:color="auto" w:fill="FFFFFF"/>
        </w:rPr>
        <w:t xml:space="preserve"> of the adopted contribution</w:t>
      </w:r>
      <w:r>
        <w:rPr>
          <w:rStyle w:val="normaltextrun"/>
          <w:color w:val="000000"/>
          <w:szCs w:val="22"/>
          <w:shd w:val="clear" w:color="auto" w:fill="FFFFFF"/>
        </w:rPr>
        <w:t xml:space="preserve"> JVET-AD0213 on improvements of LIC that </w:t>
      </w:r>
      <w:r w:rsidR="00E150DD">
        <w:rPr>
          <w:rStyle w:val="normaltextrun"/>
          <w:color w:val="000000"/>
          <w:szCs w:val="22"/>
          <w:shd w:val="clear" w:color="auto" w:fill="FFFFFF"/>
        </w:rPr>
        <w:t xml:space="preserve">turns out to </w:t>
      </w:r>
      <w:r>
        <w:rPr>
          <w:rStyle w:val="normaltextrun"/>
          <w:color w:val="000000"/>
          <w:szCs w:val="22"/>
          <w:shd w:val="clear" w:color="auto" w:fill="FFFFFF"/>
        </w:rPr>
        <w:t xml:space="preserve">incorporate </w:t>
      </w:r>
      <w:r w:rsidR="005123D9">
        <w:rPr>
          <w:rStyle w:val="normaltextrun"/>
          <w:color w:val="000000"/>
          <w:szCs w:val="22"/>
          <w:shd w:val="clear" w:color="auto" w:fill="FFFFFF"/>
        </w:rPr>
        <w:t>most of</w:t>
      </w:r>
      <w:r>
        <w:rPr>
          <w:rStyle w:val="normaltextrun"/>
          <w:color w:val="000000"/>
          <w:szCs w:val="22"/>
          <w:shd w:val="clear" w:color="auto" w:fill="FFFFFF"/>
        </w:rPr>
        <w:t xml:space="preserve"> the aspects of this proposal.</w:t>
      </w:r>
    </w:p>
    <w:p w14:paraId="246E8025" w14:textId="77777777" w:rsidR="00833DE9" w:rsidRPr="00833DE9" w:rsidRDefault="00833DE9" w:rsidP="00833DE9"/>
    <w:p w14:paraId="31225ECA" w14:textId="77777777" w:rsidR="00BA1487" w:rsidRPr="00833DE9" w:rsidRDefault="00A0304F" w:rsidP="00BA1487">
      <w:pPr>
        <w:pStyle w:val="Heading1"/>
      </w:pPr>
      <w:r w:rsidRPr="00833DE9">
        <w:t>Introduction</w:t>
      </w:r>
    </w:p>
    <w:p w14:paraId="45F6FFB5" w14:textId="6F05F531" w:rsidR="00833DE9" w:rsidRDefault="00341882" w:rsidP="00833DE9">
      <w:r>
        <w:t xml:space="preserve">Prior to </w:t>
      </w:r>
      <w:r w:rsidRPr="00833DE9">
        <w:t>the OBMC process</w:t>
      </w:r>
      <w:r>
        <w:t>, t</w:t>
      </w:r>
      <w:r w:rsidRPr="00833DE9">
        <w:t>he prediction of the current CU has already been calculated</w:t>
      </w:r>
      <w:r>
        <w:t xml:space="preserve"> </w:t>
      </w:r>
      <w:r w:rsidRPr="00833DE9">
        <w:t xml:space="preserve">by using all the motion information, including the </w:t>
      </w:r>
      <w:proofErr w:type="spellStart"/>
      <w:r w:rsidRPr="00833DE9">
        <w:t>HPel</w:t>
      </w:r>
      <w:proofErr w:type="spellEnd"/>
      <w:r w:rsidRPr="00833DE9">
        <w:t xml:space="preserve"> flag and BCW weight. While the motion compensation of the neighboring blocks and subblocks performed by</w:t>
      </w:r>
      <w:r>
        <w:t xml:space="preserve"> OBMC</w:t>
      </w:r>
      <w:r w:rsidRPr="00833DE9">
        <w:t xml:space="preserve"> </w:t>
      </w:r>
      <w:r>
        <w:t xml:space="preserve">only </w:t>
      </w:r>
      <w:r w:rsidRPr="00833DE9">
        <w:t>consider</w:t>
      </w:r>
      <w:r>
        <w:t>s</w:t>
      </w:r>
      <w:r w:rsidRPr="00833DE9">
        <w:t xml:space="preserve"> the motion vectors and reference frames</w:t>
      </w:r>
      <w:r>
        <w:t>.</w:t>
      </w:r>
    </w:p>
    <w:p w14:paraId="357EA461" w14:textId="77777777" w:rsidR="00341882" w:rsidRPr="00833DE9" w:rsidRDefault="00341882" w:rsidP="00833DE9"/>
    <w:p w14:paraId="7D2AC1F0" w14:textId="08B81AE0" w:rsidR="00745F6B" w:rsidRPr="00833DE9" w:rsidRDefault="00D54D4E" w:rsidP="00E11923">
      <w:pPr>
        <w:pStyle w:val="Heading1"/>
      </w:pPr>
      <w:r w:rsidRPr="00833DE9">
        <w:t>Proposal</w:t>
      </w:r>
    </w:p>
    <w:p w14:paraId="3DD31442" w14:textId="36D9F2D4" w:rsidR="00833DE9" w:rsidRPr="00833DE9" w:rsidRDefault="00833DE9" w:rsidP="00833DE9">
      <w:r w:rsidRPr="00833DE9">
        <w:rPr>
          <w:rStyle w:val="normaltextrun"/>
          <w:color w:val="000000"/>
          <w:szCs w:val="22"/>
          <w:shd w:val="clear" w:color="auto" w:fill="FFFFFF"/>
        </w:rPr>
        <w:t>This EE2 test 3.4</w:t>
      </w:r>
      <w:r w:rsidR="00B1398E">
        <w:rPr>
          <w:rStyle w:val="normaltextrun"/>
          <w:color w:val="000000"/>
          <w:szCs w:val="22"/>
          <w:shd w:val="clear" w:color="auto" w:fill="FFFFFF"/>
        </w:rPr>
        <w:t xml:space="preserve"> [1]</w:t>
      </w:r>
      <w:r w:rsidRPr="00833DE9">
        <w:rPr>
          <w:rStyle w:val="normaltextrun"/>
          <w:color w:val="000000"/>
          <w:szCs w:val="22"/>
          <w:shd w:val="clear" w:color="auto" w:fill="FFFFFF"/>
        </w:rPr>
        <w:t xml:space="preserve"> aims at using the </w:t>
      </w:r>
      <w:proofErr w:type="spellStart"/>
      <w:r w:rsidRPr="00833DE9">
        <w:rPr>
          <w:rStyle w:val="normaltextrun"/>
          <w:color w:val="000000"/>
          <w:szCs w:val="22"/>
          <w:shd w:val="clear" w:color="auto" w:fill="FFFFFF"/>
        </w:rPr>
        <w:t>HPel</w:t>
      </w:r>
      <w:proofErr w:type="spellEnd"/>
      <w:r w:rsidRPr="00833DE9">
        <w:rPr>
          <w:rStyle w:val="normaltextrun"/>
          <w:color w:val="000000"/>
          <w:szCs w:val="22"/>
          <w:shd w:val="clear" w:color="auto" w:fill="FFFFFF"/>
        </w:rPr>
        <w:t xml:space="preserve"> flags and the BCW weights of the neighboring blocks and subblocks into the OBMC process as b</w:t>
      </w:r>
      <w:r w:rsidRPr="00833DE9">
        <w:rPr>
          <w:rStyle w:val="normaltextrun"/>
          <w:szCs w:val="22"/>
        </w:rPr>
        <w:t>oth BCW and AMVR indexes can modify the predicted samples in the OBMC motion compensation. It is then proposed to incorporate them into the OBMC process to better fit the real predicted signal.</w:t>
      </w:r>
    </w:p>
    <w:p w14:paraId="65BD0C87" w14:textId="2EB696E4" w:rsidR="00833DE9" w:rsidRPr="00833DE9" w:rsidRDefault="00833DE9" w:rsidP="00833DE9">
      <w:r w:rsidRPr="00833DE9">
        <w:t xml:space="preserve">When processing the top and left borders, the neighboring BCW weights and </w:t>
      </w:r>
      <w:proofErr w:type="spellStart"/>
      <w:r w:rsidRPr="00833DE9">
        <w:t>HPel</w:t>
      </w:r>
      <w:proofErr w:type="spellEnd"/>
      <w:r w:rsidRPr="00833DE9">
        <w:t xml:space="preserve"> flags are used in addition to the motion vectors and reference frames. The neighboring </w:t>
      </w:r>
      <w:proofErr w:type="spellStart"/>
      <w:r w:rsidRPr="00833DE9">
        <w:t>HPel</w:t>
      </w:r>
      <w:proofErr w:type="spellEnd"/>
      <w:r w:rsidRPr="00833DE9">
        <w:t xml:space="preserve"> flag allows setting the </w:t>
      </w:r>
      <w:r w:rsidR="00341882">
        <w:t xml:space="preserve">correct </w:t>
      </w:r>
      <w:r w:rsidRPr="00833DE9">
        <w:t>AMVR index. For the internal subblock boundaries, the BCW and AMVR indexes of the current CU are also used.</w:t>
      </w:r>
    </w:p>
    <w:p w14:paraId="53DDA606" w14:textId="77777777" w:rsidR="00D01C79" w:rsidRPr="00833DE9" w:rsidRDefault="00D01C79" w:rsidP="00D72FEE">
      <w:pPr>
        <w:rPr>
          <w:szCs w:val="22"/>
        </w:rPr>
      </w:pPr>
    </w:p>
    <w:p w14:paraId="4C51512F" w14:textId="24064EF2" w:rsidR="00F967B6" w:rsidRPr="00833DE9" w:rsidRDefault="00F6726B" w:rsidP="00F967B6">
      <w:pPr>
        <w:pStyle w:val="Heading1"/>
      </w:pPr>
      <w:r w:rsidRPr="00833DE9">
        <w:lastRenderedPageBreak/>
        <w:t>Experimental results</w:t>
      </w:r>
    </w:p>
    <w:p w14:paraId="6026D1F3" w14:textId="16AE87EB" w:rsidR="00F967B6" w:rsidRPr="00833DE9" w:rsidRDefault="00F6726B" w:rsidP="00D01C79">
      <w:pPr>
        <w:rPr>
          <w:szCs w:val="22"/>
        </w:rPr>
      </w:pPr>
      <w:r w:rsidRPr="00833DE9">
        <w:rPr>
          <w:szCs w:val="22"/>
        </w:rPr>
        <w:t xml:space="preserve">The proposal </w:t>
      </w:r>
      <w:r w:rsidR="00D01C79" w:rsidRPr="00833DE9">
        <w:rPr>
          <w:szCs w:val="22"/>
        </w:rPr>
        <w:t>is implemented on</w:t>
      </w:r>
      <w:r w:rsidR="00833DE9" w:rsidRPr="00833DE9">
        <w:rPr>
          <w:szCs w:val="22"/>
        </w:rPr>
        <w:t xml:space="preserve"> top of the ECM-9.0 software [</w:t>
      </w:r>
      <w:r w:rsidR="00B1398E">
        <w:rPr>
          <w:szCs w:val="22"/>
        </w:rPr>
        <w:t>2</w:t>
      </w:r>
      <w:r w:rsidR="00833DE9" w:rsidRPr="00833DE9">
        <w:rPr>
          <w:szCs w:val="22"/>
        </w:rPr>
        <w:t>] under the CTC conditions [</w:t>
      </w:r>
      <w:r w:rsidR="00B1398E">
        <w:rPr>
          <w:szCs w:val="22"/>
        </w:rPr>
        <w:t>3</w:t>
      </w:r>
      <w:r w:rsidR="00833DE9" w:rsidRPr="00833DE9">
        <w:rPr>
          <w:szCs w:val="22"/>
        </w:rPr>
        <w:t xml:space="preserve">]. The simulation results in RA and LDB are depicted in </w:t>
      </w:r>
      <w:r w:rsidR="00833DE9" w:rsidRPr="00833DE9">
        <w:rPr>
          <w:szCs w:val="22"/>
        </w:rPr>
        <w:fldChar w:fldCharType="begin"/>
      </w:r>
      <w:r w:rsidR="00833DE9" w:rsidRPr="00833DE9">
        <w:rPr>
          <w:szCs w:val="22"/>
        </w:rPr>
        <w:instrText xml:space="preserve"> REF _Ref132294862 \h </w:instrText>
      </w:r>
      <w:r w:rsidR="00833DE9" w:rsidRPr="00833DE9">
        <w:rPr>
          <w:szCs w:val="22"/>
        </w:rPr>
      </w:r>
      <w:r w:rsidR="00833DE9" w:rsidRPr="00833DE9">
        <w:rPr>
          <w:szCs w:val="22"/>
        </w:rPr>
        <w:fldChar w:fldCharType="separate"/>
      </w:r>
      <w:r w:rsidR="00833DE9" w:rsidRPr="00833DE9">
        <w:t xml:space="preserve">Table </w:t>
      </w:r>
      <w:r w:rsidR="00833DE9" w:rsidRPr="00833DE9">
        <w:rPr>
          <w:noProof/>
        </w:rPr>
        <w:t>1</w:t>
      </w:r>
      <w:r w:rsidR="00833DE9" w:rsidRPr="00833DE9">
        <w:rPr>
          <w:szCs w:val="22"/>
        </w:rPr>
        <w:fldChar w:fldCharType="end"/>
      </w:r>
      <w:r w:rsidR="00833DE9" w:rsidRPr="00833DE9">
        <w:rPr>
          <w:szCs w:val="22"/>
        </w:rPr>
        <w:t>.</w:t>
      </w:r>
    </w:p>
    <w:p w14:paraId="2699F266" w14:textId="77777777" w:rsidR="00D01C79" w:rsidRPr="00833DE9" w:rsidRDefault="00D01C79" w:rsidP="00D01C79">
      <w:pPr>
        <w:rPr>
          <w:szCs w:val="22"/>
        </w:rPr>
      </w:pPr>
    </w:p>
    <w:p w14:paraId="66BD86C8" w14:textId="4E3EB9DC" w:rsidR="00833DE9" w:rsidRDefault="00833DE9" w:rsidP="00833DE9">
      <w:pPr>
        <w:pStyle w:val="Caption"/>
        <w:keepNext/>
        <w:jc w:val="center"/>
      </w:pPr>
      <w:r>
        <w:t xml:space="preserve">Table </w:t>
      </w:r>
      <w:fldSimple w:instr=" SEQ Table \* ARABIC ">
        <w:r>
          <w:rPr>
            <w:noProof/>
          </w:rPr>
          <w:t>1</w:t>
        </w:r>
      </w:fldSimple>
      <w:r>
        <w:t>: EE2 test 3.4 on top of ECM-9.0</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33DE9" w:rsidRPr="00833DE9" w14:paraId="6E97C990" w14:textId="77777777" w:rsidTr="00833DE9">
        <w:trPr>
          <w:trHeight w:val="255"/>
          <w:jc w:val="center"/>
        </w:trPr>
        <w:tc>
          <w:tcPr>
            <w:tcW w:w="1640" w:type="dxa"/>
            <w:tcBorders>
              <w:top w:val="nil"/>
              <w:left w:val="nil"/>
              <w:bottom w:val="nil"/>
              <w:right w:val="nil"/>
            </w:tcBorders>
            <w:shd w:val="clear" w:color="auto" w:fill="auto"/>
            <w:noWrap/>
            <w:vAlign w:val="center"/>
            <w:hideMark/>
          </w:tcPr>
          <w:p w14:paraId="4826086B"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1DC191"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33DE9">
              <w:rPr>
                <w:rFonts w:ascii="Arial" w:hAnsi="Arial" w:cs="Arial"/>
                <w:b/>
                <w:bCs/>
                <w:color w:val="000000"/>
                <w:sz w:val="18"/>
                <w:szCs w:val="18"/>
                <w:lang w:eastAsia="fr-FR"/>
              </w:rPr>
              <w:t>Random Access Main 10</w:t>
            </w:r>
          </w:p>
        </w:tc>
      </w:tr>
      <w:tr w:rsidR="00833DE9" w:rsidRPr="00833DE9" w14:paraId="24524424" w14:textId="77777777" w:rsidTr="00833DE9">
        <w:trPr>
          <w:trHeight w:val="255"/>
          <w:jc w:val="center"/>
        </w:trPr>
        <w:tc>
          <w:tcPr>
            <w:tcW w:w="1640" w:type="dxa"/>
            <w:tcBorders>
              <w:top w:val="nil"/>
              <w:left w:val="nil"/>
              <w:bottom w:val="nil"/>
              <w:right w:val="nil"/>
            </w:tcBorders>
            <w:shd w:val="clear" w:color="auto" w:fill="auto"/>
            <w:noWrap/>
            <w:vAlign w:val="center"/>
            <w:hideMark/>
          </w:tcPr>
          <w:p w14:paraId="501C9D1C"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C4287D"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33DE9">
              <w:rPr>
                <w:rFonts w:ascii="Arial" w:hAnsi="Arial" w:cs="Arial"/>
                <w:b/>
                <w:bCs/>
                <w:color w:val="000000"/>
                <w:sz w:val="18"/>
                <w:szCs w:val="18"/>
                <w:lang w:eastAsia="fr-FR"/>
              </w:rPr>
              <w:t>Over ECM-9.0</w:t>
            </w:r>
          </w:p>
        </w:tc>
      </w:tr>
      <w:tr w:rsidR="00833DE9" w:rsidRPr="00833DE9" w14:paraId="2328954F" w14:textId="77777777" w:rsidTr="00833DE9">
        <w:trPr>
          <w:trHeight w:val="255"/>
          <w:jc w:val="center"/>
        </w:trPr>
        <w:tc>
          <w:tcPr>
            <w:tcW w:w="1640" w:type="dxa"/>
            <w:tcBorders>
              <w:top w:val="nil"/>
              <w:left w:val="nil"/>
              <w:bottom w:val="nil"/>
              <w:right w:val="nil"/>
            </w:tcBorders>
            <w:shd w:val="clear" w:color="auto" w:fill="auto"/>
            <w:noWrap/>
            <w:vAlign w:val="center"/>
            <w:hideMark/>
          </w:tcPr>
          <w:p w14:paraId="030CCEF5"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D6C311F"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Y</w:t>
            </w:r>
          </w:p>
        </w:tc>
        <w:tc>
          <w:tcPr>
            <w:tcW w:w="1144" w:type="dxa"/>
            <w:tcBorders>
              <w:top w:val="nil"/>
              <w:left w:val="nil"/>
              <w:bottom w:val="single" w:sz="8" w:space="0" w:color="auto"/>
              <w:right w:val="nil"/>
            </w:tcBorders>
            <w:shd w:val="clear" w:color="auto" w:fill="auto"/>
            <w:noWrap/>
            <w:vAlign w:val="center"/>
            <w:hideMark/>
          </w:tcPr>
          <w:p w14:paraId="5AA53ADE"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D047DE"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V</w:t>
            </w:r>
          </w:p>
        </w:tc>
        <w:tc>
          <w:tcPr>
            <w:tcW w:w="934" w:type="dxa"/>
            <w:tcBorders>
              <w:top w:val="nil"/>
              <w:left w:val="nil"/>
              <w:bottom w:val="single" w:sz="8" w:space="0" w:color="auto"/>
              <w:right w:val="nil"/>
            </w:tcBorders>
            <w:shd w:val="clear" w:color="auto" w:fill="auto"/>
            <w:noWrap/>
            <w:vAlign w:val="center"/>
            <w:hideMark/>
          </w:tcPr>
          <w:p w14:paraId="4461D4BB"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33DE9">
              <w:rPr>
                <w:rFonts w:ascii="Arial" w:hAnsi="Arial" w:cs="Arial"/>
                <w:color w:val="000000"/>
                <w:sz w:val="18"/>
                <w:szCs w:val="18"/>
                <w:lang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2AF5E7"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33DE9">
              <w:rPr>
                <w:rFonts w:ascii="Arial" w:hAnsi="Arial" w:cs="Arial"/>
                <w:color w:val="000000"/>
                <w:sz w:val="18"/>
                <w:szCs w:val="18"/>
                <w:lang w:eastAsia="fr-FR"/>
              </w:rPr>
              <w:t>DecT</w:t>
            </w:r>
            <w:proofErr w:type="spellEnd"/>
          </w:p>
        </w:tc>
      </w:tr>
      <w:tr w:rsidR="00833DE9" w:rsidRPr="00833DE9" w14:paraId="62DA4F05" w14:textId="77777777" w:rsidTr="00833D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F4AAE0"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A1</w:t>
            </w:r>
          </w:p>
        </w:tc>
        <w:tc>
          <w:tcPr>
            <w:tcW w:w="1144" w:type="dxa"/>
            <w:tcBorders>
              <w:top w:val="nil"/>
              <w:left w:val="nil"/>
              <w:bottom w:val="nil"/>
              <w:right w:val="nil"/>
            </w:tcBorders>
            <w:shd w:val="clear" w:color="auto" w:fill="auto"/>
            <w:noWrap/>
            <w:vAlign w:val="center"/>
            <w:hideMark/>
          </w:tcPr>
          <w:p w14:paraId="534C2F89"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0.03%</w:t>
            </w:r>
          </w:p>
        </w:tc>
        <w:tc>
          <w:tcPr>
            <w:tcW w:w="1144" w:type="dxa"/>
            <w:tcBorders>
              <w:top w:val="nil"/>
              <w:left w:val="nil"/>
              <w:bottom w:val="nil"/>
              <w:right w:val="nil"/>
            </w:tcBorders>
            <w:shd w:val="clear" w:color="auto" w:fill="auto"/>
            <w:noWrap/>
            <w:vAlign w:val="center"/>
            <w:hideMark/>
          </w:tcPr>
          <w:p w14:paraId="2CC884A5"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0.07%</w:t>
            </w:r>
          </w:p>
        </w:tc>
        <w:tc>
          <w:tcPr>
            <w:tcW w:w="1144" w:type="dxa"/>
            <w:tcBorders>
              <w:top w:val="nil"/>
              <w:left w:val="nil"/>
              <w:bottom w:val="nil"/>
              <w:right w:val="single" w:sz="4" w:space="0" w:color="auto"/>
            </w:tcBorders>
            <w:shd w:val="clear" w:color="auto" w:fill="auto"/>
            <w:noWrap/>
            <w:vAlign w:val="center"/>
            <w:hideMark/>
          </w:tcPr>
          <w:p w14:paraId="23957AAC"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0.10%</w:t>
            </w:r>
          </w:p>
        </w:tc>
        <w:tc>
          <w:tcPr>
            <w:tcW w:w="934" w:type="dxa"/>
            <w:tcBorders>
              <w:top w:val="nil"/>
              <w:left w:val="nil"/>
              <w:bottom w:val="nil"/>
              <w:right w:val="nil"/>
            </w:tcBorders>
            <w:shd w:val="clear" w:color="auto" w:fill="auto"/>
            <w:noWrap/>
            <w:vAlign w:val="center"/>
            <w:hideMark/>
          </w:tcPr>
          <w:p w14:paraId="388FCBF6"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99%</w:t>
            </w:r>
          </w:p>
        </w:tc>
        <w:tc>
          <w:tcPr>
            <w:tcW w:w="934" w:type="dxa"/>
            <w:tcBorders>
              <w:top w:val="nil"/>
              <w:left w:val="nil"/>
              <w:bottom w:val="nil"/>
              <w:right w:val="single" w:sz="8" w:space="0" w:color="auto"/>
            </w:tcBorders>
            <w:shd w:val="clear" w:color="auto" w:fill="auto"/>
            <w:noWrap/>
            <w:vAlign w:val="center"/>
            <w:hideMark/>
          </w:tcPr>
          <w:p w14:paraId="7F906E09"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101%</w:t>
            </w:r>
          </w:p>
        </w:tc>
      </w:tr>
      <w:tr w:rsidR="00833DE9" w:rsidRPr="00833DE9" w14:paraId="2A95BBF3" w14:textId="77777777" w:rsidTr="00833D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6677A"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A2</w:t>
            </w:r>
          </w:p>
        </w:tc>
        <w:tc>
          <w:tcPr>
            <w:tcW w:w="1144" w:type="dxa"/>
            <w:tcBorders>
              <w:top w:val="nil"/>
              <w:left w:val="nil"/>
              <w:bottom w:val="nil"/>
              <w:right w:val="nil"/>
            </w:tcBorders>
            <w:shd w:val="clear" w:color="auto" w:fill="auto"/>
            <w:noWrap/>
            <w:vAlign w:val="center"/>
            <w:hideMark/>
          </w:tcPr>
          <w:p w14:paraId="328CAC6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0.01%</w:t>
            </w:r>
          </w:p>
        </w:tc>
        <w:tc>
          <w:tcPr>
            <w:tcW w:w="1144" w:type="dxa"/>
            <w:tcBorders>
              <w:top w:val="nil"/>
              <w:left w:val="nil"/>
              <w:bottom w:val="nil"/>
              <w:right w:val="nil"/>
            </w:tcBorders>
            <w:shd w:val="clear" w:color="auto" w:fill="auto"/>
            <w:noWrap/>
            <w:vAlign w:val="center"/>
            <w:hideMark/>
          </w:tcPr>
          <w:p w14:paraId="59BED9A3"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-0.05%</w:t>
            </w:r>
          </w:p>
        </w:tc>
        <w:tc>
          <w:tcPr>
            <w:tcW w:w="1144" w:type="dxa"/>
            <w:tcBorders>
              <w:top w:val="nil"/>
              <w:left w:val="nil"/>
              <w:bottom w:val="nil"/>
              <w:right w:val="single" w:sz="4" w:space="0" w:color="auto"/>
            </w:tcBorders>
            <w:shd w:val="clear" w:color="auto" w:fill="auto"/>
            <w:noWrap/>
            <w:vAlign w:val="center"/>
            <w:hideMark/>
          </w:tcPr>
          <w:p w14:paraId="09B0237A"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-0.09%</w:t>
            </w:r>
          </w:p>
        </w:tc>
        <w:tc>
          <w:tcPr>
            <w:tcW w:w="934" w:type="dxa"/>
            <w:tcBorders>
              <w:top w:val="nil"/>
              <w:left w:val="nil"/>
              <w:bottom w:val="nil"/>
              <w:right w:val="nil"/>
            </w:tcBorders>
            <w:shd w:val="clear" w:color="auto" w:fill="auto"/>
            <w:noWrap/>
            <w:vAlign w:val="center"/>
            <w:hideMark/>
          </w:tcPr>
          <w:p w14:paraId="454DA9F4"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c>
          <w:tcPr>
            <w:tcW w:w="934" w:type="dxa"/>
            <w:tcBorders>
              <w:top w:val="nil"/>
              <w:left w:val="nil"/>
              <w:bottom w:val="nil"/>
              <w:right w:val="single" w:sz="8" w:space="0" w:color="auto"/>
            </w:tcBorders>
            <w:shd w:val="clear" w:color="auto" w:fill="auto"/>
            <w:noWrap/>
            <w:vAlign w:val="center"/>
            <w:hideMark/>
          </w:tcPr>
          <w:p w14:paraId="4F7DDD0B"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101%</w:t>
            </w:r>
          </w:p>
        </w:tc>
      </w:tr>
      <w:tr w:rsidR="00833DE9" w:rsidRPr="00833DE9" w14:paraId="53AB8243" w14:textId="77777777" w:rsidTr="00833D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5821A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B</w:t>
            </w:r>
          </w:p>
        </w:tc>
        <w:tc>
          <w:tcPr>
            <w:tcW w:w="1144" w:type="dxa"/>
            <w:tcBorders>
              <w:top w:val="nil"/>
              <w:left w:val="nil"/>
              <w:bottom w:val="nil"/>
              <w:right w:val="nil"/>
            </w:tcBorders>
            <w:shd w:val="clear" w:color="auto" w:fill="auto"/>
            <w:noWrap/>
            <w:vAlign w:val="center"/>
            <w:hideMark/>
          </w:tcPr>
          <w:p w14:paraId="491015B4"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-0.01%</w:t>
            </w:r>
          </w:p>
        </w:tc>
        <w:tc>
          <w:tcPr>
            <w:tcW w:w="1144" w:type="dxa"/>
            <w:tcBorders>
              <w:top w:val="nil"/>
              <w:left w:val="nil"/>
              <w:bottom w:val="nil"/>
              <w:right w:val="nil"/>
            </w:tcBorders>
            <w:shd w:val="clear" w:color="auto" w:fill="auto"/>
            <w:noWrap/>
            <w:vAlign w:val="center"/>
            <w:hideMark/>
          </w:tcPr>
          <w:p w14:paraId="091D74E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-0.03%</w:t>
            </w:r>
          </w:p>
        </w:tc>
        <w:tc>
          <w:tcPr>
            <w:tcW w:w="1144" w:type="dxa"/>
            <w:tcBorders>
              <w:top w:val="nil"/>
              <w:left w:val="nil"/>
              <w:bottom w:val="nil"/>
              <w:right w:val="single" w:sz="4" w:space="0" w:color="auto"/>
            </w:tcBorders>
            <w:shd w:val="clear" w:color="auto" w:fill="auto"/>
            <w:noWrap/>
            <w:vAlign w:val="center"/>
            <w:hideMark/>
          </w:tcPr>
          <w:p w14:paraId="4A1AABF1"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-0.02%</w:t>
            </w:r>
          </w:p>
        </w:tc>
        <w:tc>
          <w:tcPr>
            <w:tcW w:w="934" w:type="dxa"/>
            <w:tcBorders>
              <w:top w:val="nil"/>
              <w:left w:val="nil"/>
              <w:bottom w:val="nil"/>
              <w:right w:val="nil"/>
            </w:tcBorders>
            <w:shd w:val="clear" w:color="auto" w:fill="auto"/>
            <w:noWrap/>
            <w:vAlign w:val="center"/>
            <w:hideMark/>
          </w:tcPr>
          <w:p w14:paraId="7C431736"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101%</w:t>
            </w:r>
          </w:p>
        </w:tc>
        <w:tc>
          <w:tcPr>
            <w:tcW w:w="934" w:type="dxa"/>
            <w:tcBorders>
              <w:top w:val="nil"/>
              <w:left w:val="nil"/>
              <w:bottom w:val="nil"/>
              <w:right w:val="single" w:sz="8" w:space="0" w:color="auto"/>
            </w:tcBorders>
            <w:shd w:val="clear" w:color="auto" w:fill="auto"/>
            <w:noWrap/>
            <w:vAlign w:val="center"/>
            <w:hideMark/>
          </w:tcPr>
          <w:p w14:paraId="34DE6A94"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r>
      <w:tr w:rsidR="00833DE9" w:rsidRPr="00833DE9" w14:paraId="119CD0E6" w14:textId="77777777" w:rsidTr="00833D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B11DA7"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C</w:t>
            </w:r>
          </w:p>
        </w:tc>
        <w:tc>
          <w:tcPr>
            <w:tcW w:w="1144" w:type="dxa"/>
            <w:tcBorders>
              <w:top w:val="nil"/>
              <w:left w:val="nil"/>
              <w:bottom w:val="nil"/>
              <w:right w:val="nil"/>
            </w:tcBorders>
            <w:shd w:val="clear" w:color="auto" w:fill="auto"/>
            <w:noWrap/>
            <w:vAlign w:val="center"/>
            <w:hideMark/>
          </w:tcPr>
          <w:p w14:paraId="26CB7D4A"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0.02%</w:t>
            </w:r>
          </w:p>
        </w:tc>
        <w:tc>
          <w:tcPr>
            <w:tcW w:w="1144" w:type="dxa"/>
            <w:tcBorders>
              <w:top w:val="nil"/>
              <w:left w:val="nil"/>
              <w:bottom w:val="nil"/>
              <w:right w:val="nil"/>
            </w:tcBorders>
            <w:shd w:val="clear" w:color="auto" w:fill="auto"/>
            <w:noWrap/>
            <w:vAlign w:val="center"/>
            <w:hideMark/>
          </w:tcPr>
          <w:p w14:paraId="67924FD4"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-0.07%</w:t>
            </w:r>
          </w:p>
        </w:tc>
        <w:tc>
          <w:tcPr>
            <w:tcW w:w="1144" w:type="dxa"/>
            <w:tcBorders>
              <w:top w:val="nil"/>
              <w:left w:val="nil"/>
              <w:bottom w:val="nil"/>
              <w:right w:val="single" w:sz="4" w:space="0" w:color="auto"/>
            </w:tcBorders>
            <w:shd w:val="clear" w:color="auto" w:fill="auto"/>
            <w:noWrap/>
            <w:vAlign w:val="center"/>
            <w:hideMark/>
          </w:tcPr>
          <w:p w14:paraId="730D70F2"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-0.07%</w:t>
            </w:r>
          </w:p>
        </w:tc>
        <w:tc>
          <w:tcPr>
            <w:tcW w:w="934" w:type="dxa"/>
            <w:tcBorders>
              <w:top w:val="nil"/>
              <w:left w:val="nil"/>
              <w:bottom w:val="nil"/>
              <w:right w:val="nil"/>
            </w:tcBorders>
            <w:shd w:val="clear" w:color="auto" w:fill="auto"/>
            <w:noWrap/>
            <w:vAlign w:val="center"/>
            <w:hideMark/>
          </w:tcPr>
          <w:p w14:paraId="65B2FA8F"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c>
          <w:tcPr>
            <w:tcW w:w="934" w:type="dxa"/>
            <w:tcBorders>
              <w:top w:val="nil"/>
              <w:left w:val="nil"/>
              <w:bottom w:val="nil"/>
              <w:right w:val="single" w:sz="8" w:space="0" w:color="auto"/>
            </w:tcBorders>
            <w:shd w:val="clear" w:color="auto" w:fill="auto"/>
            <w:noWrap/>
            <w:vAlign w:val="center"/>
            <w:hideMark/>
          </w:tcPr>
          <w:p w14:paraId="1E432987"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r>
      <w:tr w:rsidR="00833DE9" w:rsidRPr="00833DE9" w14:paraId="7D6EEE27" w14:textId="77777777" w:rsidTr="00833D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06CB84"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33DE9">
              <w:rPr>
                <w:rFonts w:ascii="Arial" w:hAnsi="Arial" w:cs="Arial"/>
                <w:b/>
                <w:bCs/>
                <w:color w:val="000000"/>
                <w:sz w:val="18"/>
                <w:szCs w:val="18"/>
                <w:lang w:eastAsia="fr-FR"/>
              </w:rPr>
              <w:t>Overall</w:t>
            </w:r>
          </w:p>
        </w:tc>
        <w:tc>
          <w:tcPr>
            <w:tcW w:w="1144" w:type="dxa"/>
            <w:tcBorders>
              <w:top w:val="single" w:sz="8" w:space="0" w:color="auto"/>
              <w:left w:val="nil"/>
              <w:bottom w:val="nil"/>
              <w:right w:val="nil"/>
            </w:tcBorders>
            <w:shd w:val="clear" w:color="auto" w:fill="auto"/>
            <w:noWrap/>
            <w:vAlign w:val="center"/>
            <w:hideMark/>
          </w:tcPr>
          <w:p w14:paraId="47BA5720"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0.01%</w:t>
            </w:r>
          </w:p>
        </w:tc>
        <w:tc>
          <w:tcPr>
            <w:tcW w:w="1144" w:type="dxa"/>
            <w:tcBorders>
              <w:top w:val="single" w:sz="8" w:space="0" w:color="auto"/>
              <w:left w:val="nil"/>
              <w:bottom w:val="nil"/>
              <w:right w:val="nil"/>
            </w:tcBorders>
            <w:shd w:val="clear" w:color="auto" w:fill="auto"/>
            <w:noWrap/>
            <w:vAlign w:val="center"/>
            <w:hideMark/>
          </w:tcPr>
          <w:p w14:paraId="52AD4E1A"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D9A0F5D"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-0.02%</w:t>
            </w:r>
          </w:p>
        </w:tc>
        <w:tc>
          <w:tcPr>
            <w:tcW w:w="934" w:type="dxa"/>
            <w:tcBorders>
              <w:top w:val="single" w:sz="8" w:space="0" w:color="auto"/>
              <w:left w:val="nil"/>
              <w:bottom w:val="nil"/>
              <w:right w:val="nil"/>
            </w:tcBorders>
            <w:shd w:val="clear" w:color="auto" w:fill="auto"/>
            <w:noWrap/>
            <w:vAlign w:val="center"/>
            <w:hideMark/>
          </w:tcPr>
          <w:p w14:paraId="7A4C4D6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C427AD4"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r>
      <w:tr w:rsidR="00833DE9" w:rsidRPr="00833DE9" w14:paraId="6375B8F3" w14:textId="77777777" w:rsidTr="00833D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B357E3"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D</w:t>
            </w:r>
          </w:p>
        </w:tc>
        <w:tc>
          <w:tcPr>
            <w:tcW w:w="1144" w:type="dxa"/>
            <w:tcBorders>
              <w:top w:val="single" w:sz="8" w:space="0" w:color="auto"/>
              <w:left w:val="nil"/>
              <w:bottom w:val="nil"/>
              <w:right w:val="nil"/>
            </w:tcBorders>
            <w:shd w:val="clear" w:color="auto" w:fill="auto"/>
            <w:noWrap/>
            <w:vAlign w:val="center"/>
            <w:hideMark/>
          </w:tcPr>
          <w:p w14:paraId="323F73E9"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0.01%</w:t>
            </w:r>
          </w:p>
        </w:tc>
        <w:tc>
          <w:tcPr>
            <w:tcW w:w="1144" w:type="dxa"/>
            <w:tcBorders>
              <w:top w:val="single" w:sz="8" w:space="0" w:color="auto"/>
              <w:left w:val="nil"/>
              <w:bottom w:val="nil"/>
              <w:right w:val="nil"/>
            </w:tcBorders>
            <w:shd w:val="clear" w:color="auto" w:fill="auto"/>
            <w:noWrap/>
            <w:vAlign w:val="center"/>
            <w:hideMark/>
          </w:tcPr>
          <w:p w14:paraId="474E8052"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299D98FD"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-0.13%</w:t>
            </w:r>
          </w:p>
        </w:tc>
        <w:tc>
          <w:tcPr>
            <w:tcW w:w="934" w:type="dxa"/>
            <w:tcBorders>
              <w:top w:val="single" w:sz="8" w:space="0" w:color="auto"/>
              <w:left w:val="nil"/>
              <w:bottom w:val="nil"/>
              <w:right w:val="nil"/>
            </w:tcBorders>
            <w:shd w:val="clear" w:color="auto" w:fill="auto"/>
            <w:noWrap/>
            <w:vAlign w:val="center"/>
            <w:hideMark/>
          </w:tcPr>
          <w:p w14:paraId="1E02FB87"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7826CF"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99%</w:t>
            </w:r>
          </w:p>
        </w:tc>
      </w:tr>
      <w:tr w:rsidR="00833DE9" w:rsidRPr="00833DE9" w14:paraId="06E35C50" w14:textId="77777777" w:rsidTr="00833DE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4535E5"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F (optional)</w:t>
            </w:r>
          </w:p>
        </w:tc>
        <w:tc>
          <w:tcPr>
            <w:tcW w:w="1144" w:type="dxa"/>
            <w:tcBorders>
              <w:top w:val="nil"/>
              <w:left w:val="nil"/>
              <w:bottom w:val="single" w:sz="8" w:space="0" w:color="auto"/>
              <w:right w:val="nil"/>
            </w:tcBorders>
            <w:shd w:val="clear" w:color="auto" w:fill="auto"/>
            <w:noWrap/>
            <w:vAlign w:val="center"/>
            <w:hideMark/>
          </w:tcPr>
          <w:p w14:paraId="18315016"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-0.01%</w:t>
            </w:r>
          </w:p>
        </w:tc>
        <w:tc>
          <w:tcPr>
            <w:tcW w:w="1144" w:type="dxa"/>
            <w:tcBorders>
              <w:top w:val="nil"/>
              <w:left w:val="nil"/>
              <w:bottom w:val="single" w:sz="8" w:space="0" w:color="auto"/>
              <w:right w:val="nil"/>
            </w:tcBorders>
            <w:shd w:val="clear" w:color="auto" w:fill="auto"/>
            <w:noWrap/>
            <w:vAlign w:val="center"/>
            <w:hideMark/>
          </w:tcPr>
          <w:p w14:paraId="36DA10D1"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66C3FDF0"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-0.07%</w:t>
            </w:r>
          </w:p>
        </w:tc>
        <w:tc>
          <w:tcPr>
            <w:tcW w:w="934" w:type="dxa"/>
            <w:tcBorders>
              <w:top w:val="nil"/>
              <w:left w:val="nil"/>
              <w:bottom w:val="single" w:sz="8" w:space="0" w:color="auto"/>
              <w:right w:val="nil"/>
            </w:tcBorders>
            <w:shd w:val="clear" w:color="auto" w:fill="auto"/>
            <w:noWrap/>
            <w:vAlign w:val="center"/>
            <w:hideMark/>
          </w:tcPr>
          <w:p w14:paraId="07F1BC21"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FCAEC9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r>
    </w:tbl>
    <w:p w14:paraId="19DDE70D" w14:textId="77777777" w:rsidR="00833DE9" w:rsidRPr="00833DE9" w:rsidRDefault="00833DE9" w:rsidP="00D01C79">
      <w:pPr>
        <w:rPr>
          <w:szCs w:val="22"/>
        </w:rPr>
      </w:pPr>
    </w:p>
    <w:tbl>
      <w:tblPr>
        <w:tblW w:w="6940" w:type="dxa"/>
        <w:jc w:val="center"/>
        <w:tblCellMar>
          <w:left w:w="70" w:type="dxa"/>
          <w:right w:w="70" w:type="dxa"/>
        </w:tblCellMar>
        <w:tblLook w:val="04A0" w:firstRow="1" w:lastRow="0" w:firstColumn="1" w:lastColumn="0" w:noHBand="0" w:noVBand="1"/>
      </w:tblPr>
      <w:tblGrid>
        <w:gridCol w:w="1640"/>
        <w:gridCol w:w="1169"/>
        <w:gridCol w:w="1052"/>
        <w:gridCol w:w="1169"/>
        <w:gridCol w:w="955"/>
        <w:gridCol w:w="955"/>
      </w:tblGrid>
      <w:tr w:rsidR="00833DE9" w:rsidRPr="00833DE9" w14:paraId="493D3A2B" w14:textId="77777777" w:rsidTr="00833DE9">
        <w:trPr>
          <w:trHeight w:val="255"/>
          <w:jc w:val="center"/>
        </w:trPr>
        <w:tc>
          <w:tcPr>
            <w:tcW w:w="1640" w:type="dxa"/>
            <w:tcBorders>
              <w:top w:val="nil"/>
              <w:left w:val="nil"/>
              <w:bottom w:val="nil"/>
              <w:right w:val="nil"/>
            </w:tcBorders>
            <w:shd w:val="clear" w:color="auto" w:fill="auto"/>
            <w:noWrap/>
            <w:vAlign w:val="center"/>
            <w:hideMark/>
          </w:tcPr>
          <w:p w14:paraId="782EE373"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D8B24E"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33DE9">
              <w:rPr>
                <w:rFonts w:ascii="Arial" w:hAnsi="Arial" w:cs="Arial"/>
                <w:b/>
                <w:bCs/>
                <w:color w:val="000000"/>
                <w:sz w:val="18"/>
                <w:szCs w:val="18"/>
                <w:lang w:eastAsia="fr-FR"/>
              </w:rPr>
              <w:t xml:space="preserve">Low delay B Main10 </w:t>
            </w:r>
          </w:p>
        </w:tc>
      </w:tr>
      <w:tr w:rsidR="00833DE9" w:rsidRPr="00833DE9" w14:paraId="3A1278B3" w14:textId="77777777" w:rsidTr="00833DE9">
        <w:trPr>
          <w:trHeight w:val="255"/>
          <w:jc w:val="center"/>
        </w:trPr>
        <w:tc>
          <w:tcPr>
            <w:tcW w:w="1640" w:type="dxa"/>
            <w:tcBorders>
              <w:top w:val="nil"/>
              <w:left w:val="nil"/>
              <w:bottom w:val="nil"/>
              <w:right w:val="nil"/>
            </w:tcBorders>
            <w:shd w:val="clear" w:color="auto" w:fill="auto"/>
            <w:noWrap/>
            <w:vAlign w:val="center"/>
            <w:hideMark/>
          </w:tcPr>
          <w:p w14:paraId="4CED69AC"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FBD475"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33DE9">
              <w:rPr>
                <w:rFonts w:ascii="Arial" w:hAnsi="Arial" w:cs="Arial"/>
                <w:b/>
                <w:bCs/>
                <w:color w:val="000000"/>
                <w:sz w:val="18"/>
                <w:szCs w:val="18"/>
                <w:lang w:eastAsia="fr-FR"/>
              </w:rPr>
              <w:t>Over ECM-9.0</w:t>
            </w:r>
          </w:p>
        </w:tc>
      </w:tr>
      <w:tr w:rsidR="00833DE9" w:rsidRPr="00833DE9" w14:paraId="4ED99B2D" w14:textId="77777777" w:rsidTr="00833DE9">
        <w:trPr>
          <w:trHeight w:val="255"/>
          <w:jc w:val="center"/>
        </w:trPr>
        <w:tc>
          <w:tcPr>
            <w:tcW w:w="1640" w:type="dxa"/>
            <w:tcBorders>
              <w:top w:val="nil"/>
              <w:left w:val="nil"/>
              <w:bottom w:val="nil"/>
              <w:right w:val="nil"/>
            </w:tcBorders>
            <w:shd w:val="clear" w:color="auto" w:fill="auto"/>
            <w:noWrap/>
            <w:vAlign w:val="center"/>
            <w:hideMark/>
          </w:tcPr>
          <w:p w14:paraId="71AD4FF4"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69" w:type="dxa"/>
            <w:tcBorders>
              <w:top w:val="nil"/>
              <w:left w:val="single" w:sz="8" w:space="0" w:color="auto"/>
              <w:bottom w:val="single" w:sz="8" w:space="0" w:color="auto"/>
              <w:right w:val="nil"/>
            </w:tcBorders>
            <w:shd w:val="clear" w:color="auto" w:fill="auto"/>
            <w:noWrap/>
            <w:vAlign w:val="center"/>
            <w:hideMark/>
          </w:tcPr>
          <w:p w14:paraId="20E1372F"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Y</w:t>
            </w:r>
          </w:p>
        </w:tc>
        <w:tc>
          <w:tcPr>
            <w:tcW w:w="1052" w:type="dxa"/>
            <w:tcBorders>
              <w:top w:val="nil"/>
              <w:left w:val="nil"/>
              <w:bottom w:val="single" w:sz="8" w:space="0" w:color="auto"/>
              <w:right w:val="nil"/>
            </w:tcBorders>
            <w:shd w:val="clear" w:color="auto" w:fill="auto"/>
            <w:noWrap/>
            <w:vAlign w:val="center"/>
            <w:hideMark/>
          </w:tcPr>
          <w:p w14:paraId="7B0EBD25"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7F7B21AF"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V</w:t>
            </w:r>
          </w:p>
        </w:tc>
        <w:tc>
          <w:tcPr>
            <w:tcW w:w="955" w:type="dxa"/>
            <w:tcBorders>
              <w:top w:val="nil"/>
              <w:left w:val="nil"/>
              <w:bottom w:val="single" w:sz="8" w:space="0" w:color="auto"/>
              <w:right w:val="nil"/>
            </w:tcBorders>
            <w:shd w:val="clear" w:color="auto" w:fill="auto"/>
            <w:noWrap/>
            <w:vAlign w:val="center"/>
            <w:hideMark/>
          </w:tcPr>
          <w:p w14:paraId="31C8307C"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33DE9">
              <w:rPr>
                <w:rFonts w:ascii="Arial" w:hAnsi="Arial" w:cs="Arial"/>
                <w:color w:val="000000"/>
                <w:sz w:val="18"/>
                <w:szCs w:val="18"/>
                <w:lang w:eastAsia="fr-FR"/>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67F8CCE7"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roofErr w:type="spellStart"/>
            <w:r w:rsidRPr="00833DE9">
              <w:rPr>
                <w:rFonts w:ascii="Arial" w:hAnsi="Arial" w:cs="Arial"/>
                <w:color w:val="000000"/>
                <w:sz w:val="18"/>
                <w:szCs w:val="18"/>
                <w:lang w:eastAsia="fr-FR"/>
              </w:rPr>
              <w:t>DecT</w:t>
            </w:r>
            <w:proofErr w:type="spellEnd"/>
          </w:p>
        </w:tc>
      </w:tr>
      <w:tr w:rsidR="00833DE9" w:rsidRPr="00833DE9" w14:paraId="73E48200" w14:textId="77777777" w:rsidTr="00833D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2DE59"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B</w:t>
            </w:r>
          </w:p>
        </w:tc>
        <w:tc>
          <w:tcPr>
            <w:tcW w:w="1169" w:type="dxa"/>
            <w:tcBorders>
              <w:top w:val="nil"/>
              <w:left w:val="nil"/>
              <w:bottom w:val="nil"/>
              <w:right w:val="nil"/>
            </w:tcBorders>
            <w:shd w:val="clear" w:color="auto" w:fill="auto"/>
            <w:noWrap/>
            <w:vAlign w:val="center"/>
            <w:hideMark/>
          </w:tcPr>
          <w:p w14:paraId="0DB8BD60"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0.03%</w:t>
            </w:r>
          </w:p>
        </w:tc>
        <w:tc>
          <w:tcPr>
            <w:tcW w:w="1052" w:type="dxa"/>
            <w:tcBorders>
              <w:top w:val="nil"/>
              <w:left w:val="nil"/>
              <w:bottom w:val="nil"/>
              <w:right w:val="nil"/>
            </w:tcBorders>
            <w:shd w:val="clear" w:color="auto" w:fill="auto"/>
            <w:noWrap/>
            <w:vAlign w:val="center"/>
            <w:hideMark/>
          </w:tcPr>
          <w:p w14:paraId="0345B27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0.20%</w:t>
            </w:r>
          </w:p>
        </w:tc>
        <w:tc>
          <w:tcPr>
            <w:tcW w:w="1169" w:type="dxa"/>
            <w:tcBorders>
              <w:top w:val="nil"/>
              <w:left w:val="nil"/>
              <w:bottom w:val="nil"/>
              <w:right w:val="single" w:sz="4" w:space="0" w:color="auto"/>
            </w:tcBorders>
            <w:shd w:val="clear" w:color="auto" w:fill="auto"/>
            <w:noWrap/>
            <w:vAlign w:val="center"/>
            <w:hideMark/>
          </w:tcPr>
          <w:p w14:paraId="23DC479D"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0.03%</w:t>
            </w:r>
          </w:p>
        </w:tc>
        <w:tc>
          <w:tcPr>
            <w:tcW w:w="955" w:type="dxa"/>
            <w:tcBorders>
              <w:top w:val="nil"/>
              <w:left w:val="nil"/>
              <w:bottom w:val="nil"/>
              <w:right w:val="nil"/>
            </w:tcBorders>
            <w:shd w:val="clear" w:color="auto" w:fill="auto"/>
            <w:noWrap/>
            <w:vAlign w:val="center"/>
            <w:hideMark/>
          </w:tcPr>
          <w:p w14:paraId="54B4175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c>
          <w:tcPr>
            <w:tcW w:w="955" w:type="dxa"/>
            <w:tcBorders>
              <w:top w:val="nil"/>
              <w:left w:val="nil"/>
              <w:bottom w:val="nil"/>
              <w:right w:val="single" w:sz="8" w:space="0" w:color="auto"/>
            </w:tcBorders>
            <w:shd w:val="clear" w:color="auto" w:fill="auto"/>
            <w:noWrap/>
            <w:vAlign w:val="center"/>
            <w:hideMark/>
          </w:tcPr>
          <w:p w14:paraId="1BF07C7D"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99%</w:t>
            </w:r>
          </w:p>
        </w:tc>
      </w:tr>
      <w:tr w:rsidR="00833DE9" w:rsidRPr="00833DE9" w14:paraId="4D51BDB4" w14:textId="77777777" w:rsidTr="00833D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C3BDA"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C</w:t>
            </w:r>
          </w:p>
        </w:tc>
        <w:tc>
          <w:tcPr>
            <w:tcW w:w="1169" w:type="dxa"/>
            <w:tcBorders>
              <w:top w:val="nil"/>
              <w:left w:val="nil"/>
              <w:bottom w:val="nil"/>
              <w:right w:val="nil"/>
            </w:tcBorders>
            <w:shd w:val="clear" w:color="auto" w:fill="auto"/>
            <w:noWrap/>
            <w:vAlign w:val="center"/>
            <w:hideMark/>
          </w:tcPr>
          <w:p w14:paraId="0D70EBCC"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0.00%</w:t>
            </w:r>
          </w:p>
        </w:tc>
        <w:tc>
          <w:tcPr>
            <w:tcW w:w="1052" w:type="dxa"/>
            <w:tcBorders>
              <w:top w:val="nil"/>
              <w:left w:val="nil"/>
              <w:bottom w:val="nil"/>
              <w:right w:val="nil"/>
            </w:tcBorders>
            <w:shd w:val="clear" w:color="auto" w:fill="auto"/>
            <w:noWrap/>
            <w:vAlign w:val="center"/>
            <w:hideMark/>
          </w:tcPr>
          <w:p w14:paraId="40129D2B"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0.29%</w:t>
            </w:r>
          </w:p>
        </w:tc>
        <w:tc>
          <w:tcPr>
            <w:tcW w:w="1169" w:type="dxa"/>
            <w:tcBorders>
              <w:top w:val="nil"/>
              <w:left w:val="nil"/>
              <w:bottom w:val="nil"/>
              <w:right w:val="single" w:sz="4" w:space="0" w:color="auto"/>
            </w:tcBorders>
            <w:shd w:val="clear" w:color="auto" w:fill="auto"/>
            <w:noWrap/>
            <w:vAlign w:val="center"/>
            <w:hideMark/>
          </w:tcPr>
          <w:p w14:paraId="25244CF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0.00%</w:t>
            </w:r>
          </w:p>
        </w:tc>
        <w:tc>
          <w:tcPr>
            <w:tcW w:w="955" w:type="dxa"/>
            <w:tcBorders>
              <w:top w:val="nil"/>
              <w:left w:val="nil"/>
              <w:bottom w:val="nil"/>
              <w:right w:val="nil"/>
            </w:tcBorders>
            <w:shd w:val="clear" w:color="auto" w:fill="auto"/>
            <w:noWrap/>
            <w:vAlign w:val="center"/>
            <w:hideMark/>
          </w:tcPr>
          <w:p w14:paraId="7CA9917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101%</w:t>
            </w:r>
          </w:p>
        </w:tc>
        <w:tc>
          <w:tcPr>
            <w:tcW w:w="955" w:type="dxa"/>
            <w:tcBorders>
              <w:top w:val="nil"/>
              <w:left w:val="nil"/>
              <w:bottom w:val="nil"/>
              <w:right w:val="single" w:sz="8" w:space="0" w:color="auto"/>
            </w:tcBorders>
            <w:shd w:val="clear" w:color="auto" w:fill="auto"/>
            <w:noWrap/>
            <w:vAlign w:val="center"/>
            <w:hideMark/>
          </w:tcPr>
          <w:p w14:paraId="103E9E76"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101%</w:t>
            </w:r>
          </w:p>
        </w:tc>
      </w:tr>
      <w:tr w:rsidR="00833DE9" w:rsidRPr="00833DE9" w14:paraId="166539B2" w14:textId="77777777" w:rsidTr="00833D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E77C01"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E</w:t>
            </w:r>
          </w:p>
        </w:tc>
        <w:tc>
          <w:tcPr>
            <w:tcW w:w="1169" w:type="dxa"/>
            <w:tcBorders>
              <w:top w:val="nil"/>
              <w:left w:val="nil"/>
              <w:bottom w:val="nil"/>
              <w:right w:val="nil"/>
            </w:tcBorders>
            <w:shd w:val="clear" w:color="auto" w:fill="auto"/>
            <w:noWrap/>
            <w:vAlign w:val="center"/>
            <w:hideMark/>
          </w:tcPr>
          <w:p w14:paraId="728D157E"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0.00%</w:t>
            </w:r>
          </w:p>
        </w:tc>
        <w:tc>
          <w:tcPr>
            <w:tcW w:w="1052" w:type="dxa"/>
            <w:tcBorders>
              <w:top w:val="nil"/>
              <w:left w:val="nil"/>
              <w:bottom w:val="nil"/>
              <w:right w:val="nil"/>
            </w:tcBorders>
            <w:shd w:val="clear" w:color="auto" w:fill="auto"/>
            <w:noWrap/>
            <w:vAlign w:val="center"/>
            <w:hideMark/>
          </w:tcPr>
          <w:p w14:paraId="297E6887"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0.31%</w:t>
            </w:r>
          </w:p>
        </w:tc>
        <w:tc>
          <w:tcPr>
            <w:tcW w:w="1169" w:type="dxa"/>
            <w:tcBorders>
              <w:top w:val="nil"/>
              <w:left w:val="nil"/>
              <w:bottom w:val="nil"/>
              <w:right w:val="single" w:sz="4" w:space="0" w:color="auto"/>
            </w:tcBorders>
            <w:shd w:val="clear" w:color="auto" w:fill="auto"/>
            <w:noWrap/>
            <w:vAlign w:val="center"/>
            <w:hideMark/>
          </w:tcPr>
          <w:p w14:paraId="717CD04B"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0.20%</w:t>
            </w:r>
          </w:p>
        </w:tc>
        <w:tc>
          <w:tcPr>
            <w:tcW w:w="955" w:type="dxa"/>
            <w:tcBorders>
              <w:top w:val="nil"/>
              <w:left w:val="nil"/>
              <w:bottom w:val="nil"/>
              <w:right w:val="nil"/>
            </w:tcBorders>
            <w:shd w:val="clear" w:color="auto" w:fill="auto"/>
            <w:noWrap/>
            <w:vAlign w:val="center"/>
            <w:hideMark/>
          </w:tcPr>
          <w:p w14:paraId="5C4FB180"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c>
          <w:tcPr>
            <w:tcW w:w="955" w:type="dxa"/>
            <w:tcBorders>
              <w:top w:val="nil"/>
              <w:left w:val="nil"/>
              <w:bottom w:val="nil"/>
              <w:right w:val="single" w:sz="8" w:space="0" w:color="auto"/>
            </w:tcBorders>
            <w:shd w:val="clear" w:color="auto" w:fill="auto"/>
            <w:noWrap/>
            <w:vAlign w:val="center"/>
            <w:hideMark/>
          </w:tcPr>
          <w:p w14:paraId="785956D6"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r>
      <w:tr w:rsidR="00833DE9" w:rsidRPr="00833DE9" w14:paraId="0FE54C68" w14:textId="77777777" w:rsidTr="00833D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30F25"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33DE9">
              <w:rPr>
                <w:rFonts w:ascii="Arial" w:hAnsi="Arial" w:cs="Arial"/>
                <w:b/>
                <w:bCs/>
                <w:color w:val="000000"/>
                <w:sz w:val="18"/>
                <w:szCs w:val="18"/>
                <w:lang w:eastAsia="fr-FR"/>
              </w:rPr>
              <w:t>Overall</w:t>
            </w:r>
          </w:p>
        </w:tc>
        <w:tc>
          <w:tcPr>
            <w:tcW w:w="1169" w:type="dxa"/>
            <w:tcBorders>
              <w:top w:val="single" w:sz="8" w:space="0" w:color="auto"/>
              <w:left w:val="nil"/>
              <w:bottom w:val="nil"/>
              <w:right w:val="nil"/>
            </w:tcBorders>
            <w:shd w:val="clear" w:color="auto" w:fill="auto"/>
            <w:noWrap/>
            <w:vAlign w:val="center"/>
            <w:hideMark/>
          </w:tcPr>
          <w:p w14:paraId="2748E219"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0.01%</w:t>
            </w:r>
          </w:p>
        </w:tc>
        <w:tc>
          <w:tcPr>
            <w:tcW w:w="1052" w:type="dxa"/>
            <w:tcBorders>
              <w:top w:val="single" w:sz="8" w:space="0" w:color="auto"/>
              <w:left w:val="nil"/>
              <w:bottom w:val="nil"/>
              <w:right w:val="nil"/>
            </w:tcBorders>
            <w:shd w:val="clear" w:color="auto" w:fill="auto"/>
            <w:noWrap/>
            <w:vAlign w:val="center"/>
            <w:hideMark/>
          </w:tcPr>
          <w:p w14:paraId="3216A2E3"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0.26%</w:t>
            </w:r>
          </w:p>
        </w:tc>
        <w:tc>
          <w:tcPr>
            <w:tcW w:w="1169" w:type="dxa"/>
            <w:tcBorders>
              <w:top w:val="single" w:sz="8" w:space="0" w:color="auto"/>
              <w:left w:val="nil"/>
              <w:bottom w:val="nil"/>
              <w:right w:val="single" w:sz="4" w:space="0" w:color="auto"/>
            </w:tcBorders>
            <w:shd w:val="clear" w:color="auto" w:fill="auto"/>
            <w:noWrap/>
            <w:vAlign w:val="center"/>
            <w:hideMark/>
          </w:tcPr>
          <w:p w14:paraId="2973B515"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0.06%</w:t>
            </w:r>
          </w:p>
        </w:tc>
        <w:tc>
          <w:tcPr>
            <w:tcW w:w="955" w:type="dxa"/>
            <w:tcBorders>
              <w:top w:val="single" w:sz="8" w:space="0" w:color="auto"/>
              <w:left w:val="nil"/>
              <w:bottom w:val="nil"/>
              <w:right w:val="nil"/>
            </w:tcBorders>
            <w:shd w:val="clear" w:color="auto" w:fill="auto"/>
            <w:noWrap/>
            <w:vAlign w:val="center"/>
            <w:hideMark/>
          </w:tcPr>
          <w:p w14:paraId="56F6BF91"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101%</w:t>
            </w:r>
          </w:p>
        </w:tc>
        <w:tc>
          <w:tcPr>
            <w:tcW w:w="955" w:type="dxa"/>
            <w:tcBorders>
              <w:top w:val="single" w:sz="8" w:space="0" w:color="auto"/>
              <w:left w:val="nil"/>
              <w:bottom w:val="nil"/>
              <w:right w:val="single" w:sz="8" w:space="0" w:color="auto"/>
            </w:tcBorders>
            <w:shd w:val="clear" w:color="auto" w:fill="auto"/>
            <w:noWrap/>
            <w:vAlign w:val="center"/>
            <w:hideMark/>
          </w:tcPr>
          <w:p w14:paraId="53200ED1"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r>
      <w:tr w:rsidR="00833DE9" w:rsidRPr="00833DE9" w14:paraId="3E054354" w14:textId="77777777" w:rsidTr="00833DE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B0FB82"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22ADA03E"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-0.08%</w:t>
            </w:r>
          </w:p>
        </w:tc>
        <w:tc>
          <w:tcPr>
            <w:tcW w:w="1052" w:type="dxa"/>
            <w:tcBorders>
              <w:top w:val="single" w:sz="8" w:space="0" w:color="auto"/>
              <w:left w:val="nil"/>
              <w:bottom w:val="nil"/>
              <w:right w:val="nil"/>
            </w:tcBorders>
            <w:shd w:val="clear" w:color="auto" w:fill="auto"/>
            <w:noWrap/>
            <w:vAlign w:val="center"/>
            <w:hideMark/>
          </w:tcPr>
          <w:p w14:paraId="79E92138"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0.51%</w:t>
            </w:r>
          </w:p>
        </w:tc>
        <w:tc>
          <w:tcPr>
            <w:tcW w:w="1169" w:type="dxa"/>
            <w:tcBorders>
              <w:top w:val="single" w:sz="8" w:space="0" w:color="auto"/>
              <w:left w:val="nil"/>
              <w:bottom w:val="nil"/>
              <w:right w:val="single" w:sz="4" w:space="0" w:color="auto"/>
            </w:tcBorders>
            <w:shd w:val="clear" w:color="auto" w:fill="auto"/>
            <w:noWrap/>
            <w:vAlign w:val="center"/>
            <w:hideMark/>
          </w:tcPr>
          <w:p w14:paraId="7FAC521B"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0.37%</w:t>
            </w:r>
          </w:p>
        </w:tc>
        <w:tc>
          <w:tcPr>
            <w:tcW w:w="955" w:type="dxa"/>
            <w:tcBorders>
              <w:top w:val="single" w:sz="8" w:space="0" w:color="auto"/>
              <w:left w:val="nil"/>
              <w:bottom w:val="nil"/>
              <w:right w:val="nil"/>
            </w:tcBorders>
            <w:shd w:val="clear" w:color="auto" w:fill="auto"/>
            <w:noWrap/>
            <w:vAlign w:val="center"/>
            <w:hideMark/>
          </w:tcPr>
          <w:p w14:paraId="10D6E440"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c>
          <w:tcPr>
            <w:tcW w:w="955" w:type="dxa"/>
            <w:tcBorders>
              <w:top w:val="single" w:sz="8" w:space="0" w:color="auto"/>
              <w:left w:val="nil"/>
              <w:bottom w:val="nil"/>
              <w:right w:val="single" w:sz="8" w:space="0" w:color="auto"/>
            </w:tcBorders>
            <w:shd w:val="clear" w:color="auto" w:fill="auto"/>
            <w:noWrap/>
            <w:vAlign w:val="center"/>
            <w:hideMark/>
          </w:tcPr>
          <w:p w14:paraId="1EFF2A44"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99%</w:t>
            </w:r>
          </w:p>
        </w:tc>
      </w:tr>
      <w:tr w:rsidR="00833DE9" w:rsidRPr="00833DE9" w14:paraId="1837F302" w14:textId="77777777" w:rsidTr="00833DE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F4B213"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Class F (optional)</w:t>
            </w:r>
          </w:p>
        </w:tc>
        <w:tc>
          <w:tcPr>
            <w:tcW w:w="1169" w:type="dxa"/>
            <w:tcBorders>
              <w:top w:val="nil"/>
              <w:left w:val="single" w:sz="8" w:space="0" w:color="auto"/>
              <w:bottom w:val="single" w:sz="8" w:space="0" w:color="auto"/>
              <w:right w:val="nil"/>
            </w:tcBorders>
            <w:shd w:val="clear" w:color="auto" w:fill="auto"/>
            <w:noWrap/>
            <w:vAlign w:val="center"/>
            <w:hideMark/>
          </w:tcPr>
          <w:p w14:paraId="48606475"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-0.12%</w:t>
            </w:r>
          </w:p>
        </w:tc>
        <w:tc>
          <w:tcPr>
            <w:tcW w:w="1052" w:type="dxa"/>
            <w:tcBorders>
              <w:top w:val="nil"/>
              <w:left w:val="nil"/>
              <w:bottom w:val="single" w:sz="8" w:space="0" w:color="auto"/>
              <w:right w:val="nil"/>
            </w:tcBorders>
            <w:shd w:val="clear" w:color="auto" w:fill="auto"/>
            <w:noWrap/>
            <w:vAlign w:val="center"/>
            <w:hideMark/>
          </w:tcPr>
          <w:p w14:paraId="34FAC987"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0.29%</w:t>
            </w:r>
          </w:p>
        </w:tc>
        <w:tc>
          <w:tcPr>
            <w:tcW w:w="1169" w:type="dxa"/>
            <w:tcBorders>
              <w:top w:val="nil"/>
              <w:left w:val="nil"/>
              <w:bottom w:val="single" w:sz="8" w:space="0" w:color="auto"/>
              <w:right w:val="single" w:sz="4" w:space="0" w:color="auto"/>
            </w:tcBorders>
            <w:shd w:val="clear" w:color="auto" w:fill="auto"/>
            <w:noWrap/>
            <w:vAlign w:val="center"/>
            <w:hideMark/>
          </w:tcPr>
          <w:p w14:paraId="1411FE89"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-0.15%</w:t>
            </w:r>
          </w:p>
        </w:tc>
        <w:tc>
          <w:tcPr>
            <w:tcW w:w="955" w:type="dxa"/>
            <w:tcBorders>
              <w:top w:val="nil"/>
              <w:left w:val="nil"/>
              <w:bottom w:val="single" w:sz="8" w:space="0" w:color="auto"/>
              <w:right w:val="nil"/>
            </w:tcBorders>
            <w:shd w:val="clear" w:color="auto" w:fill="auto"/>
            <w:noWrap/>
            <w:vAlign w:val="center"/>
            <w:hideMark/>
          </w:tcPr>
          <w:p w14:paraId="115E93FB"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100%</w:t>
            </w:r>
          </w:p>
        </w:tc>
        <w:tc>
          <w:tcPr>
            <w:tcW w:w="955" w:type="dxa"/>
            <w:tcBorders>
              <w:top w:val="nil"/>
              <w:left w:val="nil"/>
              <w:bottom w:val="single" w:sz="8" w:space="0" w:color="auto"/>
              <w:right w:val="single" w:sz="8" w:space="0" w:color="auto"/>
            </w:tcBorders>
            <w:shd w:val="clear" w:color="auto" w:fill="auto"/>
            <w:noWrap/>
            <w:vAlign w:val="center"/>
            <w:hideMark/>
          </w:tcPr>
          <w:p w14:paraId="745FBF39" w14:textId="77777777" w:rsidR="00833DE9" w:rsidRPr="00833DE9" w:rsidRDefault="00833DE9" w:rsidP="00833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33DE9">
              <w:rPr>
                <w:rFonts w:ascii="Arial" w:hAnsi="Arial" w:cs="Arial"/>
                <w:color w:val="000000"/>
                <w:sz w:val="18"/>
                <w:szCs w:val="18"/>
                <w:lang w:eastAsia="fr-FR"/>
              </w:rPr>
              <w:t>101%</w:t>
            </w:r>
          </w:p>
        </w:tc>
      </w:tr>
    </w:tbl>
    <w:p w14:paraId="194012A6" w14:textId="77777777" w:rsidR="00833DE9" w:rsidRDefault="00833DE9" w:rsidP="00D01C79">
      <w:pPr>
        <w:rPr>
          <w:szCs w:val="22"/>
        </w:rPr>
      </w:pPr>
    </w:p>
    <w:p w14:paraId="08CE9591" w14:textId="726907B0" w:rsidR="00833DE9" w:rsidRDefault="00341882" w:rsidP="00D01C79">
      <w:pPr>
        <w:rPr>
          <w:szCs w:val="22"/>
        </w:rPr>
      </w:pPr>
      <w:r>
        <w:rPr>
          <w:szCs w:val="22"/>
        </w:rPr>
        <w:t xml:space="preserve">It </w:t>
      </w:r>
      <w:proofErr w:type="gramStart"/>
      <w:r>
        <w:rPr>
          <w:szCs w:val="22"/>
        </w:rPr>
        <w:t>has to</w:t>
      </w:r>
      <w:proofErr w:type="gramEnd"/>
      <w:r>
        <w:rPr>
          <w:szCs w:val="22"/>
        </w:rPr>
        <w:t xml:space="preserve"> be noticed that the </w:t>
      </w:r>
      <w:r w:rsidR="00E01D36">
        <w:rPr>
          <w:szCs w:val="22"/>
        </w:rPr>
        <w:t>drop in</w:t>
      </w:r>
      <w:r>
        <w:rPr>
          <w:szCs w:val="22"/>
        </w:rPr>
        <w:t xml:space="preserve"> gain on ECM-9.0 compared to the initial proposal JVET-AD0183 [</w:t>
      </w:r>
      <w:r w:rsidR="005075E4">
        <w:rPr>
          <w:szCs w:val="22"/>
        </w:rPr>
        <w:t>4</w:t>
      </w:r>
      <w:r>
        <w:rPr>
          <w:szCs w:val="22"/>
        </w:rPr>
        <w:t xml:space="preserve">] is due to </w:t>
      </w:r>
      <w:r w:rsidR="000847CD">
        <w:rPr>
          <w:rStyle w:val="normaltextrun"/>
          <w:color w:val="000000"/>
          <w:szCs w:val="22"/>
          <w:shd w:val="clear" w:color="auto" w:fill="FFFFFF"/>
        </w:rPr>
        <w:t xml:space="preserve">the implementation in ECM9.0 of the adopted contribution </w:t>
      </w:r>
      <w:r>
        <w:rPr>
          <w:szCs w:val="22"/>
        </w:rPr>
        <w:t>JVET-AD0213 [</w:t>
      </w:r>
      <w:r w:rsidR="005075E4">
        <w:rPr>
          <w:szCs w:val="22"/>
        </w:rPr>
        <w:t>5</w:t>
      </w:r>
      <w:r>
        <w:rPr>
          <w:szCs w:val="22"/>
        </w:rPr>
        <w:t xml:space="preserve">] on improvements of LIC that </w:t>
      </w:r>
      <w:r w:rsidR="000847CD">
        <w:rPr>
          <w:rStyle w:val="normaltextrun"/>
          <w:color w:val="000000"/>
          <w:szCs w:val="22"/>
          <w:shd w:val="clear" w:color="auto" w:fill="FFFFFF"/>
        </w:rPr>
        <w:t xml:space="preserve">turns out to incorporate </w:t>
      </w:r>
      <w:r w:rsidR="00F12616">
        <w:rPr>
          <w:rStyle w:val="normaltextrun"/>
          <w:color w:val="000000"/>
          <w:szCs w:val="22"/>
          <w:shd w:val="clear" w:color="auto" w:fill="FFFFFF"/>
        </w:rPr>
        <w:t>most of</w:t>
      </w:r>
      <w:r w:rsidR="000847CD">
        <w:rPr>
          <w:rStyle w:val="normaltextrun"/>
          <w:color w:val="000000"/>
          <w:szCs w:val="22"/>
          <w:shd w:val="clear" w:color="auto" w:fill="FFFFFF"/>
        </w:rPr>
        <w:t xml:space="preserve"> the aspects of this proposal</w:t>
      </w:r>
      <w:r>
        <w:rPr>
          <w:szCs w:val="22"/>
        </w:rPr>
        <w:t>.</w:t>
      </w:r>
    </w:p>
    <w:p w14:paraId="559DA461" w14:textId="77777777" w:rsidR="00852BCE" w:rsidRPr="00833DE9" w:rsidRDefault="00852BCE" w:rsidP="00D01C79">
      <w:pPr>
        <w:rPr>
          <w:szCs w:val="22"/>
        </w:rPr>
      </w:pPr>
    </w:p>
    <w:p w14:paraId="7929C694" w14:textId="77777777" w:rsidR="00833DE9" w:rsidRPr="00833DE9" w:rsidRDefault="00833DE9" w:rsidP="00833DE9">
      <w:pPr>
        <w:pStyle w:val="Heading1"/>
      </w:pPr>
      <w:r w:rsidRPr="00833DE9">
        <w:t>References</w:t>
      </w:r>
    </w:p>
    <w:p w14:paraId="2F372B01" w14:textId="77777777" w:rsidR="00B1398E" w:rsidRDefault="00B1398E" w:rsidP="00B1398E">
      <w:pPr>
        <w:pStyle w:val="ListParagraph"/>
        <w:numPr>
          <w:ilvl w:val="0"/>
          <w:numId w:val="14"/>
        </w:numPr>
        <w:tabs>
          <w:tab w:val="clear" w:pos="360"/>
          <w:tab w:val="left" w:pos="0"/>
          <w:tab w:val="left" w:pos="142"/>
        </w:tabs>
        <w:rPr>
          <w:szCs w:val="22"/>
        </w:rPr>
      </w:pPr>
      <w:r w:rsidRPr="00833DE9">
        <w:rPr>
          <w:szCs w:val="22"/>
        </w:rPr>
        <w:t xml:space="preserve">V. Seregin, J. Chen, R. Chernyak, K. Naser, J. </w:t>
      </w:r>
      <w:proofErr w:type="spellStart"/>
      <w:r w:rsidRPr="00833DE9">
        <w:rPr>
          <w:szCs w:val="22"/>
        </w:rPr>
        <w:t>Ström</w:t>
      </w:r>
      <w:proofErr w:type="spellEnd"/>
      <w:r w:rsidRPr="00833DE9">
        <w:rPr>
          <w:szCs w:val="22"/>
        </w:rPr>
        <w:t xml:space="preserve">, F. Wang, M. </w:t>
      </w:r>
      <w:proofErr w:type="spellStart"/>
      <w:r w:rsidRPr="00833DE9">
        <w:rPr>
          <w:szCs w:val="22"/>
        </w:rPr>
        <w:t>Winken</w:t>
      </w:r>
      <w:proofErr w:type="spellEnd"/>
      <w:r w:rsidRPr="00833DE9">
        <w:rPr>
          <w:szCs w:val="22"/>
        </w:rPr>
        <w:t>, X. Xiu, K. Zhang, “Exploration experiment on enhanced compression beyond VVC capability (EE2)”, JVET-AD2024, April 2023.</w:t>
      </w:r>
    </w:p>
    <w:p w14:paraId="61ECB2E9" w14:textId="2464F64D" w:rsidR="00833DE9" w:rsidRPr="00833DE9" w:rsidRDefault="00833DE9" w:rsidP="00833DE9">
      <w:pPr>
        <w:pStyle w:val="ListParagraph"/>
        <w:numPr>
          <w:ilvl w:val="0"/>
          <w:numId w:val="14"/>
        </w:numPr>
        <w:tabs>
          <w:tab w:val="clear" w:pos="360"/>
          <w:tab w:val="left" w:pos="0"/>
          <w:tab w:val="left" w:pos="142"/>
        </w:tabs>
        <w:rPr>
          <w:rStyle w:val="normaltextrun"/>
          <w:szCs w:val="22"/>
        </w:rPr>
      </w:pPr>
      <w:r w:rsidRPr="00833DE9">
        <w:rPr>
          <w:rStyle w:val="normaltextrun"/>
          <w:szCs w:val="22"/>
        </w:rPr>
        <w:t>https://vcgit.hhi.fraunhofer.de/ecm/ECM</w:t>
      </w:r>
      <w:r w:rsidRPr="00833DE9">
        <w:t>/</w:t>
      </w:r>
      <w:r w:rsidRPr="00833DE9">
        <w:rPr>
          <w:rStyle w:val="normaltextrun"/>
          <w:szCs w:val="22"/>
        </w:rPr>
        <w:t>-/tree/ECM-9.0.</w:t>
      </w:r>
    </w:p>
    <w:p w14:paraId="50988B7B" w14:textId="77777777" w:rsidR="00833DE9" w:rsidRPr="00833DE9" w:rsidRDefault="00833DE9" w:rsidP="00833DE9">
      <w:pPr>
        <w:pStyle w:val="ListParagraph"/>
        <w:numPr>
          <w:ilvl w:val="0"/>
          <w:numId w:val="14"/>
        </w:numPr>
        <w:tabs>
          <w:tab w:val="clear" w:pos="360"/>
          <w:tab w:val="left" w:pos="0"/>
          <w:tab w:val="left" w:pos="142"/>
        </w:tabs>
        <w:rPr>
          <w:rStyle w:val="normaltextrun"/>
          <w:szCs w:val="22"/>
        </w:rPr>
      </w:pPr>
      <w:r w:rsidRPr="00833DE9">
        <w:rPr>
          <w:rStyle w:val="normaltextrun"/>
          <w:szCs w:val="22"/>
        </w:rPr>
        <w:t>M. Karczewicz, Y. Ye, “Common Test Conditions and evaluation procedures for enhanced compression tool testing”, JVET-Y2017, January. 2022.</w:t>
      </w:r>
    </w:p>
    <w:p w14:paraId="29BB3842" w14:textId="3EE31BE7" w:rsidR="00833DE9" w:rsidRPr="00B72DC0" w:rsidRDefault="00833DE9" w:rsidP="00833DE9">
      <w:pPr>
        <w:pStyle w:val="ListParagraph"/>
        <w:numPr>
          <w:ilvl w:val="0"/>
          <w:numId w:val="14"/>
        </w:numPr>
        <w:tabs>
          <w:tab w:val="clear" w:pos="360"/>
          <w:tab w:val="left" w:pos="0"/>
          <w:tab w:val="left" w:pos="142"/>
        </w:tabs>
        <w:rPr>
          <w:rStyle w:val="normaltextrun"/>
          <w:szCs w:val="22"/>
        </w:rPr>
      </w:pPr>
      <w:r w:rsidRPr="00B72DC0">
        <w:rPr>
          <w:szCs w:val="22"/>
        </w:rPr>
        <w:t>A</w:t>
      </w:r>
      <w:r w:rsidR="00B72DC0" w:rsidRPr="00B72DC0">
        <w:rPr>
          <w:szCs w:val="22"/>
        </w:rPr>
        <w:t>. R</w:t>
      </w:r>
      <w:r w:rsidRPr="00B72DC0">
        <w:rPr>
          <w:szCs w:val="22"/>
        </w:rPr>
        <w:t xml:space="preserve">obert, </w:t>
      </w:r>
      <w:r w:rsidR="00B72DC0" w:rsidRPr="00B72DC0">
        <w:rPr>
          <w:szCs w:val="22"/>
        </w:rPr>
        <w:t xml:space="preserve">F. </w:t>
      </w:r>
      <w:r w:rsidRPr="00B72DC0">
        <w:rPr>
          <w:szCs w:val="22"/>
        </w:rPr>
        <w:t xml:space="preserve">Galpin, </w:t>
      </w:r>
      <w:r w:rsidR="00B72DC0" w:rsidRPr="00B72DC0">
        <w:rPr>
          <w:szCs w:val="22"/>
        </w:rPr>
        <w:t xml:space="preserve">T. </w:t>
      </w:r>
      <w:r w:rsidRPr="00B72DC0">
        <w:rPr>
          <w:szCs w:val="22"/>
        </w:rPr>
        <w:t>Poirier,</w:t>
      </w:r>
      <w:r w:rsidR="00B72DC0" w:rsidRPr="00B72DC0">
        <w:rPr>
          <w:szCs w:val="22"/>
        </w:rPr>
        <w:t xml:space="preserve"> Y. </w:t>
      </w:r>
      <w:r w:rsidRPr="00B72DC0">
        <w:rPr>
          <w:szCs w:val="22"/>
        </w:rPr>
        <w:t>Chen</w:t>
      </w:r>
      <w:r w:rsidR="00B72DC0" w:rsidRPr="00B72DC0">
        <w:rPr>
          <w:szCs w:val="22"/>
        </w:rPr>
        <w:t xml:space="preserve">, </w:t>
      </w:r>
      <w:r w:rsidR="00B72DC0" w:rsidRPr="00833DE9">
        <w:rPr>
          <w:rStyle w:val="normaltextrun"/>
          <w:color w:val="000000"/>
          <w:szCs w:val="22"/>
          <w:shd w:val="clear" w:color="auto" w:fill="FFFFFF"/>
        </w:rPr>
        <w:t>“</w:t>
      </w:r>
      <w:r w:rsidR="00B72DC0" w:rsidRPr="00B72DC0">
        <w:rPr>
          <w:rStyle w:val="normaltextrun"/>
          <w:color w:val="000000"/>
          <w:szCs w:val="22"/>
          <w:shd w:val="clear" w:color="auto" w:fill="FFFFFF"/>
        </w:rPr>
        <w:t>Non-EE2: SIF flag and BCW weight usage in OBMC</w:t>
      </w:r>
      <w:r w:rsidR="00B72DC0" w:rsidRPr="00833DE9">
        <w:rPr>
          <w:rStyle w:val="normaltextrun"/>
          <w:color w:val="000000"/>
          <w:szCs w:val="22"/>
          <w:shd w:val="clear" w:color="auto" w:fill="FFFFFF"/>
        </w:rPr>
        <w:t>”, JVET-AD0</w:t>
      </w:r>
      <w:r w:rsidR="00B72DC0">
        <w:rPr>
          <w:rStyle w:val="normaltextrun"/>
          <w:color w:val="000000"/>
          <w:szCs w:val="22"/>
          <w:shd w:val="clear" w:color="auto" w:fill="FFFFFF"/>
        </w:rPr>
        <w:t>183</w:t>
      </w:r>
      <w:r w:rsidR="00B72DC0" w:rsidRPr="00833DE9">
        <w:rPr>
          <w:rStyle w:val="normaltextrun"/>
          <w:color w:val="000000"/>
          <w:szCs w:val="22"/>
          <w:shd w:val="clear" w:color="auto" w:fill="FFFFFF"/>
        </w:rPr>
        <w:t>, April 2023.</w:t>
      </w:r>
    </w:p>
    <w:p w14:paraId="373A532F" w14:textId="62A760C8" w:rsidR="00B72DC0" w:rsidRPr="00B72DC0" w:rsidRDefault="00341882" w:rsidP="00833DE9">
      <w:pPr>
        <w:pStyle w:val="ListParagraph"/>
        <w:numPr>
          <w:ilvl w:val="0"/>
          <w:numId w:val="14"/>
        </w:numPr>
        <w:tabs>
          <w:tab w:val="clear" w:pos="360"/>
          <w:tab w:val="left" w:pos="0"/>
          <w:tab w:val="left" w:pos="142"/>
        </w:tabs>
        <w:rPr>
          <w:szCs w:val="22"/>
        </w:rPr>
      </w:pPr>
      <w:r w:rsidRPr="00341882">
        <w:rPr>
          <w:szCs w:val="22"/>
          <w:lang w:val="fr-FR"/>
        </w:rPr>
        <w:t xml:space="preserve">X. Xiu, N. Yan, C. Ma Hong-J. </w:t>
      </w:r>
      <w:proofErr w:type="spellStart"/>
      <w:r>
        <w:rPr>
          <w:szCs w:val="22"/>
          <w:lang w:val="en-CA"/>
        </w:rPr>
        <w:t>Jhu</w:t>
      </w:r>
      <w:proofErr w:type="spellEnd"/>
      <w:r>
        <w:rPr>
          <w:szCs w:val="22"/>
          <w:lang w:val="en-CA"/>
        </w:rPr>
        <w:t xml:space="preserve">, C.-W. </w:t>
      </w:r>
      <w:proofErr w:type="spellStart"/>
      <w:r>
        <w:rPr>
          <w:szCs w:val="22"/>
          <w:lang w:val="en-CA"/>
        </w:rPr>
        <w:t>Kuo</w:t>
      </w:r>
      <w:proofErr w:type="spellEnd"/>
      <w:r>
        <w:rPr>
          <w:szCs w:val="22"/>
          <w:lang w:val="en-CA"/>
        </w:rPr>
        <w:t xml:space="preserve">, W. Chen, X. Wang, </w:t>
      </w:r>
      <w:r w:rsidRPr="00833DE9">
        <w:rPr>
          <w:rStyle w:val="normaltextrun"/>
          <w:color w:val="000000"/>
          <w:szCs w:val="22"/>
          <w:shd w:val="clear" w:color="auto" w:fill="FFFFFF"/>
        </w:rPr>
        <w:t>“</w:t>
      </w:r>
      <w:r w:rsidRPr="00341882">
        <w:rPr>
          <w:rStyle w:val="normaltextrun"/>
          <w:color w:val="000000"/>
          <w:szCs w:val="22"/>
          <w:shd w:val="clear" w:color="auto" w:fill="FFFFFF"/>
        </w:rPr>
        <w:t>EE2-Test2.</w:t>
      </w:r>
      <w:proofErr w:type="gramStart"/>
      <w:r w:rsidRPr="00341882">
        <w:rPr>
          <w:rStyle w:val="normaltextrun"/>
          <w:color w:val="000000"/>
          <w:szCs w:val="22"/>
          <w:shd w:val="clear" w:color="auto" w:fill="FFFFFF"/>
        </w:rPr>
        <w:t>7:</w:t>
      </w:r>
      <w:proofErr w:type="gramEnd"/>
      <w:r w:rsidRPr="00341882">
        <w:rPr>
          <w:rStyle w:val="normaltextrun"/>
          <w:color w:val="000000"/>
          <w:szCs w:val="22"/>
          <w:shd w:val="clear" w:color="auto" w:fill="FFFFFF"/>
        </w:rPr>
        <w:t xml:space="preserve"> Improvements on local illumination compensation</w:t>
      </w:r>
      <w:r w:rsidRPr="00833DE9">
        <w:rPr>
          <w:rStyle w:val="normaltextrun"/>
          <w:color w:val="000000"/>
          <w:szCs w:val="22"/>
          <w:shd w:val="clear" w:color="auto" w:fill="FFFFFF"/>
        </w:rPr>
        <w:t>”, JVET-AD0</w:t>
      </w:r>
      <w:r>
        <w:rPr>
          <w:rStyle w:val="normaltextrun"/>
          <w:color w:val="000000"/>
          <w:szCs w:val="22"/>
          <w:shd w:val="clear" w:color="auto" w:fill="FFFFFF"/>
        </w:rPr>
        <w:t>213</w:t>
      </w:r>
      <w:r w:rsidRPr="00833DE9">
        <w:rPr>
          <w:rStyle w:val="normaltextrun"/>
          <w:color w:val="000000"/>
          <w:szCs w:val="22"/>
          <w:shd w:val="clear" w:color="auto" w:fill="FFFFFF"/>
        </w:rPr>
        <w:t>, April 2023.</w:t>
      </w:r>
    </w:p>
    <w:p w14:paraId="213F7571" w14:textId="77777777" w:rsidR="00D01C79" w:rsidRPr="00B72DC0" w:rsidRDefault="00D01C79" w:rsidP="00D01C79">
      <w:pPr>
        <w:rPr>
          <w:szCs w:val="22"/>
        </w:rPr>
      </w:pPr>
    </w:p>
    <w:p w14:paraId="5F0CF8E4" w14:textId="563F1E3B" w:rsidR="001F2594" w:rsidRPr="00833DE9" w:rsidRDefault="001F2594" w:rsidP="00E11923">
      <w:pPr>
        <w:pStyle w:val="Heading1"/>
      </w:pPr>
      <w:r w:rsidRPr="00833DE9">
        <w:lastRenderedPageBreak/>
        <w:t>Patent rights declaration</w:t>
      </w:r>
      <w:r w:rsidR="00B94B06" w:rsidRPr="00833DE9">
        <w:t>(s)</w:t>
      </w:r>
    </w:p>
    <w:p w14:paraId="7A9B4D21" w14:textId="37A67236" w:rsidR="00342FF4" w:rsidRPr="00833DE9" w:rsidRDefault="003F1C67" w:rsidP="009234A5">
      <w:pPr>
        <w:rPr>
          <w:szCs w:val="22"/>
        </w:rPr>
      </w:pPr>
      <w:proofErr w:type="spellStart"/>
      <w:r w:rsidRPr="00833DE9">
        <w:rPr>
          <w:b/>
          <w:szCs w:val="22"/>
        </w:rPr>
        <w:t>InterDigital</w:t>
      </w:r>
      <w:proofErr w:type="spellEnd"/>
      <w:r w:rsidR="001F2594" w:rsidRPr="00833DE9">
        <w:rPr>
          <w:b/>
          <w:szCs w:val="22"/>
        </w:rPr>
        <w:t xml:space="preserve"> may have </w:t>
      </w:r>
      <w:r w:rsidR="0098551D" w:rsidRPr="00833DE9">
        <w:rPr>
          <w:b/>
          <w:szCs w:val="22"/>
        </w:rPr>
        <w:t>current or pending</w:t>
      </w:r>
      <w:r w:rsidR="001F2594" w:rsidRPr="00833DE9">
        <w:rPr>
          <w:b/>
          <w:szCs w:val="22"/>
        </w:rPr>
        <w:t xml:space="preserve"> </w:t>
      </w:r>
      <w:r w:rsidR="0098551D" w:rsidRPr="00833DE9">
        <w:rPr>
          <w:b/>
          <w:szCs w:val="22"/>
        </w:rPr>
        <w:t xml:space="preserve">patent rights </w:t>
      </w:r>
      <w:r w:rsidR="001F2594" w:rsidRPr="00833DE9">
        <w:rPr>
          <w:b/>
          <w:szCs w:val="22"/>
        </w:rPr>
        <w:t xml:space="preserve">relating to the technology described </w:t>
      </w:r>
      <w:r w:rsidR="002F164D" w:rsidRPr="00833DE9">
        <w:rPr>
          <w:b/>
          <w:szCs w:val="22"/>
        </w:rPr>
        <w:t xml:space="preserve">in </w:t>
      </w:r>
      <w:r w:rsidR="001F2594" w:rsidRPr="00833DE9">
        <w:rPr>
          <w:b/>
          <w:szCs w:val="22"/>
        </w:rPr>
        <w:t xml:space="preserve">this contribution </w:t>
      </w:r>
      <w:proofErr w:type="gramStart"/>
      <w:r w:rsidR="001F2594" w:rsidRPr="00833DE9">
        <w:rPr>
          <w:b/>
          <w:szCs w:val="22"/>
        </w:rPr>
        <w:t>and,</w:t>
      </w:r>
      <w:proofErr w:type="gramEnd"/>
      <w:r w:rsidR="001F2594" w:rsidRPr="00833DE9">
        <w:rPr>
          <w:b/>
          <w:szCs w:val="22"/>
        </w:rPr>
        <w:t xml:space="preserve"> conditioned on reciprocity, is prepared to grant licenses under reasonable and non-discriminatory terms as necessary for implementation of the resulting ITU-T Recommendation</w:t>
      </w:r>
      <w:r w:rsidR="00247E1E" w:rsidRPr="00833DE9">
        <w:rPr>
          <w:b/>
          <w:szCs w:val="22"/>
        </w:rPr>
        <w:t> </w:t>
      </w:r>
      <w:r w:rsidR="002F164D" w:rsidRPr="00833DE9">
        <w:rPr>
          <w:b/>
          <w:szCs w:val="22"/>
        </w:rPr>
        <w:t xml:space="preserve">| ISO/IEC </w:t>
      </w:r>
      <w:r w:rsidR="00A83253" w:rsidRPr="00833DE9">
        <w:rPr>
          <w:b/>
          <w:szCs w:val="22"/>
        </w:rPr>
        <w:t xml:space="preserve">International </w:t>
      </w:r>
      <w:r w:rsidR="002F164D" w:rsidRPr="00833DE9">
        <w:rPr>
          <w:b/>
          <w:szCs w:val="22"/>
        </w:rPr>
        <w:t>Standard</w:t>
      </w:r>
      <w:r w:rsidR="001F2594" w:rsidRPr="00833DE9">
        <w:rPr>
          <w:b/>
          <w:szCs w:val="22"/>
        </w:rPr>
        <w:t xml:space="preserve"> (per box 2 of the ITU-T/ITU-R/ISO/IEC patent statement and licensing declaration form).</w:t>
      </w:r>
    </w:p>
    <w:p w14:paraId="32EAF635" w14:textId="77777777" w:rsidR="007F1F8B" w:rsidRPr="00833DE9" w:rsidRDefault="007F1F8B" w:rsidP="009234A5">
      <w:pPr>
        <w:rPr>
          <w:szCs w:val="22"/>
        </w:rPr>
      </w:pPr>
    </w:p>
    <w:sectPr w:rsidR="007F1F8B" w:rsidRPr="00833DE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18CE3" w14:textId="77777777" w:rsidR="00BE5075" w:rsidRDefault="00BE5075">
      <w:r>
        <w:separator/>
      </w:r>
    </w:p>
  </w:endnote>
  <w:endnote w:type="continuationSeparator" w:id="0">
    <w:p w14:paraId="7C16099A" w14:textId="77777777" w:rsidR="00BE5075" w:rsidRDefault="00BE5075">
      <w:r>
        <w:continuationSeparator/>
      </w:r>
    </w:p>
  </w:endnote>
  <w:endnote w:type="continuationNotice" w:id="1">
    <w:p w14:paraId="3AAD7D69" w14:textId="77777777" w:rsidR="00BE5075" w:rsidRDefault="00BE507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84D4F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F393F">
      <w:rPr>
        <w:rStyle w:val="PageNumber"/>
        <w:noProof/>
      </w:rPr>
      <w:t>2023-07-07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13FC" w14:textId="77777777" w:rsidR="00BE5075" w:rsidRDefault="00BE5075">
      <w:r>
        <w:separator/>
      </w:r>
    </w:p>
  </w:footnote>
  <w:footnote w:type="continuationSeparator" w:id="0">
    <w:p w14:paraId="0D3F350B" w14:textId="77777777" w:rsidR="00BE5075" w:rsidRDefault="00BE5075">
      <w:r>
        <w:continuationSeparator/>
      </w:r>
    </w:p>
  </w:footnote>
  <w:footnote w:type="continuationNotice" w:id="1">
    <w:p w14:paraId="2F3B23E0" w14:textId="77777777" w:rsidR="00BE5075" w:rsidRDefault="00BE507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D2A50"/>
    <w:multiLevelType w:val="hybridMultilevel"/>
    <w:tmpl w:val="E3DE5642"/>
    <w:lvl w:ilvl="0" w:tplc="BD32AB3C">
      <w:start w:val="1"/>
      <w:numFmt w:val="decimal"/>
      <w:lvlText w:val="[%1]"/>
      <w:lvlJc w:val="left"/>
      <w:pPr>
        <w:ind w:left="360" w:hanging="360"/>
      </w:pPr>
      <w:rPr>
        <w:rFonts w:hint="default"/>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DA65021"/>
    <w:multiLevelType w:val="multilevel"/>
    <w:tmpl w:val="D4901B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27720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3497274">
    <w:abstractNumId w:val="11"/>
  </w:num>
  <w:num w:numId="3" w16cid:durableId="340276142">
    <w:abstractNumId w:val="10"/>
  </w:num>
  <w:num w:numId="4" w16cid:durableId="212431792">
    <w:abstractNumId w:val="7"/>
  </w:num>
  <w:num w:numId="5" w16cid:durableId="1681085497">
    <w:abstractNumId w:val="8"/>
  </w:num>
  <w:num w:numId="6" w16cid:durableId="1387337015">
    <w:abstractNumId w:val="5"/>
  </w:num>
  <w:num w:numId="7" w16cid:durableId="1932468818">
    <w:abstractNumId w:val="6"/>
  </w:num>
  <w:num w:numId="8" w16cid:durableId="1266767137">
    <w:abstractNumId w:val="5"/>
  </w:num>
  <w:num w:numId="9" w16cid:durableId="2061980774">
    <w:abstractNumId w:val="1"/>
  </w:num>
  <w:num w:numId="10" w16cid:durableId="1411467694">
    <w:abstractNumId w:val="3"/>
  </w:num>
  <w:num w:numId="11" w16cid:durableId="2049794342">
    <w:abstractNumId w:val="2"/>
  </w:num>
  <w:num w:numId="12" w16cid:durableId="879052998">
    <w:abstractNumId w:val="4"/>
  </w:num>
  <w:num w:numId="13" w16cid:durableId="1923680532">
    <w:abstractNumId w:val="9"/>
  </w:num>
  <w:num w:numId="14" w16cid:durableId="9521741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3A"/>
    <w:rsid w:val="00012157"/>
    <w:rsid w:val="00016BE7"/>
    <w:rsid w:val="000308A3"/>
    <w:rsid w:val="00030B7A"/>
    <w:rsid w:val="0004543A"/>
    <w:rsid w:val="000458BC"/>
    <w:rsid w:val="00045C41"/>
    <w:rsid w:val="00046C03"/>
    <w:rsid w:val="00065039"/>
    <w:rsid w:val="00075FC1"/>
    <w:rsid w:val="0007614F"/>
    <w:rsid w:val="00081398"/>
    <w:rsid w:val="00084393"/>
    <w:rsid w:val="000847CD"/>
    <w:rsid w:val="000865E1"/>
    <w:rsid w:val="00092AF4"/>
    <w:rsid w:val="00094479"/>
    <w:rsid w:val="0009611E"/>
    <w:rsid w:val="000962AC"/>
    <w:rsid w:val="000A0213"/>
    <w:rsid w:val="000A11F1"/>
    <w:rsid w:val="000B0C0F"/>
    <w:rsid w:val="000B1C6B"/>
    <w:rsid w:val="000B4142"/>
    <w:rsid w:val="000B4FF9"/>
    <w:rsid w:val="000C09AC"/>
    <w:rsid w:val="000C228D"/>
    <w:rsid w:val="000C2BAA"/>
    <w:rsid w:val="000C2C19"/>
    <w:rsid w:val="000C5F4C"/>
    <w:rsid w:val="000E00F3"/>
    <w:rsid w:val="000F158C"/>
    <w:rsid w:val="00102D43"/>
    <w:rsid w:val="00102F3D"/>
    <w:rsid w:val="0011632F"/>
    <w:rsid w:val="00124E38"/>
    <w:rsid w:val="0012580B"/>
    <w:rsid w:val="00131F90"/>
    <w:rsid w:val="0013403A"/>
    <w:rsid w:val="0013458C"/>
    <w:rsid w:val="0013526E"/>
    <w:rsid w:val="00145486"/>
    <w:rsid w:val="00146152"/>
    <w:rsid w:val="00155526"/>
    <w:rsid w:val="00171371"/>
    <w:rsid w:val="00171F92"/>
    <w:rsid w:val="00175A24"/>
    <w:rsid w:val="00182AAA"/>
    <w:rsid w:val="00187E58"/>
    <w:rsid w:val="00187E68"/>
    <w:rsid w:val="001A0DB5"/>
    <w:rsid w:val="001A297E"/>
    <w:rsid w:val="001A368E"/>
    <w:rsid w:val="001A7329"/>
    <w:rsid w:val="001A792F"/>
    <w:rsid w:val="001B0A1A"/>
    <w:rsid w:val="001B0CCB"/>
    <w:rsid w:val="001B4E28"/>
    <w:rsid w:val="001C3525"/>
    <w:rsid w:val="001C3AFB"/>
    <w:rsid w:val="001D07F0"/>
    <w:rsid w:val="001D1BD2"/>
    <w:rsid w:val="001E0235"/>
    <w:rsid w:val="001E0248"/>
    <w:rsid w:val="001E02BE"/>
    <w:rsid w:val="001E3B37"/>
    <w:rsid w:val="001F2594"/>
    <w:rsid w:val="001F6A5E"/>
    <w:rsid w:val="00202B23"/>
    <w:rsid w:val="002055A6"/>
    <w:rsid w:val="00206460"/>
    <w:rsid w:val="002069B4"/>
    <w:rsid w:val="00211FDC"/>
    <w:rsid w:val="00215DFC"/>
    <w:rsid w:val="002179BC"/>
    <w:rsid w:val="002212DF"/>
    <w:rsid w:val="00222CD4"/>
    <w:rsid w:val="00225016"/>
    <w:rsid w:val="002253CA"/>
    <w:rsid w:val="002264A6"/>
    <w:rsid w:val="00226BE9"/>
    <w:rsid w:val="00227719"/>
    <w:rsid w:val="00227BA7"/>
    <w:rsid w:val="0023011C"/>
    <w:rsid w:val="002375C1"/>
    <w:rsid w:val="00247918"/>
    <w:rsid w:val="00247E1E"/>
    <w:rsid w:val="00250AB0"/>
    <w:rsid w:val="00263398"/>
    <w:rsid w:val="00263B99"/>
    <w:rsid w:val="002647D8"/>
    <w:rsid w:val="00266F06"/>
    <w:rsid w:val="00275BCF"/>
    <w:rsid w:val="00280613"/>
    <w:rsid w:val="00291E36"/>
    <w:rsid w:val="00292257"/>
    <w:rsid w:val="00293812"/>
    <w:rsid w:val="002A54E0"/>
    <w:rsid w:val="002B1595"/>
    <w:rsid w:val="002B191D"/>
    <w:rsid w:val="002B2E83"/>
    <w:rsid w:val="002D0AF6"/>
    <w:rsid w:val="002E31C3"/>
    <w:rsid w:val="002F104D"/>
    <w:rsid w:val="002F164D"/>
    <w:rsid w:val="003021BC"/>
    <w:rsid w:val="00306206"/>
    <w:rsid w:val="003100C7"/>
    <w:rsid w:val="00317D85"/>
    <w:rsid w:val="00327C56"/>
    <w:rsid w:val="003315A1"/>
    <w:rsid w:val="003317D7"/>
    <w:rsid w:val="003373EC"/>
    <w:rsid w:val="00341882"/>
    <w:rsid w:val="00342FF4"/>
    <w:rsid w:val="00344E5A"/>
    <w:rsid w:val="00346148"/>
    <w:rsid w:val="00356235"/>
    <w:rsid w:val="003669EA"/>
    <w:rsid w:val="003706CC"/>
    <w:rsid w:val="00377710"/>
    <w:rsid w:val="00387469"/>
    <w:rsid w:val="003A1E1D"/>
    <w:rsid w:val="003A25F5"/>
    <w:rsid w:val="003A2D8E"/>
    <w:rsid w:val="003A330A"/>
    <w:rsid w:val="003A7CE6"/>
    <w:rsid w:val="003C20E4"/>
    <w:rsid w:val="003D6342"/>
    <w:rsid w:val="003E6F90"/>
    <w:rsid w:val="003E73ED"/>
    <w:rsid w:val="003F1C67"/>
    <w:rsid w:val="003F1C76"/>
    <w:rsid w:val="003F577B"/>
    <w:rsid w:val="003F5D0F"/>
    <w:rsid w:val="00404CD7"/>
    <w:rsid w:val="00414101"/>
    <w:rsid w:val="004219CF"/>
    <w:rsid w:val="004234F0"/>
    <w:rsid w:val="00427EEC"/>
    <w:rsid w:val="00433DDB"/>
    <w:rsid w:val="00435A29"/>
    <w:rsid w:val="00437619"/>
    <w:rsid w:val="004451D5"/>
    <w:rsid w:val="00445ACF"/>
    <w:rsid w:val="004556DA"/>
    <w:rsid w:val="00465A1E"/>
    <w:rsid w:val="00470B9A"/>
    <w:rsid w:val="0049445A"/>
    <w:rsid w:val="004957D9"/>
    <w:rsid w:val="004A2A63"/>
    <w:rsid w:val="004B210C"/>
    <w:rsid w:val="004B5D0D"/>
    <w:rsid w:val="004B6170"/>
    <w:rsid w:val="004C15F9"/>
    <w:rsid w:val="004D207A"/>
    <w:rsid w:val="004D405F"/>
    <w:rsid w:val="004D5538"/>
    <w:rsid w:val="004E453E"/>
    <w:rsid w:val="004E4F4F"/>
    <w:rsid w:val="004E6789"/>
    <w:rsid w:val="004F393F"/>
    <w:rsid w:val="004F61E3"/>
    <w:rsid w:val="00502E10"/>
    <w:rsid w:val="0050354E"/>
    <w:rsid w:val="005075E4"/>
    <w:rsid w:val="0051015C"/>
    <w:rsid w:val="005123D9"/>
    <w:rsid w:val="00516CF1"/>
    <w:rsid w:val="00517B55"/>
    <w:rsid w:val="005246F9"/>
    <w:rsid w:val="00531AE9"/>
    <w:rsid w:val="0053334E"/>
    <w:rsid w:val="00536188"/>
    <w:rsid w:val="00541FF1"/>
    <w:rsid w:val="00550A66"/>
    <w:rsid w:val="005510C7"/>
    <w:rsid w:val="00567EC7"/>
    <w:rsid w:val="00570013"/>
    <w:rsid w:val="005745E1"/>
    <w:rsid w:val="005753EC"/>
    <w:rsid w:val="005801A2"/>
    <w:rsid w:val="00586039"/>
    <w:rsid w:val="005952A5"/>
    <w:rsid w:val="005A33A1"/>
    <w:rsid w:val="005B1F83"/>
    <w:rsid w:val="005B217D"/>
    <w:rsid w:val="005C337C"/>
    <w:rsid w:val="005C385F"/>
    <w:rsid w:val="005C6350"/>
    <w:rsid w:val="005C7C26"/>
    <w:rsid w:val="005D4892"/>
    <w:rsid w:val="005D5972"/>
    <w:rsid w:val="005E1AC6"/>
    <w:rsid w:val="005E3F2B"/>
    <w:rsid w:val="005E730C"/>
    <w:rsid w:val="005F6F1B"/>
    <w:rsid w:val="005F777C"/>
    <w:rsid w:val="00601DCC"/>
    <w:rsid w:val="006032E3"/>
    <w:rsid w:val="00615995"/>
    <w:rsid w:val="00616155"/>
    <w:rsid w:val="00621F41"/>
    <w:rsid w:val="00624B33"/>
    <w:rsid w:val="0063041A"/>
    <w:rsid w:val="00630AA2"/>
    <w:rsid w:val="00631D8B"/>
    <w:rsid w:val="00646707"/>
    <w:rsid w:val="00646A1D"/>
    <w:rsid w:val="00646B40"/>
    <w:rsid w:val="00657F7E"/>
    <w:rsid w:val="00662E58"/>
    <w:rsid w:val="006637F2"/>
    <w:rsid w:val="006642A5"/>
    <w:rsid w:val="00664DCF"/>
    <w:rsid w:val="006671D3"/>
    <w:rsid w:val="00674AFB"/>
    <w:rsid w:val="006834FB"/>
    <w:rsid w:val="006A0E5C"/>
    <w:rsid w:val="006A48E6"/>
    <w:rsid w:val="006A5EA0"/>
    <w:rsid w:val="006C0586"/>
    <w:rsid w:val="006C5D39"/>
    <w:rsid w:val="006C6D8E"/>
    <w:rsid w:val="006D6D9B"/>
    <w:rsid w:val="006E2810"/>
    <w:rsid w:val="006E42F8"/>
    <w:rsid w:val="006E5417"/>
    <w:rsid w:val="006F0794"/>
    <w:rsid w:val="006F7528"/>
    <w:rsid w:val="007023DE"/>
    <w:rsid w:val="00704524"/>
    <w:rsid w:val="007118BB"/>
    <w:rsid w:val="00712F60"/>
    <w:rsid w:val="00720E3B"/>
    <w:rsid w:val="00726347"/>
    <w:rsid w:val="00734B36"/>
    <w:rsid w:val="00735222"/>
    <w:rsid w:val="0074393F"/>
    <w:rsid w:val="00745F6B"/>
    <w:rsid w:val="0075175B"/>
    <w:rsid w:val="0075585E"/>
    <w:rsid w:val="00770571"/>
    <w:rsid w:val="00775027"/>
    <w:rsid w:val="007768FF"/>
    <w:rsid w:val="007824D3"/>
    <w:rsid w:val="00783479"/>
    <w:rsid w:val="00790935"/>
    <w:rsid w:val="00794765"/>
    <w:rsid w:val="00796EE3"/>
    <w:rsid w:val="007A31AE"/>
    <w:rsid w:val="007A7D29"/>
    <w:rsid w:val="007B400C"/>
    <w:rsid w:val="007B4AB8"/>
    <w:rsid w:val="007C081C"/>
    <w:rsid w:val="007D1181"/>
    <w:rsid w:val="007E01A3"/>
    <w:rsid w:val="007F1F8B"/>
    <w:rsid w:val="007F2A06"/>
    <w:rsid w:val="007F6205"/>
    <w:rsid w:val="007F67A1"/>
    <w:rsid w:val="00801A7B"/>
    <w:rsid w:val="00802C19"/>
    <w:rsid w:val="00811C05"/>
    <w:rsid w:val="008206C8"/>
    <w:rsid w:val="00833DE9"/>
    <w:rsid w:val="00852BCE"/>
    <w:rsid w:val="0086387C"/>
    <w:rsid w:val="00866CF9"/>
    <w:rsid w:val="00874A6C"/>
    <w:rsid w:val="00876C65"/>
    <w:rsid w:val="00882F72"/>
    <w:rsid w:val="00891817"/>
    <w:rsid w:val="00893DC4"/>
    <w:rsid w:val="00896C19"/>
    <w:rsid w:val="008A147E"/>
    <w:rsid w:val="008A4B4C"/>
    <w:rsid w:val="008B31BD"/>
    <w:rsid w:val="008B7B40"/>
    <w:rsid w:val="008C1233"/>
    <w:rsid w:val="008C239F"/>
    <w:rsid w:val="008E480C"/>
    <w:rsid w:val="008F6166"/>
    <w:rsid w:val="008F7524"/>
    <w:rsid w:val="0090545F"/>
    <w:rsid w:val="00907757"/>
    <w:rsid w:val="009212B0"/>
    <w:rsid w:val="00921FA1"/>
    <w:rsid w:val="009234A5"/>
    <w:rsid w:val="0092639B"/>
    <w:rsid w:val="00933453"/>
    <w:rsid w:val="009336F7"/>
    <w:rsid w:val="00934148"/>
    <w:rsid w:val="0093636C"/>
    <w:rsid w:val="009374A7"/>
    <w:rsid w:val="00937F03"/>
    <w:rsid w:val="00947473"/>
    <w:rsid w:val="00955F6D"/>
    <w:rsid w:val="00960CD9"/>
    <w:rsid w:val="009776EA"/>
    <w:rsid w:val="00977C16"/>
    <w:rsid w:val="00977FD6"/>
    <w:rsid w:val="0098551D"/>
    <w:rsid w:val="00985DCB"/>
    <w:rsid w:val="009868F5"/>
    <w:rsid w:val="0098700F"/>
    <w:rsid w:val="0099518F"/>
    <w:rsid w:val="009A523D"/>
    <w:rsid w:val="009B02A1"/>
    <w:rsid w:val="009B3361"/>
    <w:rsid w:val="009B7F3F"/>
    <w:rsid w:val="009C5C3A"/>
    <w:rsid w:val="009D3FCC"/>
    <w:rsid w:val="009D7CE6"/>
    <w:rsid w:val="009E448E"/>
    <w:rsid w:val="009F496B"/>
    <w:rsid w:val="009F568F"/>
    <w:rsid w:val="00A01439"/>
    <w:rsid w:val="00A02E61"/>
    <w:rsid w:val="00A0304F"/>
    <w:rsid w:val="00A05CFF"/>
    <w:rsid w:val="00A05D59"/>
    <w:rsid w:val="00A11C65"/>
    <w:rsid w:val="00A13048"/>
    <w:rsid w:val="00A13999"/>
    <w:rsid w:val="00A13B60"/>
    <w:rsid w:val="00A13F78"/>
    <w:rsid w:val="00A15619"/>
    <w:rsid w:val="00A25763"/>
    <w:rsid w:val="00A46843"/>
    <w:rsid w:val="00A52FDB"/>
    <w:rsid w:val="00A56B97"/>
    <w:rsid w:val="00A6093D"/>
    <w:rsid w:val="00A703CE"/>
    <w:rsid w:val="00A72017"/>
    <w:rsid w:val="00A767DC"/>
    <w:rsid w:val="00A76A6D"/>
    <w:rsid w:val="00A83253"/>
    <w:rsid w:val="00A91DB3"/>
    <w:rsid w:val="00AA6E84"/>
    <w:rsid w:val="00AB00C6"/>
    <w:rsid w:val="00AB1A1C"/>
    <w:rsid w:val="00AB4721"/>
    <w:rsid w:val="00AB7405"/>
    <w:rsid w:val="00AD05A8"/>
    <w:rsid w:val="00AE341B"/>
    <w:rsid w:val="00AE3D1E"/>
    <w:rsid w:val="00AF00AC"/>
    <w:rsid w:val="00AF4B24"/>
    <w:rsid w:val="00AF51C5"/>
    <w:rsid w:val="00B01905"/>
    <w:rsid w:val="00B07CA7"/>
    <w:rsid w:val="00B1279A"/>
    <w:rsid w:val="00B1398E"/>
    <w:rsid w:val="00B179CF"/>
    <w:rsid w:val="00B2635E"/>
    <w:rsid w:val="00B3142A"/>
    <w:rsid w:val="00B3640F"/>
    <w:rsid w:val="00B4194A"/>
    <w:rsid w:val="00B437E8"/>
    <w:rsid w:val="00B51F2C"/>
    <w:rsid w:val="00B5222E"/>
    <w:rsid w:val="00B53179"/>
    <w:rsid w:val="00B532EA"/>
    <w:rsid w:val="00B57A23"/>
    <w:rsid w:val="00B600CD"/>
    <w:rsid w:val="00B61C96"/>
    <w:rsid w:val="00B65B26"/>
    <w:rsid w:val="00B663DB"/>
    <w:rsid w:val="00B72DC0"/>
    <w:rsid w:val="00B73A2A"/>
    <w:rsid w:val="00B75A51"/>
    <w:rsid w:val="00B827C6"/>
    <w:rsid w:val="00B9187A"/>
    <w:rsid w:val="00B94A3B"/>
    <w:rsid w:val="00B94B06"/>
    <w:rsid w:val="00B94C28"/>
    <w:rsid w:val="00B974F5"/>
    <w:rsid w:val="00BA1487"/>
    <w:rsid w:val="00BC10BA"/>
    <w:rsid w:val="00BC5AFD"/>
    <w:rsid w:val="00BC6EB4"/>
    <w:rsid w:val="00BD162B"/>
    <w:rsid w:val="00BD7602"/>
    <w:rsid w:val="00BE5075"/>
    <w:rsid w:val="00BF1279"/>
    <w:rsid w:val="00C00DDE"/>
    <w:rsid w:val="00C04F43"/>
    <w:rsid w:val="00C05271"/>
    <w:rsid w:val="00C0609D"/>
    <w:rsid w:val="00C115AB"/>
    <w:rsid w:val="00C13404"/>
    <w:rsid w:val="00C2331F"/>
    <w:rsid w:val="00C26C85"/>
    <w:rsid w:val="00C26CCB"/>
    <w:rsid w:val="00C30249"/>
    <w:rsid w:val="00C35F74"/>
    <w:rsid w:val="00C3723B"/>
    <w:rsid w:val="00C404D1"/>
    <w:rsid w:val="00C42466"/>
    <w:rsid w:val="00C606C9"/>
    <w:rsid w:val="00C62FFD"/>
    <w:rsid w:val="00C65AD3"/>
    <w:rsid w:val="00C74434"/>
    <w:rsid w:val="00C80288"/>
    <w:rsid w:val="00C836F0"/>
    <w:rsid w:val="00C84003"/>
    <w:rsid w:val="00C90650"/>
    <w:rsid w:val="00C953D0"/>
    <w:rsid w:val="00C97D78"/>
    <w:rsid w:val="00CA115D"/>
    <w:rsid w:val="00CA6C65"/>
    <w:rsid w:val="00CA7C45"/>
    <w:rsid w:val="00CC2AAE"/>
    <w:rsid w:val="00CC5A42"/>
    <w:rsid w:val="00CC66BE"/>
    <w:rsid w:val="00CD0EAB"/>
    <w:rsid w:val="00CE5E02"/>
    <w:rsid w:val="00CE6E31"/>
    <w:rsid w:val="00CF34DB"/>
    <w:rsid w:val="00CF3917"/>
    <w:rsid w:val="00CF558F"/>
    <w:rsid w:val="00CF7704"/>
    <w:rsid w:val="00D010C0"/>
    <w:rsid w:val="00D01C79"/>
    <w:rsid w:val="00D06B8B"/>
    <w:rsid w:val="00D073E2"/>
    <w:rsid w:val="00D1555A"/>
    <w:rsid w:val="00D430FC"/>
    <w:rsid w:val="00D446EC"/>
    <w:rsid w:val="00D51BF0"/>
    <w:rsid w:val="00D531DB"/>
    <w:rsid w:val="00D54D4E"/>
    <w:rsid w:val="00D55267"/>
    <w:rsid w:val="00D55942"/>
    <w:rsid w:val="00D65E5B"/>
    <w:rsid w:val="00D72FEE"/>
    <w:rsid w:val="00D807BF"/>
    <w:rsid w:val="00D82FCC"/>
    <w:rsid w:val="00D84A09"/>
    <w:rsid w:val="00D85ADF"/>
    <w:rsid w:val="00D93D6A"/>
    <w:rsid w:val="00DA17FC"/>
    <w:rsid w:val="00DA2515"/>
    <w:rsid w:val="00DA4B81"/>
    <w:rsid w:val="00DA7887"/>
    <w:rsid w:val="00DB2C26"/>
    <w:rsid w:val="00DB45C3"/>
    <w:rsid w:val="00DB4E80"/>
    <w:rsid w:val="00DC0B8A"/>
    <w:rsid w:val="00DC7B3F"/>
    <w:rsid w:val="00DD02F4"/>
    <w:rsid w:val="00DD6622"/>
    <w:rsid w:val="00DE1C7C"/>
    <w:rsid w:val="00DE697E"/>
    <w:rsid w:val="00DE6B43"/>
    <w:rsid w:val="00E01D36"/>
    <w:rsid w:val="00E041C6"/>
    <w:rsid w:val="00E11923"/>
    <w:rsid w:val="00E13F01"/>
    <w:rsid w:val="00E140ED"/>
    <w:rsid w:val="00E150DD"/>
    <w:rsid w:val="00E17CC1"/>
    <w:rsid w:val="00E207D8"/>
    <w:rsid w:val="00E252C3"/>
    <w:rsid w:val="00E262D4"/>
    <w:rsid w:val="00E36250"/>
    <w:rsid w:val="00E408E5"/>
    <w:rsid w:val="00E47F2D"/>
    <w:rsid w:val="00E54511"/>
    <w:rsid w:val="00E545F7"/>
    <w:rsid w:val="00E60EDC"/>
    <w:rsid w:val="00E61DAC"/>
    <w:rsid w:val="00E72B80"/>
    <w:rsid w:val="00E75FE3"/>
    <w:rsid w:val="00E778A0"/>
    <w:rsid w:val="00E86C4C"/>
    <w:rsid w:val="00E907A3"/>
    <w:rsid w:val="00E95E20"/>
    <w:rsid w:val="00EA1BF1"/>
    <w:rsid w:val="00EA5AE0"/>
    <w:rsid w:val="00EB56E1"/>
    <w:rsid w:val="00EB7AB1"/>
    <w:rsid w:val="00EC32BD"/>
    <w:rsid w:val="00ED536F"/>
    <w:rsid w:val="00ED721E"/>
    <w:rsid w:val="00EE7CD8"/>
    <w:rsid w:val="00EF37F6"/>
    <w:rsid w:val="00EF48CC"/>
    <w:rsid w:val="00F00801"/>
    <w:rsid w:val="00F12616"/>
    <w:rsid w:val="00F24635"/>
    <w:rsid w:val="00F2488D"/>
    <w:rsid w:val="00F50BF4"/>
    <w:rsid w:val="00F52DC8"/>
    <w:rsid w:val="00F55DEA"/>
    <w:rsid w:val="00F601A0"/>
    <w:rsid w:val="00F62944"/>
    <w:rsid w:val="00F64C99"/>
    <w:rsid w:val="00F6726B"/>
    <w:rsid w:val="00F672DF"/>
    <w:rsid w:val="00F679C2"/>
    <w:rsid w:val="00F712E9"/>
    <w:rsid w:val="00F73032"/>
    <w:rsid w:val="00F7786E"/>
    <w:rsid w:val="00F848FC"/>
    <w:rsid w:val="00F85C83"/>
    <w:rsid w:val="00F906F6"/>
    <w:rsid w:val="00F90A4B"/>
    <w:rsid w:val="00F9282A"/>
    <w:rsid w:val="00F967B6"/>
    <w:rsid w:val="00F96BAD"/>
    <w:rsid w:val="00FA139D"/>
    <w:rsid w:val="00FA56CF"/>
    <w:rsid w:val="00FA60F5"/>
    <w:rsid w:val="00FA6D32"/>
    <w:rsid w:val="00FB0E84"/>
    <w:rsid w:val="00FC2405"/>
    <w:rsid w:val="00FD01C2"/>
    <w:rsid w:val="00FD3795"/>
    <w:rsid w:val="00FE398F"/>
    <w:rsid w:val="00FE595C"/>
    <w:rsid w:val="00FE7981"/>
    <w:rsid w:val="00FF0CE3"/>
    <w:rsid w:val="035DCFFC"/>
    <w:rsid w:val="187D5F00"/>
    <w:rsid w:val="1D56E3CB"/>
    <w:rsid w:val="21DD0C58"/>
    <w:rsid w:val="2B9BB8B4"/>
    <w:rsid w:val="332F6CAF"/>
    <w:rsid w:val="5E9C39CC"/>
    <w:rsid w:val="60775571"/>
    <w:rsid w:val="67087402"/>
    <w:rsid w:val="6E385B53"/>
    <w:rsid w:val="7EA0A6C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74D299C-61B7-4074-9AC3-608A99D7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65E5B"/>
    <w:pPr>
      <w:ind w:left="720"/>
      <w:contextualSpacing/>
    </w:pPr>
  </w:style>
  <w:style w:type="paragraph" w:styleId="Caption">
    <w:name w:val="caption"/>
    <w:basedOn w:val="Normal"/>
    <w:next w:val="Normal"/>
    <w:unhideWhenUsed/>
    <w:qFormat/>
    <w:rsid w:val="00960CD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202B23"/>
    <w:rPr>
      <w:color w:val="605E5C"/>
      <w:shd w:val="clear" w:color="auto" w:fill="E1DFDD"/>
    </w:rPr>
  </w:style>
  <w:style w:type="character" w:customStyle="1" w:styleId="ListParagraphChar">
    <w:name w:val="List Paragraph Char"/>
    <w:link w:val="ListParagraph"/>
    <w:uiPriority w:val="34"/>
    <w:rsid w:val="008B31BD"/>
    <w:rPr>
      <w:sz w:val="22"/>
    </w:rPr>
  </w:style>
  <w:style w:type="paragraph" w:customStyle="1" w:styleId="paragraph">
    <w:name w:val="paragraph"/>
    <w:basedOn w:val="Normal"/>
    <w:rsid w:val="000C2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fr-FR" w:eastAsia="fr-FR"/>
    </w:rPr>
  </w:style>
  <w:style w:type="character" w:customStyle="1" w:styleId="normaltextrun">
    <w:name w:val="normaltextrun"/>
    <w:basedOn w:val="DefaultParagraphFont"/>
    <w:rsid w:val="000C2C19"/>
  </w:style>
  <w:style w:type="character" w:customStyle="1" w:styleId="eop">
    <w:name w:val="eop"/>
    <w:basedOn w:val="DefaultParagraphFont"/>
    <w:rsid w:val="000C2C19"/>
  </w:style>
  <w:style w:type="character" w:styleId="CommentReference">
    <w:name w:val="annotation reference"/>
    <w:basedOn w:val="DefaultParagraphFont"/>
    <w:rsid w:val="004D5538"/>
    <w:rPr>
      <w:sz w:val="16"/>
      <w:szCs w:val="16"/>
    </w:rPr>
  </w:style>
  <w:style w:type="paragraph" w:styleId="CommentText">
    <w:name w:val="annotation text"/>
    <w:basedOn w:val="Normal"/>
    <w:link w:val="CommentTextChar"/>
    <w:rsid w:val="004D5538"/>
    <w:rPr>
      <w:sz w:val="20"/>
    </w:rPr>
  </w:style>
  <w:style w:type="character" w:customStyle="1" w:styleId="CommentTextChar">
    <w:name w:val="Comment Text Char"/>
    <w:basedOn w:val="DefaultParagraphFont"/>
    <w:link w:val="CommentText"/>
    <w:rsid w:val="004D5538"/>
  </w:style>
  <w:style w:type="paragraph" w:styleId="CommentSubject">
    <w:name w:val="annotation subject"/>
    <w:basedOn w:val="CommentText"/>
    <w:next w:val="CommentText"/>
    <w:link w:val="CommentSubjectChar"/>
    <w:semiHidden/>
    <w:unhideWhenUsed/>
    <w:rsid w:val="004D5538"/>
    <w:rPr>
      <w:b/>
      <w:bCs/>
    </w:rPr>
  </w:style>
  <w:style w:type="character" w:customStyle="1" w:styleId="CommentSubjectChar">
    <w:name w:val="Comment Subject Char"/>
    <w:basedOn w:val="CommentTextChar"/>
    <w:link w:val="CommentSubject"/>
    <w:semiHidden/>
    <w:rsid w:val="004D55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602053">
      <w:bodyDiv w:val="1"/>
      <w:marLeft w:val="0"/>
      <w:marRight w:val="0"/>
      <w:marTop w:val="0"/>
      <w:marBottom w:val="0"/>
      <w:divBdr>
        <w:top w:val="none" w:sz="0" w:space="0" w:color="auto"/>
        <w:left w:val="none" w:sz="0" w:space="0" w:color="auto"/>
        <w:bottom w:val="none" w:sz="0" w:space="0" w:color="auto"/>
        <w:right w:val="none" w:sz="0" w:space="0" w:color="auto"/>
      </w:divBdr>
      <w:divsChild>
        <w:div w:id="795024207">
          <w:marLeft w:val="0"/>
          <w:marRight w:val="0"/>
          <w:marTop w:val="0"/>
          <w:marBottom w:val="0"/>
          <w:divBdr>
            <w:top w:val="none" w:sz="0" w:space="0" w:color="auto"/>
            <w:left w:val="none" w:sz="0" w:space="0" w:color="auto"/>
            <w:bottom w:val="none" w:sz="0" w:space="0" w:color="auto"/>
            <w:right w:val="none" w:sz="0" w:space="0" w:color="auto"/>
          </w:divBdr>
        </w:div>
        <w:div w:id="2111050234">
          <w:marLeft w:val="0"/>
          <w:marRight w:val="0"/>
          <w:marTop w:val="0"/>
          <w:marBottom w:val="0"/>
          <w:divBdr>
            <w:top w:val="none" w:sz="0" w:space="0" w:color="auto"/>
            <w:left w:val="none" w:sz="0" w:space="0" w:color="auto"/>
            <w:bottom w:val="none" w:sz="0" w:space="0" w:color="auto"/>
            <w:right w:val="none" w:sz="0" w:space="0" w:color="auto"/>
          </w:divBdr>
        </w:div>
      </w:divsChild>
    </w:div>
    <w:div w:id="15414736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518620">
      <w:bodyDiv w:val="1"/>
      <w:marLeft w:val="0"/>
      <w:marRight w:val="0"/>
      <w:marTop w:val="0"/>
      <w:marBottom w:val="0"/>
      <w:divBdr>
        <w:top w:val="none" w:sz="0" w:space="0" w:color="auto"/>
        <w:left w:val="none" w:sz="0" w:space="0" w:color="auto"/>
        <w:bottom w:val="none" w:sz="0" w:space="0" w:color="auto"/>
        <w:right w:val="none" w:sz="0" w:space="0" w:color="auto"/>
      </w:divBdr>
    </w:div>
    <w:div w:id="2005471825">
      <w:bodyDiv w:val="1"/>
      <w:marLeft w:val="0"/>
      <w:marRight w:val="0"/>
      <w:marTop w:val="0"/>
      <w:marBottom w:val="0"/>
      <w:divBdr>
        <w:top w:val="none" w:sz="0" w:space="0" w:color="auto"/>
        <w:left w:val="none" w:sz="0" w:space="0" w:color="auto"/>
        <w:bottom w:val="none" w:sz="0" w:space="0" w:color="auto"/>
        <w:right w:val="none" w:sz="0" w:space="0" w:color="auto"/>
      </w:divBdr>
    </w:div>
    <w:div w:id="20699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toine.robert@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BB0D91-FDEA-4705-A8D2-65169F24F03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EBE42D7A-E8A7-44CC-AA5F-7E8A08CA4F04}">
  <ds:schemaRefs>
    <ds:schemaRef ds:uri="http://schemas.openxmlformats.org/officeDocument/2006/bibliography"/>
  </ds:schemaRefs>
</ds:datastoreItem>
</file>

<file path=customXml/itemProps3.xml><?xml version="1.0" encoding="utf-8"?>
<ds:datastoreItem xmlns:ds="http://schemas.openxmlformats.org/officeDocument/2006/customXml" ds:itemID="{234EB1C0-1E81-4FBA-8EE2-02C59811B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BCB7B6-CDFA-4379-B4A2-B62EB04441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Pages>
  <Words>682</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4430</CharactersWithSpaces>
  <SharedDoc>false</SharedDoc>
  <HLinks>
    <vt:vector size="6" baseType="variant">
      <vt:variant>
        <vt:i4>4653114</vt:i4>
      </vt:variant>
      <vt:variant>
        <vt:i4>0</vt:i4>
      </vt:variant>
      <vt:variant>
        <vt:i4>0</vt:i4>
      </vt:variant>
      <vt:variant>
        <vt:i4>5</vt:i4>
      </vt:variant>
      <vt:variant>
        <vt:lpwstr>mailto:antoine.robert@interdigital.com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32</cp:revision>
  <cp:lastPrinted>1900-01-02T02:00:00Z</cp:lastPrinted>
  <dcterms:created xsi:type="dcterms:W3CDTF">2023-07-05T14:37:00Z</dcterms:created>
  <dcterms:modified xsi:type="dcterms:W3CDTF">2023-07-06T15:08:00Z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