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C6E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464CFC" w:rsidR="00E61DAC" w:rsidRPr="005B217D" w:rsidRDefault="001D5989"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7C772F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C57C08">
              <w:rPr>
                <w:lang w:val="en-CA"/>
              </w:rPr>
              <w:t>JVET</w:t>
            </w:r>
            <w:r w:rsidR="00C57C08" w:rsidRPr="005B217D">
              <w:rPr>
                <w:lang w:val="en-CA"/>
              </w:rPr>
              <w:t>-</w:t>
            </w:r>
            <w:r w:rsidR="00C57C08">
              <w:rPr>
                <w:lang w:val="en-CA"/>
              </w:rPr>
              <w:t>AC</w:t>
            </w:r>
            <w:r w:rsidR="00E2574A">
              <w:rPr>
                <w:lang w:val="en-CA"/>
              </w:rPr>
              <w:t>0</w:t>
            </w:r>
            <w:r w:rsidR="00223924">
              <w:rPr>
                <w:lang w:val="en-CA"/>
              </w:rPr>
              <w:t>316</w:t>
            </w:r>
            <w:r w:rsidR="00E2574A">
              <w:rPr>
                <w:lang w:val="en-CA"/>
              </w:rPr>
              <w:t>-</w:t>
            </w:r>
            <w:r w:rsidR="00614484">
              <w:rPr>
                <w:lang w:val="en-CA"/>
              </w:rPr>
              <w:t>v</w:t>
            </w:r>
            <w:r w:rsidR="00B87BC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E9B636" w:rsidR="00E61DAC" w:rsidRPr="00364B1A" w:rsidRDefault="00F004B2" w:rsidP="00364B1A">
            <w:pPr>
              <w:tabs>
                <w:tab w:val="clear" w:pos="360"/>
              </w:tabs>
              <w:spacing w:before="60" w:after="60"/>
              <w:rPr>
                <w:b/>
                <w:szCs w:val="22"/>
                <w:lang w:val="en-CA"/>
              </w:rPr>
            </w:pPr>
            <w:r>
              <w:rPr>
                <w:b/>
                <w:szCs w:val="22"/>
                <w:lang w:val="en-CA"/>
              </w:rPr>
              <w:t>[</w:t>
            </w:r>
            <w:r w:rsidR="00B66C7B">
              <w:rPr>
                <w:b/>
                <w:szCs w:val="22"/>
                <w:lang w:val="en-CA"/>
              </w:rPr>
              <w:t>Informative</w:t>
            </w:r>
            <w:r>
              <w:rPr>
                <w:b/>
                <w:szCs w:val="22"/>
                <w:lang w:val="en-CA"/>
              </w:rPr>
              <w:t>] ISO 22028-5 impact on CICP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58D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DE4C11" w:rsidR="00E61DAC" w:rsidRPr="005B217D" w:rsidRDefault="00B66C7B" w:rsidP="005E1AC6">
            <w:pPr>
              <w:spacing w:before="60" w:after="60"/>
              <w:rPr>
                <w:szCs w:val="22"/>
                <w:lang w:val="en-CA"/>
              </w:rPr>
            </w:pPr>
            <w:r>
              <w:rPr>
                <w:szCs w:val="22"/>
                <w:lang w:val="en-CA"/>
              </w:rPr>
              <w:t>Informative</w:t>
            </w:r>
          </w:p>
        </w:tc>
      </w:tr>
      <w:tr w:rsidR="00872EAD" w:rsidRPr="002E4C64" w14:paraId="714CD808" w14:textId="77777777" w:rsidTr="000962AC">
        <w:tc>
          <w:tcPr>
            <w:tcW w:w="1458" w:type="dxa"/>
          </w:tcPr>
          <w:p w14:paraId="4DB59313" w14:textId="77777777" w:rsidR="00872EAD" w:rsidRPr="005B217D" w:rsidRDefault="00872EAD" w:rsidP="00872E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9AB760" w14:textId="77777777" w:rsidR="00FD6F39" w:rsidRDefault="00FD6F39" w:rsidP="00FD6F39">
            <w:pPr>
              <w:spacing w:before="60" w:after="60"/>
              <w:rPr>
                <w:szCs w:val="22"/>
                <w:lang w:val="fr-FR" w:eastAsia="zh-CN"/>
              </w:rPr>
            </w:pPr>
            <w:r w:rsidRPr="00FD6F39">
              <w:rPr>
                <w:szCs w:val="22"/>
                <w:lang w:val="fr-FR" w:eastAsia="zh-CN"/>
              </w:rPr>
              <w:t>Nicolas Bonnier,</w:t>
            </w:r>
          </w:p>
          <w:p w14:paraId="061DBA58" w14:textId="70D57D9D" w:rsidR="00FD6F39" w:rsidRDefault="00FD6F39" w:rsidP="00FD6F39">
            <w:pPr>
              <w:spacing w:before="60" w:after="60"/>
              <w:rPr>
                <w:szCs w:val="22"/>
                <w:lang w:val="fr-FR" w:eastAsia="zh-CN"/>
              </w:rPr>
            </w:pPr>
            <w:r w:rsidRPr="00FD6F39">
              <w:rPr>
                <w:szCs w:val="22"/>
                <w:lang w:val="fr-FR" w:eastAsia="zh-CN"/>
              </w:rPr>
              <w:t>Davide Concion,</w:t>
            </w:r>
          </w:p>
          <w:p w14:paraId="4940D197" w14:textId="03AD32F1" w:rsidR="004E1103" w:rsidRDefault="004E1103" w:rsidP="00FD6F39">
            <w:pPr>
              <w:spacing w:before="60" w:after="60"/>
              <w:rPr>
                <w:szCs w:val="22"/>
                <w:lang w:val="fr-FR" w:eastAsia="zh-CN"/>
              </w:rPr>
            </w:pPr>
            <w:r w:rsidRPr="004E1103">
              <w:rPr>
                <w:szCs w:val="22"/>
                <w:lang w:val="fr-FR" w:eastAsia="zh-CN"/>
              </w:rPr>
              <w:t>Ying Li</w:t>
            </w:r>
            <w:r>
              <w:rPr>
                <w:szCs w:val="22"/>
                <w:lang w:val="fr-FR" w:eastAsia="zh-CN"/>
              </w:rPr>
              <w:t>,</w:t>
            </w:r>
          </w:p>
          <w:p w14:paraId="527649FB" w14:textId="60748C67" w:rsidR="00FD6F39" w:rsidRDefault="00FD6F39" w:rsidP="00FD6F39">
            <w:pPr>
              <w:spacing w:before="60" w:after="60"/>
              <w:rPr>
                <w:szCs w:val="22"/>
                <w:lang w:val="fr-FR" w:eastAsia="zh-CN"/>
              </w:rPr>
            </w:pPr>
            <w:r>
              <w:rPr>
                <w:szCs w:val="22"/>
                <w:lang w:val="fr-FR" w:eastAsia="zh-CN"/>
              </w:rPr>
              <w:t>Dimitri Podborski,</w:t>
            </w:r>
          </w:p>
          <w:p w14:paraId="111D16CE" w14:textId="40DCF8C3" w:rsidR="00FD6F39" w:rsidRDefault="00FD6F39" w:rsidP="00FD6F39">
            <w:pPr>
              <w:spacing w:before="60" w:after="60"/>
              <w:rPr>
                <w:szCs w:val="22"/>
                <w:lang w:val="fr-FR" w:eastAsia="zh-CN"/>
              </w:rPr>
            </w:pPr>
            <w:r w:rsidRPr="00FD6F39">
              <w:rPr>
                <w:szCs w:val="22"/>
                <w:lang w:val="fr-FR" w:eastAsia="zh-CN"/>
              </w:rPr>
              <w:t>Jackson Roland,</w:t>
            </w:r>
          </w:p>
          <w:p w14:paraId="78402AD3" w14:textId="3206589C" w:rsidR="004E1103" w:rsidRDefault="004E1103" w:rsidP="00FD6F39">
            <w:pPr>
              <w:spacing w:before="60" w:after="60"/>
              <w:rPr>
                <w:szCs w:val="22"/>
                <w:lang w:val="fr-FR" w:eastAsia="zh-CN"/>
              </w:rPr>
            </w:pPr>
            <w:r w:rsidRPr="004E1103">
              <w:rPr>
                <w:szCs w:val="22"/>
                <w:lang w:val="fr-FR" w:eastAsia="zh-CN"/>
              </w:rPr>
              <w:t xml:space="preserve">Michel </w:t>
            </w:r>
            <w:proofErr w:type="spellStart"/>
            <w:r w:rsidRPr="004E1103">
              <w:rPr>
                <w:szCs w:val="22"/>
                <w:lang w:val="fr-FR" w:eastAsia="zh-CN"/>
              </w:rPr>
              <w:t>Rynderman</w:t>
            </w:r>
            <w:proofErr w:type="spellEnd"/>
            <w:r>
              <w:rPr>
                <w:szCs w:val="22"/>
                <w:lang w:val="fr-FR" w:eastAsia="zh-CN"/>
              </w:rPr>
              <w:t>,</w:t>
            </w:r>
          </w:p>
          <w:p w14:paraId="1CAD3D8A" w14:textId="430C517D" w:rsidR="00872EAD" w:rsidRDefault="00B87BC2" w:rsidP="00FD6F39">
            <w:pPr>
              <w:spacing w:before="60" w:after="60"/>
              <w:rPr>
                <w:szCs w:val="22"/>
                <w:lang w:val="fr-FR" w:eastAsia="zh-CN"/>
              </w:rPr>
            </w:pPr>
            <w:r>
              <w:rPr>
                <w:szCs w:val="22"/>
                <w:lang w:val="fr-FR" w:eastAsia="zh-CN"/>
              </w:rPr>
              <w:t xml:space="preserve">Alexis </w:t>
            </w:r>
            <w:proofErr w:type="spellStart"/>
            <w:r>
              <w:rPr>
                <w:szCs w:val="22"/>
                <w:lang w:val="fr-FR" w:eastAsia="zh-CN"/>
              </w:rPr>
              <w:t>Tourapis</w:t>
            </w:r>
            <w:proofErr w:type="spellEnd"/>
          </w:p>
          <w:p w14:paraId="49D81240" w14:textId="2B3D1244" w:rsidR="00872EAD" w:rsidRPr="00072C61" w:rsidRDefault="00872EAD" w:rsidP="00B87BC2">
            <w:pPr>
              <w:spacing w:before="60" w:after="60"/>
              <w:rPr>
                <w:szCs w:val="22"/>
                <w:lang w:val="fr-FR"/>
              </w:rPr>
            </w:pPr>
          </w:p>
        </w:tc>
        <w:tc>
          <w:tcPr>
            <w:tcW w:w="900" w:type="dxa"/>
          </w:tcPr>
          <w:p w14:paraId="58117055" w14:textId="77777777" w:rsidR="00872EAD" w:rsidRDefault="00872EAD" w:rsidP="00872EAD">
            <w:pPr>
              <w:spacing w:before="60" w:after="60"/>
              <w:rPr>
                <w:szCs w:val="22"/>
                <w:lang w:val="en-CA"/>
              </w:rPr>
            </w:pPr>
            <w:r w:rsidRPr="005B217D">
              <w:rPr>
                <w:szCs w:val="22"/>
                <w:lang w:val="en-CA"/>
              </w:rPr>
              <w:t>Tel:</w:t>
            </w:r>
            <w:r w:rsidRPr="005B217D">
              <w:rPr>
                <w:szCs w:val="22"/>
                <w:lang w:val="en-CA"/>
              </w:rPr>
              <w:br/>
              <w:t>Email:</w:t>
            </w:r>
          </w:p>
          <w:p w14:paraId="0140ECA2" w14:textId="3D1E8CEF" w:rsidR="00872EAD" w:rsidRPr="005B217D" w:rsidRDefault="00872EAD" w:rsidP="00872EAD">
            <w:pPr>
              <w:spacing w:before="60" w:after="60"/>
              <w:rPr>
                <w:szCs w:val="22"/>
                <w:lang w:val="en-CA"/>
              </w:rPr>
            </w:pPr>
            <w:r>
              <w:rPr>
                <w:szCs w:val="22"/>
                <w:lang w:val="en-CA"/>
              </w:rPr>
              <w:t xml:space="preserve">                              </w:t>
            </w:r>
          </w:p>
        </w:tc>
        <w:tc>
          <w:tcPr>
            <w:tcW w:w="3060" w:type="dxa"/>
          </w:tcPr>
          <w:p w14:paraId="32C2ABFD" w14:textId="56461ECC" w:rsidR="00B879A4" w:rsidRPr="005B217D" w:rsidRDefault="00872EAD" w:rsidP="00872EAD">
            <w:pPr>
              <w:spacing w:before="60" w:after="60"/>
              <w:rPr>
                <w:szCs w:val="22"/>
                <w:lang w:val="en-CA"/>
              </w:rPr>
            </w:pPr>
            <w:r w:rsidRPr="005B217D">
              <w:rPr>
                <w:szCs w:val="22"/>
                <w:lang w:val="en-CA"/>
              </w:rPr>
              <w:br/>
            </w:r>
            <w:r w:rsidR="00B66C7B">
              <w:rPr>
                <w:szCs w:val="22"/>
                <w:lang w:val="en-CA"/>
              </w:rPr>
              <w:t xml:space="preserve">atourapis@apple.com </w:t>
            </w:r>
            <w:r w:rsidR="00B879A4">
              <w:rPr>
                <w:szCs w:val="22"/>
                <w:lang w:val="en-CA"/>
              </w:rPr>
              <w:t>dpodborski@apple.com</w:t>
            </w:r>
          </w:p>
        </w:tc>
      </w:tr>
      <w:tr w:rsidR="00872EAD" w:rsidRPr="005B217D" w14:paraId="49AFAA61" w14:textId="77777777" w:rsidTr="000962AC">
        <w:tc>
          <w:tcPr>
            <w:tcW w:w="1458" w:type="dxa"/>
          </w:tcPr>
          <w:p w14:paraId="2C08AF6B" w14:textId="77777777" w:rsidR="00872EAD" w:rsidRPr="005B217D" w:rsidRDefault="00872EAD" w:rsidP="00872EAD">
            <w:pPr>
              <w:spacing w:before="60" w:after="60"/>
              <w:rPr>
                <w:i/>
                <w:szCs w:val="22"/>
                <w:lang w:val="en-CA"/>
              </w:rPr>
            </w:pPr>
            <w:r w:rsidRPr="005B217D">
              <w:rPr>
                <w:i/>
                <w:szCs w:val="22"/>
                <w:lang w:val="en-CA"/>
              </w:rPr>
              <w:t>Source:</w:t>
            </w:r>
          </w:p>
        </w:tc>
        <w:tc>
          <w:tcPr>
            <w:tcW w:w="7902" w:type="dxa"/>
            <w:gridSpan w:val="3"/>
          </w:tcPr>
          <w:p w14:paraId="4AD87426" w14:textId="082B9FCF" w:rsidR="00872EAD" w:rsidRDefault="00B87BC2" w:rsidP="00872EAD">
            <w:pPr>
              <w:spacing w:before="60" w:after="60"/>
              <w:rPr>
                <w:szCs w:val="22"/>
                <w:lang w:val="en-CA"/>
              </w:rPr>
            </w:pPr>
            <w:r>
              <w:rPr>
                <w:szCs w:val="22"/>
                <w:lang w:val="en-CA"/>
              </w:rPr>
              <w:t>Apple Inc.</w:t>
            </w:r>
          </w:p>
          <w:p w14:paraId="643E6B85" w14:textId="238F4861" w:rsidR="00872EAD" w:rsidRPr="005B217D" w:rsidRDefault="00872EAD" w:rsidP="00872EAD">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7DDF20B" w14:textId="58E861AA" w:rsidR="00F004B2" w:rsidRDefault="00F004B2" w:rsidP="00F004B2">
      <w:r>
        <w:t xml:space="preserve">ISO TC42 is currently developing specification </w:t>
      </w:r>
      <w:r w:rsidRPr="00080B31">
        <w:t>ISO 22028</w:t>
      </w:r>
      <w:r>
        <w:t xml:space="preserve">-5 </w:t>
      </w:r>
      <w:r>
        <w:fldChar w:fldCharType="begin"/>
      </w:r>
      <w:r>
        <w:instrText xml:space="preserve"> REF _Ref116506941 \r \h </w:instrText>
      </w:r>
      <w:r>
        <w:fldChar w:fldCharType="separate"/>
      </w:r>
      <w:r>
        <w:t>[1]</w:t>
      </w:r>
      <w:r>
        <w:fldChar w:fldCharType="end"/>
      </w:r>
      <w:r>
        <w:t xml:space="preserve">, which </w:t>
      </w:r>
      <w:r w:rsidRPr="00080B31">
        <w:t xml:space="preserve">defines a set of </w:t>
      </w:r>
      <w:proofErr w:type="spellStart"/>
      <w:r w:rsidRPr="00080B31">
        <w:t>colour</w:t>
      </w:r>
      <w:proofErr w:type="spellEnd"/>
      <w:r w:rsidRPr="00080B31">
        <w:t xml:space="preserve"> image encodings for use in storage, transmission, and display of </w:t>
      </w:r>
      <w:r>
        <w:t>HDR</w:t>
      </w:r>
      <w:r w:rsidRPr="00080B31">
        <w:t xml:space="preserve"> and </w:t>
      </w:r>
      <w:r>
        <w:t xml:space="preserve">WCG </w:t>
      </w:r>
      <w:r w:rsidRPr="00080B31">
        <w:t>digital still images</w:t>
      </w:r>
      <w:r>
        <w:t>. The purpose of this contribution is to inform JVET group on the impact of this work to the CICP specification</w:t>
      </w:r>
      <w:r w:rsidR="004E5150">
        <w:t xml:space="preserve"> </w:t>
      </w:r>
      <w:r w:rsidR="004E5150">
        <w:fldChar w:fldCharType="begin"/>
      </w:r>
      <w:r w:rsidR="004E5150">
        <w:instrText xml:space="preserve"> REF _Ref124455852 \r \h </w:instrText>
      </w:r>
      <w:r w:rsidR="004E5150">
        <w:fldChar w:fldCharType="separate"/>
      </w:r>
      <w:r w:rsidR="004E5150">
        <w:t>[2]</w:t>
      </w:r>
      <w:r w:rsidR="004E5150">
        <w:fldChar w:fldCharType="end"/>
      </w:r>
      <w:r>
        <w:t>.</w:t>
      </w:r>
    </w:p>
    <w:p w14:paraId="5C406FAC" w14:textId="4D56A02B" w:rsidR="00F004B2" w:rsidRPr="00F004B2" w:rsidRDefault="00F004B2" w:rsidP="00F004B2">
      <w:pPr>
        <w:pStyle w:val="Heading1"/>
        <w:rPr>
          <w:lang w:val="en-CA"/>
        </w:rPr>
      </w:pPr>
      <w:r>
        <w:rPr>
          <w:lang w:val="en-CA"/>
        </w:rPr>
        <w:t>Discussion</w:t>
      </w:r>
    </w:p>
    <w:p w14:paraId="7B0A99EE" w14:textId="5613A647" w:rsidR="005049D3" w:rsidRDefault="00F004B2" w:rsidP="00F004B2">
      <w:r w:rsidRPr="00080B31">
        <w:t>ISO 22028</w:t>
      </w:r>
      <w:r>
        <w:t>-5 is mostly built on known technologies such as the use of ITU-</w:t>
      </w:r>
      <w:r w:rsidR="004D1083">
        <w:t xml:space="preserve">R </w:t>
      </w:r>
      <w:r>
        <w:t xml:space="preserve">Rec. BT.2100, and </w:t>
      </w:r>
      <w:r w:rsidR="00756FD5">
        <w:t xml:space="preserve">the </w:t>
      </w:r>
      <w:r>
        <w:t xml:space="preserve">Mastering Display </w:t>
      </w:r>
      <w:proofErr w:type="spellStart"/>
      <w:r>
        <w:t>Colo</w:t>
      </w:r>
      <w:r w:rsidR="00756FD5">
        <w:t>ur</w:t>
      </w:r>
      <w:proofErr w:type="spellEnd"/>
      <w:r w:rsidR="00756FD5">
        <w:t xml:space="preserve"> Volume (MDCV), </w:t>
      </w:r>
      <w:r w:rsidRPr="00F004B2">
        <w:t xml:space="preserve">Content </w:t>
      </w:r>
      <w:proofErr w:type="spellStart"/>
      <w:r w:rsidRPr="00F004B2">
        <w:t>Colour</w:t>
      </w:r>
      <w:proofErr w:type="spellEnd"/>
      <w:r w:rsidRPr="00F004B2">
        <w:t xml:space="preserve"> Volume (CCV) and </w:t>
      </w:r>
      <w:proofErr w:type="spellStart"/>
      <w:r w:rsidRPr="00F004B2">
        <w:t>Colour</w:t>
      </w:r>
      <w:proofErr w:type="spellEnd"/>
      <w:r w:rsidRPr="00F004B2">
        <w:t xml:space="preserve"> Light Level (CLL)</w:t>
      </w:r>
      <w:r>
        <w:t xml:space="preserve"> metadata.</w:t>
      </w:r>
      <w:r w:rsidR="00665EE8">
        <w:t xml:space="preserve"> However, it also defines new </w:t>
      </w:r>
      <w:proofErr w:type="spellStart"/>
      <w:r w:rsidR="00665EE8">
        <w:t>colour</w:t>
      </w:r>
      <w:proofErr w:type="spellEnd"/>
      <w:r w:rsidR="00665EE8">
        <w:t xml:space="preserve"> image encodings</w:t>
      </w:r>
      <w:r w:rsidR="00C01EEC">
        <w:t xml:space="preserve">. In particular, it extends HLG to support reference displays with brightness characteristics beyond what is referenced in ITU-R Rec. BT.2100, </w:t>
      </w:r>
      <w:proofErr w:type="gramStart"/>
      <w:r w:rsidR="00C01EEC">
        <w:t>i.e.</w:t>
      </w:r>
      <w:proofErr w:type="gramEnd"/>
      <w:r w:rsidR="00C01EEC">
        <w:t xml:space="preserve"> with a peak brightness of 1 000 cd/m</w:t>
      </w:r>
      <w:r w:rsidR="00C01EEC" w:rsidRPr="008E6F14">
        <w:rPr>
          <w:sz w:val="24"/>
          <w:szCs w:val="21"/>
          <w:vertAlign w:val="superscript"/>
        </w:rPr>
        <w:t>2</w:t>
      </w:r>
      <w:r w:rsidR="00C01EEC">
        <w:t>. This is referred to as the d</w:t>
      </w:r>
      <w:r w:rsidR="00C01EEC" w:rsidRPr="00C01EEC">
        <w:t>isplay-viewing colorimetry HLG</w:t>
      </w:r>
      <w:r w:rsidR="005049D3">
        <w:t xml:space="preserve"> (</w:t>
      </w:r>
      <w:r w:rsidR="005049D3">
        <w:fldChar w:fldCharType="begin"/>
      </w:r>
      <w:r w:rsidR="005049D3">
        <w:instrText xml:space="preserve"> REF _Ref124454585 \h </w:instrText>
      </w:r>
      <w:r w:rsidR="005049D3">
        <w:fldChar w:fldCharType="separate"/>
      </w:r>
      <w:r w:rsidR="005049D3">
        <w:t xml:space="preserve">Figure </w:t>
      </w:r>
      <w:r w:rsidR="005049D3">
        <w:rPr>
          <w:noProof/>
        </w:rPr>
        <w:t>1</w:t>
      </w:r>
      <w:r w:rsidR="005049D3">
        <w:fldChar w:fldCharType="end"/>
      </w:r>
      <w:r w:rsidR="005049D3">
        <w:t>)</w:t>
      </w:r>
      <w:r w:rsidR="00C01EEC">
        <w:t>.</w:t>
      </w:r>
      <w:r w:rsidR="00C603DE">
        <w:t xml:space="preserve"> </w:t>
      </w:r>
      <w:r w:rsidR="00C603DE" w:rsidRPr="00C603DE">
        <w:t xml:space="preserve">Such display characteristics can be provided to the decoder using additional metadata and </w:t>
      </w:r>
      <w:proofErr w:type="gramStart"/>
      <w:r w:rsidR="00C603DE" w:rsidRPr="00C603DE">
        <w:t>in particular the</w:t>
      </w:r>
      <w:proofErr w:type="gramEnd"/>
      <w:r w:rsidR="00C603DE" w:rsidRPr="00C603DE">
        <w:t xml:space="preserve"> MDCV</w:t>
      </w:r>
      <w:r w:rsidR="00C603DE">
        <w:t>.</w:t>
      </w:r>
    </w:p>
    <w:p w14:paraId="77227A46" w14:textId="01757D66" w:rsidR="00F51C51" w:rsidRDefault="009479AD" w:rsidP="00F51C51">
      <w:pPr>
        <w:keepNext/>
        <w:jc w:val="center"/>
      </w:pPr>
      <w:r>
        <w:rPr>
          <w:noProof/>
        </w:rPr>
        <w:drawing>
          <wp:inline distT="0" distB="0" distL="0" distR="0" wp14:anchorId="13586D40" wp14:editId="7B46A004">
            <wp:extent cx="5943600" cy="1391285"/>
            <wp:effectExtent l="0" t="0" r="0" b="5715"/>
            <wp:docPr id="32" name="Graphic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phic 32"/>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943600" cy="1391285"/>
                    </a:xfrm>
                    <a:prstGeom prst="rect">
                      <a:avLst/>
                    </a:prstGeom>
                  </pic:spPr>
                </pic:pic>
              </a:graphicData>
            </a:graphic>
          </wp:inline>
        </w:drawing>
      </w:r>
    </w:p>
    <w:p w14:paraId="19E84010" w14:textId="5ADF2B02" w:rsidR="00665EE8" w:rsidRDefault="00F51C51" w:rsidP="004D1083">
      <w:pPr>
        <w:pStyle w:val="Caption"/>
        <w:jc w:val="center"/>
      </w:pPr>
      <w:bookmarkStart w:id="0" w:name="_Ref124454585"/>
      <w:r>
        <w:t xml:space="preserve">Figure </w:t>
      </w:r>
      <w:fldSimple w:instr=" SEQ Figure \* ARABIC ">
        <w:r w:rsidR="00C603DE">
          <w:rPr>
            <w:noProof/>
          </w:rPr>
          <w:t>1</w:t>
        </w:r>
      </w:fldSimple>
      <w:bookmarkEnd w:id="0"/>
      <w:r>
        <w:t>: Display</w:t>
      </w:r>
      <w:r w:rsidR="00C01EEC">
        <w:t>-viewing colorimetry</w:t>
      </w:r>
      <w:r>
        <w:t xml:space="preserve"> HLG</w:t>
      </w:r>
    </w:p>
    <w:p w14:paraId="243A2DC0" w14:textId="0FF20FDA" w:rsidR="003C696C" w:rsidRPr="003C696C" w:rsidRDefault="00C603DE" w:rsidP="00C603DE">
      <w:pPr>
        <w:rPr>
          <w:bCs/>
        </w:rPr>
      </w:pPr>
      <w:r>
        <w:t xml:space="preserve">On the other hand, it also defines a new use case of HLG referred to as the </w:t>
      </w:r>
      <w:r w:rsidRPr="005049D3">
        <w:t>Scene-referred colorimetry</w:t>
      </w:r>
      <w:r>
        <w:t xml:space="preserve"> HLG (</w:t>
      </w:r>
      <w:r>
        <w:fldChar w:fldCharType="begin"/>
      </w:r>
      <w:r>
        <w:instrText xml:space="preserve"> REF _Ref124521033 \h </w:instrText>
      </w:r>
      <w:r>
        <w:fldChar w:fldCharType="separate"/>
      </w:r>
      <w:r>
        <w:t xml:space="preserve">Figure </w:t>
      </w:r>
      <w:r>
        <w:rPr>
          <w:noProof/>
        </w:rPr>
        <w:t>2</w:t>
      </w:r>
      <w:r>
        <w:fldChar w:fldCharType="end"/>
      </w:r>
      <w:r>
        <w:t xml:space="preserve">). For this transfer characteristics no display OOTF is applied and the HLG OETF is applied directly on the captured signal which has only scene light colorimetry applied to it. Images in this format </w:t>
      </w:r>
      <w:r>
        <w:lastRenderedPageBreak/>
        <w:t>could be used i</w:t>
      </w:r>
      <w:r w:rsidRPr="00C603DE">
        <w:rPr>
          <w:bCs/>
        </w:rPr>
        <w:t xml:space="preserve">n some other applications of photography, </w:t>
      </w:r>
      <w:r>
        <w:rPr>
          <w:bCs/>
        </w:rPr>
        <w:t xml:space="preserve">where </w:t>
      </w:r>
      <w:r w:rsidRPr="00C603DE">
        <w:rPr>
          <w:bCs/>
        </w:rPr>
        <w:t>it is desirable that the decoded signal represent</w:t>
      </w:r>
      <w:r>
        <w:rPr>
          <w:bCs/>
        </w:rPr>
        <w:t>s</w:t>
      </w:r>
      <w:r w:rsidRPr="00C603DE">
        <w:rPr>
          <w:bCs/>
        </w:rPr>
        <w:t xml:space="preserve"> the colorimetry of the scene</w:t>
      </w:r>
      <w:r>
        <w:rPr>
          <w:bCs/>
        </w:rPr>
        <w:t xml:space="preserve"> </w:t>
      </w:r>
      <w:r>
        <w:rPr>
          <w:bCs/>
        </w:rPr>
        <w:fldChar w:fldCharType="begin"/>
      </w:r>
      <w:r>
        <w:rPr>
          <w:bCs/>
        </w:rPr>
        <w:instrText xml:space="preserve"> REF _Ref116506941 \r \h </w:instrText>
      </w:r>
      <w:r>
        <w:rPr>
          <w:bCs/>
        </w:rPr>
      </w:r>
      <w:r>
        <w:rPr>
          <w:bCs/>
        </w:rPr>
        <w:fldChar w:fldCharType="separate"/>
      </w:r>
      <w:r>
        <w:rPr>
          <w:bCs/>
        </w:rPr>
        <w:t>[1]</w:t>
      </w:r>
      <w:r>
        <w:rPr>
          <w:bCs/>
        </w:rPr>
        <w:fldChar w:fldCharType="end"/>
      </w:r>
      <w:r>
        <w:rPr>
          <w:bCs/>
        </w:rPr>
        <w:t>.</w:t>
      </w:r>
      <w:r w:rsidR="003C696C">
        <w:rPr>
          <w:bCs/>
        </w:rPr>
        <w:t xml:space="preserve"> A scene-referred colorimetry </w:t>
      </w:r>
      <w:r w:rsidR="00E46824">
        <w:rPr>
          <w:bCs/>
        </w:rPr>
        <w:t>PQ transfer characteristics is also defined in the same document.</w:t>
      </w:r>
    </w:p>
    <w:p w14:paraId="3764DAE0" w14:textId="77777777" w:rsidR="00C603DE" w:rsidRDefault="00C603DE" w:rsidP="00C603DE">
      <w:pPr>
        <w:keepNext/>
      </w:pPr>
      <w:r>
        <w:rPr>
          <w:noProof/>
        </w:rPr>
        <w:drawing>
          <wp:inline distT="0" distB="0" distL="0" distR="0" wp14:anchorId="1082865D" wp14:editId="3FAE3EF5">
            <wp:extent cx="5943600" cy="888096"/>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5943600" cy="888096"/>
                    </a:xfrm>
                    <a:prstGeom prst="rect">
                      <a:avLst/>
                    </a:prstGeom>
                  </pic:spPr>
                </pic:pic>
              </a:graphicData>
            </a:graphic>
          </wp:inline>
        </w:drawing>
      </w:r>
    </w:p>
    <w:p w14:paraId="332D8EC1" w14:textId="60E36A33" w:rsidR="00C603DE" w:rsidRDefault="00C603DE" w:rsidP="008E6F14">
      <w:pPr>
        <w:pStyle w:val="Caption"/>
        <w:jc w:val="center"/>
      </w:pPr>
      <w:bookmarkStart w:id="1" w:name="_Ref124521033"/>
      <w:r>
        <w:t xml:space="preserve">Figure </w:t>
      </w:r>
      <w:fldSimple w:instr=" SEQ Figure \* ARABIC ">
        <w:r>
          <w:rPr>
            <w:noProof/>
          </w:rPr>
          <w:t>2</w:t>
        </w:r>
      </w:fldSimple>
      <w:bookmarkEnd w:id="1"/>
      <w:r>
        <w:t>: Scene-referred colorimetry HLG</w:t>
      </w:r>
      <w:r w:rsidR="002D7131">
        <w:t xml:space="preserve"> </w:t>
      </w:r>
      <w:r w:rsidR="002D7131">
        <w:rPr>
          <w:bCs/>
        </w:rPr>
        <w:fldChar w:fldCharType="begin"/>
      </w:r>
      <w:r w:rsidR="002D7131">
        <w:rPr>
          <w:bCs/>
        </w:rPr>
        <w:instrText xml:space="preserve"> REF _Ref116506941 \r \h </w:instrText>
      </w:r>
      <w:r w:rsidR="002D7131">
        <w:rPr>
          <w:bCs/>
        </w:rPr>
      </w:r>
      <w:r w:rsidR="002D7131">
        <w:rPr>
          <w:bCs/>
        </w:rPr>
        <w:fldChar w:fldCharType="separate"/>
      </w:r>
      <w:r w:rsidR="002D7131">
        <w:rPr>
          <w:bCs/>
        </w:rPr>
        <w:t>[1]</w:t>
      </w:r>
      <w:r w:rsidR="002D7131">
        <w:rPr>
          <w:bCs/>
        </w:rPr>
        <w:fldChar w:fldCharType="end"/>
      </w:r>
    </w:p>
    <w:p w14:paraId="70AF7969" w14:textId="7EC328A4" w:rsidR="0056200E" w:rsidRDefault="00B6729E" w:rsidP="00E46824">
      <w:pPr>
        <w:keepNext/>
      </w:pPr>
      <w:r w:rsidRPr="00B6729E">
        <w:t xml:space="preserve">For </w:t>
      </w:r>
      <w:r>
        <w:t>decoding systems to recognize these new uses of the HLG and PQ transfer characteristics, we believe that new code points need to be introduced in the CICP and all relevant video specifications. Such new code points, when encountered, will indicate to the decoder or the display</w:t>
      </w:r>
      <w:r w:rsidR="00E46824">
        <w:t xml:space="preserve"> the type of the transfer characteristics </w:t>
      </w:r>
      <w:proofErr w:type="gramStart"/>
      <w:r w:rsidR="00E46824">
        <w:t>e.g.</w:t>
      </w:r>
      <w:proofErr w:type="gramEnd"/>
      <w:r w:rsidR="00E46824">
        <w:t xml:space="preserve"> whether it is the display-viewing colorimetry HLG with the nominal or an explicitly defined reference display, or the scene-referred colorimetry HLG. In the case of the display-viewing colorimetry HLG with an explicitly defined reference display </w:t>
      </w:r>
      <w:r>
        <w:t>additional metadata</w:t>
      </w:r>
      <w:r w:rsidR="0056200E">
        <w:t xml:space="preserve">, </w:t>
      </w:r>
      <w:proofErr w:type="gramStart"/>
      <w:r w:rsidR="0056200E">
        <w:t>i.e.</w:t>
      </w:r>
      <w:proofErr w:type="gramEnd"/>
      <w:r w:rsidR="0056200E">
        <w:t xml:space="preserve"> MDCV</w:t>
      </w:r>
      <w:r>
        <w:t xml:space="preserve"> </w:t>
      </w:r>
      <w:r w:rsidR="0056200E">
        <w:t xml:space="preserve">metadata </w:t>
      </w:r>
      <w:r>
        <w:t>will have to be used when decoding and displaying the signal.</w:t>
      </w:r>
      <w:r w:rsidR="0056200E">
        <w:t xml:space="preserve"> </w:t>
      </w:r>
    </w:p>
    <w:p w14:paraId="669B43A4" w14:textId="1FFB0EF8" w:rsidR="00B6729E" w:rsidRDefault="0056200E" w:rsidP="00E46824">
      <w:pPr>
        <w:keepNext/>
      </w:pPr>
      <w:r>
        <w:t>Given such usage we expect two additional code points to be defined for HLG and a clarification to be made for the existing HLG code point that this should be used only for content created with a reference display of 1 000 cd/m</w:t>
      </w:r>
      <w:r w:rsidRPr="008E6F14">
        <w:rPr>
          <w:vertAlign w:val="superscript"/>
        </w:rPr>
        <w:t>2</w:t>
      </w:r>
      <w:r>
        <w:t xml:space="preserve"> peak brightness.</w:t>
      </w:r>
    </w:p>
    <w:p w14:paraId="2E26F743" w14:textId="05ABC25B" w:rsidR="00041C06" w:rsidRDefault="00503243" w:rsidP="008E6F14">
      <w:pPr>
        <w:keepNext/>
      </w:pPr>
      <w:r>
        <w:t>A new code point for scene-referred colorimetry PQ may also need to be defined.</w:t>
      </w:r>
    </w:p>
    <w:p w14:paraId="13C58878" w14:textId="77777777" w:rsidR="00B87BC2" w:rsidRDefault="00B87BC2" w:rsidP="00B87BC2">
      <w:pPr>
        <w:pStyle w:val="Heading1"/>
        <w:rPr>
          <w:lang w:val="en-CA"/>
        </w:rPr>
      </w:pPr>
      <w:r>
        <w:rPr>
          <w:rFonts w:hint="eastAsia"/>
          <w:lang w:val="en-CA" w:eastAsia="zh-CN"/>
        </w:rPr>
        <w:t>Con</w:t>
      </w:r>
      <w:r>
        <w:rPr>
          <w:lang w:val="en-CA"/>
        </w:rPr>
        <w:t>clusion</w:t>
      </w:r>
    </w:p>
    <w:p w14:paraId="4BF720E4" w14:textId="00DB701F" w:rsidR="00C65824" w:rsidRDefault="00F562D0" w:rsidP="00B87BC2">
      <w:r>
        <w:t xml:space="preserve">Our intent is to inform JVET of this work and to make it aware that </w:t>
      </w:r>
      <w:r w:rsidR="00C65824">
        <w:t xml:space="preserve">the CICP specification will need to be updated upon completion of </w:t>
      </w:r>
      <w:r w:rsidR="0081790F">
        <w:t>the ISO 22028-5</w:t>
      </w:r>
      <w:r w:rsidR="00C65824">
        <w:t xml:space="preserve"> project.</w:t>
      </w:r>
    </w:p>
    <w:p w14:paraId="040B0B5D" w14:textId="434DB528" w:rsidR="00ED5DF5" w:rsidRDefault="00ED5DF5" w:rsidP="00E11923">
      <w:pPr>
        <w:pStyle w:val="Heading1"/>
        <w:rPr>
          <w:lang w:val="en-CA"/>
        </w:rPr>
      </w:pPr>
      <w:r>
        <w:rPr>
          <w:lang w:val="en-CA"/>
        </w:rPr>
        <w:t>References</w:t>
      </w:r>
    </w:p>
    <w:p w14:paraId="63261CC2" w14:textId="7C08E64A" w:rsidR="00DF68FE" w:rsidRDefault="00DF68FE" w:rsidP="00DF68FE">
      <w:pPr>
        <w:pStyle w:val="ListParagraph"/>
        <w:numPr>
          <w:ilvl w:val="0"/>
          <w:numId w:val="14"/>
        </w:numPr>
      </w:pPr>
      <w:bookmarkStart w:id="2" w:name="_Ref116506941"/>
      <w:bookmarkStart w:id="3" w:name="_Ref124268615"/>
      <w:r w:rsidRPr="00DF68FE">
        <w:t xml:space="preserve">ISO TC 42/WG 23, TS 22028-5 "Photography and graphic technology — Extended </w:t>
      </w:r>
      <w:proofErr w:type="spellStart"/>
      <w:r w:rsidRPr="00DF68FE">
        <w:t>colour</w:t>
      </w:r>
      <w:proofErr w:type="spellEnd"/>
      <w:r w:rsidRPr="00DF68FE">
        <w:t xml:space="preserve"> encodings for digital image storage, manipulation and interchange — Part 5: High dynamic range and wide </w:t>
      </w:r>
      <w:proofErr w:type="spellStart"/>
      <w:r w:rsidRPr="00DF68FE">
        <w:t>colour</w:t>
      </w:r>
      <w:proofErr w:type="spellEnd"/>
      <w:r w:rsidRPr="00DF68FE">
        <w:t xml:space="preserve"> gamut image encoding for still images (HDR/WCG)"</w:t>
      </w:r>
      <w:bookmarkEnd w:id="2"/>
    </w:p>
    <w:p w14:paraId="32EAF635" w14:textId="774F8339" w:rsidR="007F1F8B" w:rsidRPr="00DF0BC5" w:rsidRDefault="00B87BC2" w:rsidP="009234A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bookmarkStart w:id="4" w:name="_Ref124455852"/>
      <w:r w:rsidRPr="002D756F">
        <w:t>ISO/IEC 23091-2</w:t>
      </w:r>
      <w:r>
        <w:t xml:space="preserve">: </w:t>
      </w:r>
      <w:r w:rsidRPr="002D756F">
        <w:t>Information technology — Coding-independent code points — Part 2: Video</w:t>
      </w:r>
      <w:bookmarkEnd w:id="3"/>
      <w:bookmarkEnd w:id="4"/>
    </w:p>
    <w:sectPr w:rsidR="007F1F8B" w:rsidRPr="00DF0BC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DE43" w14:textId="77777777" w:rsidR="00F738AB" w:rsidRDefault="00F738AB">
      <w:r>
        <w:separator/>
      </w:r>
    </w:p>
  </w:endnote>
  <w:endnote w:type="continuationSeparator" w:id="0">
    <w:p w14:paraId="163AED14" w14:textId="77777777" w:rsidR="00F738AB" w:rsidRDefault="00F7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7A0F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182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6F14">
      <w:rPr>
        <w:rStyle w:val="PageNumber"/>
        <w:noProof/>
      </w:rPr>
      <w:t>2023-01-13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6325E" w14:textId="77777777" w:rsidR="00F738AB" w:rsidRDefault="00F738AB">
      <w:r>
        <w:separator/>
      </w:r>
    </w:p>
  </w:footnote>
  <w:footnote w:type="continuationSeparator" w:id="0">
    <w:p w14:paraId="3A086B06" w14:textId="77777777" w:rsidR="00F738AB" w:rsidRDefault="00F73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AB3E4E"/>
    <w:multiLevelType w:val="multilevel"/>
    <w:tmpl w:val="E0B403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46189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1190333">
    <w:abstractNumId w:val="11"/>
  </w:num>
  <w:num w:numId="3" w16cid:durableId="1574581902">
    <w:abstractNumId w:val="10"/>
  </w:num>
  <w:num w:numId="4" w16cid:durableId="578247933">
    <w:abstractNumId w:val="7"/>
  </w:num>
  <w:num w:numId="5" w16cid:durableId="1309940008">
    <w:abstractNumId w:val="8"/>
  </w:num>
  <w:num w:numId="6" w16cid:durableId="1430739903">
    <w:abstractNumId w:val="4"/>
  </w:num>
  <w:num w:numId="7" w16cid:durableId="975640269">
    <w:abstractNumId w:val="6"/>
  </w:num>
  <w:num w:numId="8" w16cid:durableId="1024861806">
    <w:abstractNumId w:val="4"/>
  </w:num>
  <w:num w:numId="9" w16cid:durableId="1619332891">
    <w:abstractNumId w:val="1"/>
  </w:num>
  <w:num w:numId="10" w16cid:durableId="1682970005">
    <w:abstractNumId w:val="3"/>
  </w:num>
  <w:num w:numId="11" w16cid:durableId="861474574">
    <w:abstractNumId w:val="2"/>
  </w:num>
  <w:num w:numId="12" w16cid:durableId="1423799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8232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04455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E8"/>
    <w:rsid w:val="000127ED"/>
    <w:rsid w:val="000175CF"/>
    <w:rsid w:val="000308A3"/>
    <w:rsid w:val="00031872"/>
    <w:rsid w:val="000332E8"/>
    <w:rsid w:val="000341D9"/>
    <w:rsid w:val="00041C06"/>
    <w:rsid w:val="0004543A"/>
    <w:rsid w:val="000458BC"/>
    <w:rsid w:val="00045C41"/>
    <w:rsid w:val="00046C03"/>
    <w:rsid w:val="000532EC"/>
    <w:rsid w:val="00065039"/>
    <w:rsid w:val="00072C61"/>
    <w:rsid w:val="0007614F"/>
    <w:rsid w:val="00076343"/>
    <w:rsid w:val="00081398"/>
    <w:rsid w:val="00084393"/>
    <w:rsid w:val="000865E1"/>
    <w:rsid w:val="00092AF4"/>
    <w:rsid w:val="00094479"/>
    <w:rsid w:val="00094DCD"/>
    <w:rsid w:val="000962AC"/>
    <w:rsid w:val="000A7724"/>
    <w:rsid w:val="000B0C0F"/>
    <w:rsid w:val="000B1C6B"/>
    <w:rsid w:val="000B4142"/>
    <w:rsid w:val="000B4AC5"/>
    <w:rsid w:val="000B4FF9"/>
    <w:rsid w:val="000C09AC"/>
    <w:rsid w:val="000C228D"/>
    <w:rsid w:val="000C2BAA"/>
    <w:rsid w:val="000C5F4C"/>
    <w:rsid w:val="000E00F3"/>
    <w:rsid w:val="000F158C"/>
    <w:rsid w:val="000F40C6"/>
    <w:rsid w:val="000F517E"/>
    <w:rsid w:val="00102F3D"/>
    <w:rsid w:val="00124E38"/>
    <w:rsid w:val="0012580B"/>
    <w:rsid w:val="001301FC"/>
    <w:rsid w:val="00131F90"/>
    <w:rsid w:val="0013458C"/>
    <w:rsid w:val="00134938"/>
    <w:rsid w:val="0013526E"/>
    <w:rsid w:val="001364EC"/>
    <w:rsid w:val="00137061"/>
    <w:rsid w:val="00146152"/>
    <w:rsid w:val="001461F8"/>
    <w:rsid w:val="00154E4D"/>
    <w:rsid w:val="00155526"/>
    <w:rsid w:val="0015736D"/>
    <w:rsid w:val="00171371"/>
    <w:rsid w:val="00175A24"/>
    <w:rsid w:val="00177107"/>
    <w:rsid w:val="00187E58"/>
    <w:rsid w:val="001A297E"/>
    <w:rsid w:val="001A368E"/>
    <w:rsid w:val="001A7329"/>
    <w:rsid w:val="001A792F"/>
    <w:rsid w:val="001B4E28"/>
    <w:rsid w:val="001C3525"/>
    <w:rsid w:val="001C3AFB"/>
    <w:rsid w:val="001D07F0"/>
    <w:rsid w:val="001D1BD2"/>
    <w:rsid w:val="001D5989"/>
    <w:rsid w:val="001E0248"/>
    <w:rsid w:val="001E02BE"/>
    <w:rsid w:val="001E3B37"/>
    <w:rsid w:val="001E4633"/>
    <w:rsid w:val="001F2594"/>
    <w:rsid w:val="001F2BC0"/>
    <w:rsid w:val="001F6A5E"/>
    <w:rsid w:val="002055A6"/>
    <w:rsid w:val="00206460"/>
    <w:rsid w:val="002069B4"/>
    <w:rsid w:val="00215DFC"/>
    <w:rsid w:val="002212DF"/>
    <w:rsid w:val="00222CD4"/>
    <w:rsid w:val="00223924"/>
    <w:rsid w:val="00225016"/>
    <w:rsid w:val="002253CA"/>
    <w:rsid w:val="002264A6"/>
    <w:rsid w:val="00227BA7"/>
    <w:rsid w:val="0023011C"/>
    <w:rsid w:val="002375C1"/>
    <w:rsid w:val="002467F9"/>
    <w:rsid w:val="00247E1E"/>
    <w:rsid w:val="00263398"/>
    <w:rsid w:val="00263B99"/>
    <w:rsid w:val="002647D8"/>
    <w:rsid w:val="002668E3"/>
    <w:rsid w:val="00266F06"/>
    <w:rsid w:val="00275BCF"/>
    <w:rsid w:val="00280613"/>
    <w:rsid w:val="00291E36"/>
    <w:rsid w:val="00292257"/>
    <w:rsid w:val="002979B9"/>
    <w:rsid w:val="002A54E0"/>
    <w:rsid w:val="002B1595"/>
    <w:rsid w:val="002B191D"/>
    <w:rsid w:val="002B19CD"/>
    <w:rsid w:val="002B2E83"/>
    <w:rsid w:val="002C7711"/>
    <w:rsid w:val="002D0AF6"/>
    <w:rsid w:val="002D5956"/>
    <w:rsid w:val="002D7131"/>
    <w:rsid w:val="002E4C64"/>
    <w:rsid w:val="002F164D"/>
    <w:rsid w:val="003021BC"/>
    <w:rsid w:val="00306206"/>
    <w:rsid w:val="00317D85"/>
    <w:rsid w:val="00327C56"/>
    <w:rsid w:val="00331469"/>
    <w:rsid w:val="003315A1"/>
    <w:rsid w:val="00335AB8"/>
    <w:rsid w:val="003373EC"/>
    <w:rsid w:val="00342FF4"/>
    <w:rsid w:val="00344E5A"/>
    <w:rsid w:val="00346148"/>
    <w:rsid w:val="00360DB2"/>
    <w:rsid w:val="00364B1A"/>
    <w:rsid w:val="003669EA"/>
    <w:rsid w:val="003706CC"/>
    <w:rsid w:val="00377710"/>
    <w:rsid w:val="003A2D8E"/>
    <w:rsid w:val="003A7CE6"/>
    <w:rsid w:val="003C0F42"/>
    <w:rsid w:val="003C20E4"/>
    <w:rsid w:val="003C2E6F"/>
    <w:rsid w:val="003C696C"/>
    <w:rsid w:val="003D6342"/>
    <w:rsid w:val="003E6F90"/>
    <w:rsid w:val="003E73ED"/>
    <w:rsid w:val="003F5D0F"/>
    <w:rsid w:val="00414101"/>
    <w:rsid w:val="004219CF"/>
    <w:rsid w:val="004234F0"/>
    <w:rsid w:val="00427EEC"/>
    <w:rsid w:val="00433DDB"/>
    <w:rsid w:val="00435A29"/>
    <w:rsid w:val="00437619"/>
    <w:rsid w:val="004479A4"/>
    <w:rsid w:val="00447C51"/>
    <w:rsid w:val="00465A1E"/>
    <w:rsid w:val="00467FD4"/>
    <w:rsid w:val="0049445A"/>
    <w:rsid w:val="004957D9"/>
    <w:rsid w:val="004A2A63"/>
    <w:rsid w:val="004B0B62"/>
    <w:rsid w:val="004B14C5"/>
    <w:rsid w:val="004B210C"/>
    <w:rsid w:val="004B6170"/>
    <w:rsid w:val="004C36F3"/>
    <w:rsid w:val="004D1083"/>
    <w:rsid w:val="004D1F2F"/>
    <w:rsid w:val="004D405F"/>
    <w:rsid w:val="004E1103"/>
    <w:rsid w:val="004E4F4F"/>
    <w:rsid w:val="004E5150"/>
    <w:rsid w:val="004E6789"/>
    <w:rsid w:val="004F4AAA"/>
    <w:rsid w:val="004F61E3"/>
    <w:rsid w:val="00502E10"/>
    <w:rsid w:val="00503243"/>
    <w:rsid w:val="0050354E"/>
    <w:rsid w:val="005049D3"/>
    <w:rsid w:val="00505085"/>
    <w:rsid w:val="0051015C"/>
    <w:rsid w:val="005106E9"/>
    <w:rsid w:val="00516CF1"/>
    <w:rsid w:val="00531AE9"/>
    <w:rsid w:val="00531B3E"/>
    <w:rsid w:val="00533B53"/>
    <w:rsid w:val="00536188"/>
    <w:rsid w:val="00547989"/>
    <w:rsid w:val="00550A66"/>
    <w:rsid w:val="0056200E"/>
    <w:rsid w:val="005631EB"/>
    <w:rsid w:val="00567EC7"/>
    <w:rsid w:val="00570013"/>
    <w:rsid w:val="005753EC"/>
    <w:rsid w:val="005801A2"/>
    <w:rsid w:val="00585F62"/>
    <w:rsid w:val="0059139A"/>
    <w:rsid w:val="005952A5"/>
    <w:rsid w:val="00596C65"/>
    <w:rsid w:val="005A33A1"/>
    <w:rsid w:val="005B0D41"/>
    <w:rsid w:val="005B217D"/>
    <w:rsid w:val="005C385F"/>
    <w:rsid w:val="005C7C26"/>
    <w:rsid w:val="005D1CCD"/>
    <w:rsid w:val="005E1AC6"/>
    <w:rsid w:val="005E3F2B"/>
    <w:rsid w:val="005E7E68"/>
    <w:rsid w:val="005F3D48"/>
    <w:rsid w:val="005F6F1B"/>
    <w:rsid w:val="00614484"/>
    <w:rsid w:val="00615995"/>
    <w:rsid w:val="00616155"/>
    <w:rsid w:val="00620DC2"/>
    <w:rsid w:val="00624B33"/>
    <w:rsid w:val="0063041A"/>
    <w:rsid w:val="00630AA2"/>
    <w:rsid w:val="00631D8B"/>
    <w:rsid w:val="006465C5"/>
    <w:rsid w:val="00646707"/>
    <w:rsid w:val="00650350"/>
    <w:rsid w:val="00657F7E"/>
    <w:rsid w:val="00662E58"/>
    <w:rsid w:val="006637F2"/>
    <w:rsid w:val="006642A5"/>
    <w:rsid w:val="00664DCF"/>
    <w:rsid w:val="00665EE8"/>
    <w:rsid w:val="006725EC"/>
    <w:rsid w:val="00681EC8"/>
    <w:rsid w:val="006A0E5C"/>
    <w:rsid w:val="006A48E6"/>
    <w:rsid w:val="006B4DDE"/>
    <w:rsid w:val="006C5D39"/>
    <w:rsid w:val="006D6D9B"/>
    <w:rsid w:val="006E2810"/>
    <w:rsid w:val="006E5417"/>
    <w:rsid w:val="006F0794"/>
    <w:rsid w:val="006F7528"/>
    <w:rsid w:val="007023DE"/>
    <w:rsid w:val="00703846"/>
    <w:rsid w:val="0070630E"/>
    <w:rsid w:val="00712F60"/>
    <w:rsid w:val="00720E3B"/>
    <w:rsid w:val="00735372"/>
    <w:rsid w:val="007432D5"/>
    <w:rsid w:val="0074393F"/>
    <w:rsid w:val="00745F6B"/>
    <w:rsid w:val="0075175B"/>
    <w:rsid w:val="0075585E"/>
    <w:rsid w:val="00756FD5"/>
    <w:rsid w:val="00770571"/>
    <w:rsid w:val="007768FF"/>
    <w:rsid w:val="007801F1"/>
    <w:rsid w:val="007824D3"/>
    <w:rsid w:val="00796EE3"/>
    <w:rsid w:val="007A7D29"/>
    <w:rsid w:val="007B4AB8"/>
    <w:rsid w:val="007C081C"/>
    <w:rsid w:val="007C4D32"/>
    <w:rsid w:val="007D1181"/>
    <w:rsid w:val="007E01A3"/>
    <w:rsid w:val="007F1F8B"/>
    <w:rsid w:val="007F6205"/>
    <w:rsid w:val="007F67A1"/>
    <w:rsid w:val="00801A7B"/>
    <w:rsid w:val="00811C05"/>
    <w:rsid w:val="0081790F"/>
    <w:rsid w:val="008206C8"/>
    <w:rsid w:val="00851E54"/>
    <w:rsid w:val="0086387C"/>
    <w:rsid w:val="00872EAD"/>
    <w:rsid w:val="00874A6C"/>
    <w:rsid w:val="00876C65"/>
    <w:rsid w:val="00882F72"/>
    <w:rsid w:val="00893DC4"/>
    <w:rsid w:val="008A147E"/>
    <w:rsid w:val="008A4B4C"/>
    <w:rsid w:val="008C0BCA"/>
    <w:rsid w:val="008C239F"/>
    <w:rsid w:val="008C2688"/>
    <w:rsid w:val="008D0379"/>
    <w:rsid w:val="008D579C"/>
    <w:rsid w:val="008E480C"/>
    <w:rsid w:val="008E6F14"/>
    <w:rsid w:val="00907757"/>
    <w:rsid w:val="009212B0"/>
    <w:rsid w:val="00921C2D"/>
    <w:rsid w:val="00921FA1"/>
    <w:rsid w:val="009234A5"/>
    <w:rsid w:val="00933453"/>
    <w:rsid w:val="009336F7"/>
    <w:rsid w:val="0093636C"/>
    <w:rsid w:val="009374A7"/>
    <w:rsid w:val="00937F03"/>
    <w:rsid w:val="0094481B"/>
    <w:rsid w:val="009479AD"/>
    <w:rsid w:val="00955F6D"/>
    <w:rsid w:val="00977C16"/>
    <w:rsid w:val="0098551D"/>
    <w:rsid w:val="00985DCB"/>
    <w:rsid w:val="0099518F"/>
    <w:rsid w:val="009A523D"/>
    <w:rsid w:val="009B02A1"/>
    <w:rsid w:val="009B3361"/>
    <w:rsid w:val="009B7F3F"/>
    <w:rsid w:val="009C7E01"/>
    <w:rsid w:val="009D7CE6"/>
    <w:rsid w:val="009E448E"/>
    <w:rsid w:val="009F496B"/>
    <w:rsid w:val="00A01439"/>
    <w:rsid w:val="00A02E61"/>
    <w:rsid w:val="00A05CFF"/>
    <w:rsid w:val="00A13048"/>
    <w:rsid w:val="00A378B4"/>
    <w:rsid w:val="00A46843"/>
    <w:rsid w:val="00A56B97"/>
    <w:rsid w:val="00A6093D"/>
    <w:rsid w:val="00A65975"/>
    <w:rsid w:val="00A703CE"/>
    <w:rsid w:val="00A713D1"/>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3F25"/>
    <w:rsid w:val="00B3640F"/>
    <w:rsid w:val="00B4194A"/>
    <w:rsid w:val="00B437E8"/>
    <w:rsid w:val="00B44159"/>
    <w:rsid w:val="00B51F2C"/>
    <w:rsid w:val="00B5222E"/>
    <w:rsid w:val="00B53179"/>
    <w:rsid w:val="00B532EA"/>
    <w:rsid w:val="00B55685"/>
    <w:rsid w:val="00B57A23"/>
    <w:rsid w:val="00B600CD"/>
    <w:rsid w:val="00B61C96"/>
    <w:rsid w:val="00B62DBC"/>
    <w:rsid w:val="00B66C7B"/>
    <w:rsid w:val="00B6729E"/>
    <w:rsid w:val="00B73A2A"/>
    <w:rsid w:val="00B75A51"/>
    <w:rsid w:val="00B827C6"/>
    <w:rsid w:val="00B86AB1"/>
    <w:rsid w:val="00B879A4"/>
    <w:rsid w:val="00B87BC2"/>
    <w:rsid w:val="00B94B06"/>
    <w:rsid w:val="00B94C28"/>
    <w:rsid w:val="00BC10BA"/>
    <w:rsid w:val="00BC5AFD"/>
    <w:rsid w:val="00C00DDE"/>
    <w:rsid w:val="00C01EEC"/>
    <w:rsid w:val="00C04F43"/>
    <w:rsid w:val="00C05271"/>
    <w:rsid w:val="00C05D19"/>
    <w:rsid w:val="00C0609D"/>
    <w:rsid w:val="00C115AB"/>
    <w:rsid w:val="00C26CCB"/>
    <w:rsid w:val="00C30249"/>
    <w:rsid w:val="00C35F74"/>
    <w:rsid w:val="00C3723B"/>
    <w:rsid w:val="00C42466"/>
    <w:rsid w:val="00C50C84"/>
    <w:rsid w:val="00C57C08"/>
    <w:rsid w:val="00C603DE"/>
    <w:rsid w:val="00C606C9"/>
    <w:rsid w:val="00C65824"/>
    <w:rsid w:val="00C74410"/>
    <w:rsid w:val="00C80288"/>
    <w:rsid w:val="00C836F0"/>
    <w:rsid w:val="00C84003"/>
    <w:rsid w:val="00C90650"/>
    <w:rsid w:val="00C97D78"/>
    <w:rsid w:val="00CC16EF"/>
    <w:rsid w:val="00CC2AAE"/>
    <w:rsid w:val="00CC5A42"/>
    <w:rsid w:val="00CD0EAB"/>
    <w:rsid w:val="00CE5E02"/>
    <w:rsid w:val="00CF1821"/>
    <w:rsid w:val="00CF34DB"/>
    <w:rsid w:val="00CF3917"/>
    <w:rsid w:val="00CF558F"/>
    <w:rsid w:val="00CF7B0F"/>
    <w:rsid w:val="00D010C0"/>
    <w:rsid w:val="00D06B8B"/>
    <w:rsid w:val="00D073E2"/>
    <w:rsid w:val="00D1555A"/>
    <w:rsid w:val="00D23BE1"/>
    <w:rsid w:val="00D24ED7"/>
    <w:rsid w:val="00D446EC"/>
    <w:rsid w:val="00D45EB8"/>
    <w:rsid w:val="00D50AE6"/>
    <w:rsid w:val="00D51BF0"/>
    <w:rsid w:val="00D531DB"/>
    <w:rsid w:val="00D54D9B"/>
    <w:rsid w:val="00D55942"/>
    <w:rsid w:val="00D57CEE"/>
    <w:rsid w:val="00D807BF"/>
    <w:rsid w:val="00D82FCC"/>
    <w:rsid w:val="00DA17FC"/>
    <w:rsid w:val="00DA7887"/>
    <w:rsid w:val="00DB2C26"/>
    <w:rsid w:val="00DB2D60"/>
    <w:rsid w:val="00DB45C3"/>
    <w:rsid w:val="00DC5A57"/>
    <w:rsid w:val="00DD02F4"/>
    <w:rsid w:val="00DD2D1C"/>
    <w:rsid w:val="00DD6622"/>
    <w:rsid w:val="00DE1C7C"/>
    <w:rsid w:val="00DE36B5"/>
    <w:rsid w:val="00DE6B43"/>
    <w:rsid w:val="00DF0BC5"/>
    <w:rsid w:val="00DF68FE"/>
    <w:rsid w:val="00E041C6"/>
    <w:rsid w:val="00E042BF"/>
    <w:rsid w:val="00E10B73"/>
    <w:rsid w:val="00E11923"/>
    <w:rsid w:val="00E207D8"/>
    <w:rsid w:val="00E2574A"/>
    <w:rsid w:val="00E262D4"/>
    <w:rsid w:val="00E33BF6"/>
    <w:rsid w:val="00E36250"/>
    <w:rsid w:val="00E46824"/>
    <w:rsid w:val="00E47F2D"/>
    <w:rsid w:val="00E51064"/>
    <w:rsid w:val="00E524EB"/>
    <w:rsid w:val="00E54511"/>
    <w:rsid w:val="00E60EDC"/>
    <w:rsid w:val="00E61DAC"/>
    <w:rsid w:val="00E72B80"/>
    <w:rsid w:val="00E75FE3"/>
    <w:rsid w:val="00E86C4C"/>
    <w:rsid w:val="00E907A3"/>
    <w:rsid w:val="00EA5AE0"/>
    <w:rsid w:val="00EB56E1"/>
    <w:rsid w:val="00EB7AB1"/>
    <w:rsid w:val="00EC32BD"/>
    <w:rsid w:val="00ED5DF5"/>
    <w:rsid w:val="00EE7CD8"/>
    <w:rsid w:val="00EF37F6"/>
    <w:rsid w:val="00EF48CC"/>
    <w:rsid w:val="00F004B2"/>
    <w:rsid w:val="00F00801"/>
    <w:rsid w:val="00F2488D"/>
    <w:rsid w:val="00F51C51"/>
    <w:rsid w:val="00F562D0"/>
    <w:rsid w:val="00F601A0"/>
    <w:rsid w:val="00F62269"/>
    <w:rsid w:val="00F67481"/>
    <w:rsid w:val="00F712E9"/>
    <w:rsid w:val="00F73032"/>
    <w:rsid w:val="00F738AB"/>
    <w:rsid w:val="00F76A19"/>
    <w:rsid w:val="00F848FC"/>
    <w:rsid w:val="00F906F6"/>
    <w:rsid w:val="00F908BF"/>
    <w:rsid w:val="00F91695"/>
    <w:rsid w:val="00F9282A"/>
    <w:rsid w:val="00F96BAD"/>
    <w:rsid w:val="00FA139D"/>
    <w:rsid w:val="00FA60F5"/>
    <w:rsid w:val="00FB0E84"/>
    <w:rsid w:val="00FC2405"/>
    <w:rsid w:val="00FD01C2"/>
    <w:rsid w:val="00FD6F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1">
    <w:name w:val="未处理的提及1"/>
    <w:basedOn w:val="DefaultParagraphFont"/>
    <w:uiPriority w:val="99"/>
    <w:semiHidden/>
    <w:unhideWhenUsed/>
    <w:rsid w:val="002E4C64"/>
    <w:rPr>
      <w:color w:val="605E5C"/>
      <w:shd w:val="clear" w:color="auto" w:fill="E1DFDD"/>
    </w:rPr>
  </w:style>
  <w:style w:type="paragraph" w:styleId="ListParagraph">
    <w:name w:val="List Paragraph"/>
    <w:basedOn w:val="Normal"/>
    <w:link w:val="ListParagraphChar"/>
    <w:uiPriority w:val="34"/>
    <w:qFormat/>
    <w:rsid w:val="00ED5DF5"/>
    <w:pPr>
      <w:ind w:left="720"/>
      <w:contextualSpacing/>
    </w:pPr>
  </w:style>
  <w:style w:type="character" w:customStyle="1" w:styleId="ListParagraphChar">
    <w:name w:val="List Paragraph Char"/>
    <w:link w:val="ListParagraph"/>
    <w:uiPriority w:val="34"/>
    <w:locked/>
    <w:rsid w:val="00ED5DF5"/>
    <w:rPr>
      <w:sz w:val="22"/>
    </w:rPr>
  </w:style>
  <w:style w:type="paragraph" w:styleId="Caption">
    <w:name w:val="caption"/>
    <w:basedOn w:val="Normal"/>
    <w:next w:val="Normal"/>
    <w:unhideWhenUsed/>
    <w:qFormat/>
    <w:rsid w:val="00921C2D"/>
    <w:pPr>
      <w:spacing w:before="0" w:after="200"/>
    </w:pPr>
    <w:rPr>
      <w:i/>
      <w:iCs/>
      <w:color w:val="44546A" w:themeColor="text2"/>
      <w:sz w:val="18"/>
      <w:szCs w:val="18"/>
    </w:rPr>
  </w:style>
  <w:style w:type="character" w:customStyle="1" w:styleId="normaltextrun">
    <w:name w:val="normaltextrun"/>
    <w:basedOn w:val="DefaultParagraphFont"/>
    <w:rsid w:val="00364B1A"/>
  </w:style>
  <w:style w:type="character" w:customStyle="1" w:styleId="stdpublisher">
    <w:name w:val="std_publisher"/>
    <w:rsid w:val="00B87BC2"/>
    <w:rPr>
      <w:rFonts w:ascii="Cambria" w:hAnsi="Cambria"/>
      <w:bdr w:val="none" w:sz="0" w:space="0" w:color="auto"/>
      <w:shd w:val="clear" w:color="auto" w:fill="C6D9F1"/>
    </w:rPr>
  </w:style>
  <w:style w:type="paragraph" w:customStyle="1" w:styleId="Tabletitle">
    <w:name w:val="Table title"/>
    <w:basedOn w:val="Normal"/>
    <w:link w:val="TabletitleChar"/>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w:basedOn w:val="Normal"/>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Tableheader">
    <w:name w:val="Table header"/>
    <w:basedOn w:val="Tablebody"/>
    <w:rsid w:val="00B87BC2"/>
  </w:style>
  <w:style w:type="character" w:customStyle="1" w:styleId="stddocNumber">
    <w:name w:val="std_docNumber"/>
    <w:rsid w:val="00B87BC2"/>
    <w:rPr>
      <w:rFonts w:ascii="Cambria" w:hAnsi="Cambria"/>
      <w:bdr w:val="none" w:sz="0" w:space="0" w:color="auto"/>
      <w:shd w:val="clear" w:color="auto" w:fill="F2DBDB"/>
    </w:rPr>
  </w:style>
  <w:style w:type="character" w:customStyle="1" w:styleId="stddocPartNumber">
    <w:name w:val="std_docPartNumber"/>
    <w:rsid w:val="00B87BC2"/>
    <w:rPr>
      <w:rFonts w:ascii="Cambria" w:hAnsi="Cambria"/>
      <w:bdr w:val="none" w:sz="0" w:space="0" w:color="auto"/>
      <w:shd w:val="clear" w:color="auto" w:fill="EAF1DD"/>
    </w:rPr>
  </w:style>
  <w:style w:type="character" w:customStyle="1" w:styleId="TabletitleChar">
    <w:name w:val="Table title Char"/>
    <w:basedOn w:val="DefaultParagraphFont"/>
    <w:link w:val="Tabletitle"/>
    <w:rsid w:val="00B87BC2"/>
    <w:rPr>
      <w:rFonts w:ascii="Cambria" w:eastAsia="Calibri" w:hAnsi="Cambria"/>
      <w:b/>
      <w:sz w:val="22"/>
      <w:szCs w:val="22"/>
      <w:lang w:val="en-GB"/>
    </w:rPr>
  </w:style>
  <w:style w:type="character" w:styleId="CommentReference">
    <w:name w:val="annotation reference"/>
    <w:basedOn w:val="DefaultParagraphFont"/>
    <w:uiPriority w:val="99"/>
    <w:unhideWhenUsed/>
    <w:rsid w:val="00B66C7B"/>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318">
      <w:bodyDiv w:val="1"/>
      <w:marLeft w:val="0"/>
      <w:marRight w:val="0"/>
      <w:marTop w:val="0"/>
      <w:marBottom w:val="0"/>
      <w:divBdr>
        <w:top w:val="none" w:sz="0" w:space="0" w:color="auto"/>
        <w:left w:val="none" w:sz="0" w:space="0" w:color="auto"/>
        <w:bottom w:val="none" w:sz="0" w:space="0" w:color="auto"/>
        <w:right w:val="none" w:sz="0" w:space="0" w:color="auto"/>
      </w:divBdr>
    </w:div>
    <w:div w:id="198468494">
      <w:bodyDiv w:val="1"/>
      <w:marLeft w:val="0"/>
      <w:marRight w:val="0"/>
      <w:marTop w:val="0"/>
      <w:marBottom w:val="0"/>
      <w:divBdr>
        <w:top w:val="none" w:sz="0" w:space="0" w:color="auto"/>
        <w:left w:val="none" w:sz="0" w:space="0" w:color="auto"/>
        <w:bottom w:val="none" w:sz="0" w:space="0" w:color="auto"/>
        <w:right w:val="none" w:sz="0" w:space="0" w:color="auto"/>
      </w:divBdr>
    </w:div>
    <w:div w:id="431828193">
      <w:bodyDiv w:val="1"/>
      <w:marLeft w:val="0"/>
      <w:marRight w:val="0"/>
      <w:marTop w:val="0"/>
      <w:marBottom w:val="0"/>
      <w:divBdr>
        <w:top w:val="none" w:sz="0" w:space="0" w:color="auto"/>
        <w:left w:val="none" w:sz="0" w:space="0" w:color="auto"/>
        <w:bottom w:val="none" w:sz="0" w:space="0" w:color="auto"/>
        <w:right w:val="none" w:sz="0" w:space="0" w:color="auto"/>
      </w:divBdr>
    </w:div>
    <w:div w:id="491339566">
      <w:bodyDiv w:val="1"/>
      <w:marLeft w:val="0"/>
      <w:marRight w:val="0"/>
      <w:marTop w:val="0"/>
      <w:marBottom w:val="0"/>
      <w:divBdr>
        <w:top w:val="none" w:sz="0" w:space="0" w:color="auto"/>
        <w:left w:val="none" w:sz="0" w:space="0" w:color="auto"/>
        <w:bottom w:val="none" w:sz="0" w:space="0" w:color="auto"/>
        <w:right w:val="none" w:sz="0" w:space="0" w:color="auto"/>
      </w:divBdr>
    </w:div>
    <w:div w:id="640771254">
      <w:bodyDiv w:val="1"/>
      <w:marLeft w:val="0"/>
      <w:marRight w:val="0"/>
      <w:marTop w:val="0"/>
      <w:marBottom w:val="0"/>
      <w:divBdr>
        <w:top w:val="none" w:sz="0" w:space="0" w:color="auto"/>
        <w:left w:val="none" w:sz="0" w:space="0" w:color="auto"/>
        <w:bottom w:val="none" w:sz="0" w:space="0" w:color="auto"/>
        <w:right w:val="none" w:sz="0" w:space="0" w:color="auto"/>
      </w:divBdr>
    </w:div>
    <w:div w:id="751199038">
      <w:bodyDiv w:val="1"/>
      <w:marLeft w:val="0"/>
      <w:marRight w:val="0"/>
      <w:marTop w:val="0"/>
      <w:marBottom w:val="0"/>
      <w:divBdr>
        <w:top w:val="none" w:sz="0" w:space="0" w:color="auto"/>
        <w:left w:val="none" w:sz="0" w:space="0" w:color="auto"/>
        <w:bottom w:val="none" w:sz="0" w:space="0" w:color="auto"/>
        <w:right w:val="none" w:sz="0" w:space="0" w:color="auto"/>
      </w:divBdr>
    </w:div>
    <w:div w:id="805440479">
      <w:bodyDiv w:val="1"/>
      <w:marLeft w:val="0"/>
      <w:marRight w:val="0"/>
      <w:marTop w:val="0"/>
      <w:marBottom w:val="0"/>
      <w:divBdr>
        <w:top w:val="none" w:sz="0" w:space="0" w:color="auto"/>
        <w:left w:val="none" w:sz="0" w:space="0" w:color="auto"/>
        <w:bottom w:val="none" w:sz="0" w:space="0" w:color="auto"/>
        <w:right w:val="none" w:sz="0" w:space="0" w:color="auto"/>
      </w:divBdr>
    </w:div>
    <w:div w:id="935359039">
      <w:bodyDiv w:val="1"/>
      <w:marLeft w:val="0"/>
      <w:marRight w:val="0"/>
      <w:marTop w:val="0"/>
      <w:marBottom w:val="0"/>
      <w:divBdr>
        <w:top w:val="none" w:sz="0" w:space="0" w:color="auto"/>
        <w:left w:val="none" w:sz="0" w:space="0" w:color="auto"/>
        <w:bottom w:val="none" w:sz="0" w:space="0" w:color="auto"/>
        <w:right w:val="none" w:sz="0" w:space="0" w:color="auto"/>
      </w:divBdr>
    </w:div>
    <w:div w:id="974262900">
      <w:bodyDiv w:val="1"/>
      <w:marLeft w:val="0"/>
      <w:marRight w:val="0"/>
      <w:marTop w:val="0"/>
      <w:marBottom w:val="0"/>
      <w:divBdr>
        <w:top w:val="none" w:sz="0" w:space="0" w:color="auto"/>
        <w:left w:val="none" w:sz="0" w:space="0" w:color="auto"/>
        <w:bottom w:val="none" w:sz="0" w:space="0" w:color="auto"/>
        <w:right w:val="none" w:sz="0" w:space="0" w:color="auto"/>
      </w:divBdr>
    </w:div>
    <w:div w:id="1099258858">
      <w:bodyDiv w:val="1"/>
      <w:marLeft w:val="0"/>
      <w:marRight w:val="0"/>
      <w:marTop w:val="0"/>
      <w:marBottom w:val="0"/>
      <w:divBdr>
        <w:top w:val="none" w:sz="0" w:space="0" w:color="auto"/>
        <w:left w:val="none" w:sz="0" w:space="0" w:color="auto"/>
        <w:bottom w:val="none" w:sz="0" w:space="0" w:color="auto"/>
        <w:right w:val="none" w:sz="0" w:space="0" w:color="auto"/>
      </w:divBdr>
    </w:div>
    <w:div w:id="1358965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896564">
      <w:bodyDiv w:val="1"/>
      <w:marLeft w:val="0"/>
      <w:marRight w:val="0"/>
      <w:marTop w:val="0"/>
      <w:marBottom w:val="0"/>
      <w:divBdr>
        <w:top w:val="none" w:sz="0" w:space="0" w:color="auto"/>
        <w:left w:val="none" w:sz="0" w:space="0" w:color="auto"/>
        <w:bottom w:val="none" w:sz="0" w:space="0" w:color="auto"/>
        <w:right w:val="none" w:sz="0" w:space="0" w:color="auto"/>
      </w:divBdr>
    </w:div>
    <w:div w:id="20335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B2BB6-DA58-42E2-B687-DAD3B9DA9AB3}">
  <ds:schemaRefs>
    <ds:schemaRef ds:uri="http://schemas.microsoft.com/sharepoint/v3/contenttype/forms"/>
  </ds:schemaRefs>
</ds:datastoreItem>
</file>

<file path=customXml/itemProps2.xml><?xml version="1.0" encoding="utf-8"?>
<ds:datastoreItem xmlns:ds="http://schemas.openxmlformats.org/officeDocument/2006/customXml" ds:itemID="{8C0E13AC-936A-47BD-A696-4384F47EF82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49178F05-C1F0-450D-98B9-E44B66934E17}">
  <ds:schemaRefs>
    <ds:schemaRef ds:uri="http://schemas.openxmlformats.org/officeDocument/2006/bibliography"/>
  </ds:schemaRefs>
</ds:datastoreItem>
</file>

<file path=customXml/itemProps4.xml><?xml version="1.0" encoding="utf-8"?>
<ds:datastoreItem xmlns:ds="http://schemas.openxmlformats.org/officeDocument/2006/customXml" ds:itemID="{177FBA37-B0C1-48E4-8063-6C3FA171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29</cp:revision>
  <cp:lastPrinted>1900-01-01T08:00:00Z</cp:lastPrinted>
  <dcterms:created xsi:type="dcterms:W3CDTF">2023-01-11T04:44:00Z</dcterms:created>
  <dcterms:modified xsi:type="dcterms:W3CDTF">2023-01-16T05:15:00Z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