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1FDD7489" w:rsidR="00E61DAC" w:rsidRPr="00B648F1" w:rsidRDefault="00DC5AA7" w:rsidP="00C8695C">
            <w:pPr>
              <w:tabs>
                <w:tab w:val="left" w:pos="7200"/>
              </w:tabs>
              <w:spacing w:before="0"/>
              <w:rPr>
                <w:b/>
                <w:szCs w:val="22"/>
              </w:rPr>
            </w:pPr>
            <w:r w:rsidRPr="00DC5AA7">
              <w:t>29th Meeting, by teleconference, 11–20 January 2023</w:t>
            </w:r>
          </w:p>
        </w:tc>
        <w:tc>
          <w:tcPr>
            <w:tcW w:w="3708" w:type="dxa"/>
          </w:tcPr>
          <w:p w14:paraId="65E5855C" w14:textId="552E501A"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4A1E37">
              <w:rPr>
                <w:lang w:eastAsia="zh-CN"/>
              </w:rPr>
              <w:t>A</w:t>
            </w:r>
            <w:r w:rsidR="00DC5AA7">
              <w:rPr>
                <w:lang w:eastAsia="zh-CN"/>
              </w:rPr>
              <w:t>C</w:t>
            </w:r>
            <w:r w:rsidR="0078341A" w:rsidRPr="0078341A">
              <w:t>0</w:t>
            </w:r>
            <w:r w:rsidR="004A1E37">
              <w:t>2</w:t>
            </w:r>
            <w:r w:rsidR="00DC5AA7">
              <w:t>91</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4933BB1E" w:rsidR="00E61DAC" w:rsidRPr="0022161C" w:rsidRDefault="004A1E37" w:rsidP="00A2405B">
            <w:pPr>
              <w:pStyle w:val="Normal-3-3"/>
              <w:rPr>
                <w:b/>
                <w:szCs w:val="22"/>
              </w:rPr>
            </w:pPr>
            <w:r>
              <w:rPr>
                <w:rFonts w:hint="eastAsia"/>
                <w:b/>
                <w:lang w:eastAsia="zh-CN"/>
              </w:rPr>
              <w:t>C</w:t>
            </w:r>
            <w:r w:rsidRPr="004A1E37">
              <w:rPr>
                <w:b/>
              </w:rPr>
              <w:t>rosscheck of JVET-A</w:t>
            </w:r>
            <w:r w:rsidR="00DC5AA7">
              <w:rPr>
                <w:b/>
              </w:rPr>
              <w:t>C</w:t>
            </w:r>
            <w:r w:rsidRPr="004A1E37">
              <w:rPr>
                <w:b/>
              </w:rPr>
              <w:t>0</w:t>
            </w:r>
            <w:r w:rsidR="00981270">
              <w:rPr>
                <w:b/>
              </w:rPr>
              <w:t>1</w:t>
            </w:r>
            <w:r w:rsidR="00DC5AA7">
              <w:rPr>
                <w:b/>
              </w:rPr>
              <w:t>19</w:t>
            </w:r>
            <w:r w:rsidRPr="004A1E37">
              <w:rPr>
                <w:b/>
              </w:rPr>
              <w:t xml:space="preserve"> (</w:t>
            </w:r>
            <w:r w:rsidR="00DC5AA7">
              <w:rPr>
                <w:b/>
                <w:szCs w:val="22"/>
                <w:lang w:val="en-CA"/>
              </w:rPr>
              <w:t>EE2-</w:t>
            </w:r>
            <w:r w:rsidR="00DC5AA7">
              <w:rPr>
                <w:rFonts w:hint="eastAsia"/>
                <w:b/>
                <w:szCs w:val="22"/>
                <w:lang w:val="en-CA" w:eastAsia="zh-CN"/>
              </w:rPr>
              <w:t>1.6</w:t>
            </w:r>
            <w:r w:rsidR="00DC5AA7">
              <w:rPr>
                <w:b/>
                <w:szCs w:val="22"/>
                <w:lang w:val="en-CA"/>
              </w:rPr>
              <w:t xml:space="preserve">: On </w:t>
            </w:r>
            <w:r w:rsidR="00DC5AA7">
              <w:rPr>
                <w:rFonts w:hint="eastAsia"/>
                <w:b/>
                <w:szCs w:val="22"/>
                <w:lang w:val="en-CA" w:eastAsia="zh-CN"/>
              </w:rPr>
              <w:t>Chroma</w:t>
            </w:r>
            <w:r w:rsidR="00DC5AA7">
              <w:rPr>
                <w:b/>
                <w:szCs w:val="22"/>
                <w:lang w:val="en-CA"/>
              </w:rPr>
              <w:t xml:space="preserve"> </w:t>
            </w:r>
            <w:r w:rsidR="00DC5AA7">
              <w:rPr>
                <w:b/>
                <w:szCs w:val="22"/>
                <w:lang w:val="en-CA" w:eastAsia="zh-CN"/>
              </w:rPr>
              <w:t>Fusion improvement</w:t>
            </w:r>
            <w:r w:rsidRPr="004A1E37">
              <w:rPr>
                <w:b/>
              </w:rPr>
              <w:t>)</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6A02C3DA" w:rsidR="0022161C" w:rsidRDefault="0022161C" w:rsidP="0022161C">
      <w:pPr>
        <w:pStyle w:val="af1"/>
        <w:ind w:leftChars="0" w:left="0"/>
        <w:rPr>
          <w:rFonts w:eastAsia="PMingLiU"/>
          <w:szCs w:val="22"/>
          <w:lang w:val="en-CA"/>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Pr>
          <w:rFonts w:eastAsia="PMingLiU"/>
          <w:szCs w:val="22"/>
          <w:lang w:val="en-CA"/>
        </w:rPr>
        <w:t>0</w:t>
      </w:r>
      <w:r w:rsidR="00DC5AA7">
        <w:rPr>
          <w:rFonts w:eastAsia="PMingLiU"/>
          <w:szCs w:val="22"/>
          <w:lang w:val="en-CA"/>
        </w:rPr>
        <w:t>119</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r w:rsidR="004A1E37">
        <w:rPr>
          <w:rFonts w:eastAsia="PMingLiU"/>
          <w:szCs w:val="22"/>
          <w:lang w:val="en-CA"/>
        </w:rPr>
        <w:t>AB01</w:t>
      </w:r>
      <w:r w:rsidR="00981270">
        <w:rPr>
          <w:rFonts w:eastAsia="PMingLiU"/>
          <w:szCs w:val="22"/>
          <w:lang w:val="en-CA"/>
        </w:rPr>
        <w:t>81.</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3E090EC0" w14:textId="77777777" w:rsidR="00DC5AA7" w:rsidRDefault="00066970" w:rsidP="00A2405B">
      <w:pPr>
        <w:rPr>
          <w:lang w:val="en-CA"/>
        </w:rPr>
      </w:pPr>
      <w:r>
        <w:rPr>
          <w:lang w:val="en-CA"/>
        </w:rPr>
        <w:t>JVET-</w:t>
      </w:r>
      <w:r w:rsidR="004A1E37">
        <w:rPr>
          <w:lang w:val="en-CA"/>
        </w:rPr>
        <w:t>A</w:t>
      </w:r>
      <w:r w:rsidR="00DC5AA7">
        <w:rPr>
          <w:lang w:val="en-CA"/>
        </w:rPr>
        <w:t>C</w:t>
      </w:r>
      <w:r>
        <w:rPr>
          <w:lang w:val="en-CA"/>
        </w:rPr>
        <w:t>0</w:t>
      </w:r>
      <w:r w:rsidR="004A1E37">
        <w:rPr>
          <w:lang w:val="en-CA"/>
        </w:rPr>
        <w:t>1</w:t>
      </w:r>
      <w:r w:rsidR="00DC5AA7">
        <w:rPr>
          <w:lang w:val="en-CA"/>
        </w:rPr>
        <w:t xml:space="preserve">19 </w:t>
      </w:r>
      <w:r w:rsidR="00DC5AA7">
        <w:rPr>
          <w:rFonts w:eastAsia="PMingLiU"/>
          <w:lang w:val="en-CA" w:eastAsia="zh-TW"/>
        </w:rPr>
        <w:t>reports the simulation results of EE2 Test 1.6</w:t>
      </w:r>
      <w:r w:rsidR="00DC5AA7">
        <w:rPr>
          <w:rFonts w:eastAsia="PMingLiU"/>
          <w:lang w:val="en-CA" w:eastAsia="zh-TW"/>
        </w:rPr>
        <w:t xml:space="preserve">. </w:t>
      </w:r>
      <w:r w:rsidR="00DC5AA7">
        <w:rPr>
          <w:rFonts w:eastAsia="PMingLiU"/>
          <w:lang w:val="en-CA" w:eastAsia="zh-TW"/>
        </w:rPr>
        <w:t>In Test 1.6,</w:t>
      </w:r>
      <w:r w:rsidR="00DC5AA7" w:rsidRPr="005B217D">
        <w:rPr>
          <w:szCs w:val="22"/>
          <w:lang w:val="en-CA"/>
        </w:rPr>
        <w:t xml:space="preserve"> </w:t>
      </w:r>
      <w:r w:rsidR="00DC5AA7" w:rsidRPr="00266FBD">
        <w:rPr>
          <w:lang w:val="en-CA"/>
        </w:rPr>
        <w:t>a linear model-based chroma fusion method is proposed where the weights are derived by the adjacent template of both the reconstructed luma samples and the predicted chroma samples obtained by applying the non-LM mode.</w:t>
      </w:r>
      <w:r w:rsidR="00DC5AA7">
        <w:rPr>
          <w:lang w:val="en-CA"/>
        </w:rPr>
        <w:t xml:space="preserve"> The derivation is</w:t>
      </w:r>
      <w:r w:rsidR="00DC5AA7" w:rsidRPr="006932B1">
        <w:rPr>
          <w:lang w:val="en-CA"/>
        </w:rPr>
        <w:t xml:space="preserve"> </w:t>
      </w:r>
      <w:r w:rsidR="00DC5AA7">
        <w:rPr>
          <w:lang w:val="en-CA"/>
        </w:rPr>
        <w:t xml:space="preserve">based on the </w:t>
      </w:r>
      <w:r w:rsidR="00DC5AA7" w:rsidRPr="005D7388">
        <w:rPr>
          <w:lang w:val="en-CA"/>
        </w:rPr>
        <w:t xml:space="preserve">LDL decomposition method used in </w:t>
      </w:r>
      <w:r w:rsidR="00DC5AA7">
        <w:rPr>
          <w:lang w:val="en-CA"/>
        </w:rPr>
        <w:t>CCCM</w:t>
      </w:r>
    </w:p>
    <w:p w14:paraId="751B5837" w14:textId="77777777" w:rsidR="00A2405B" w:rsidRPr="00A2405B" w:rsidRDefault="00A2405B" w:rsidP="00A2405B">
      <w:pPr>
        <w:rPr>
          <w:lang w:val="en-CA" w:eastAsia="zh-CN"/>
        </w:rPr>
      </w:pP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2D7E2DA9" w:rsidR="00A2405B" w:rsidRPr="00A2405B" w:rsidRDefault="00066970" w:rsidP="004A1E37">
      <w:pPr>
        <w:tabs>
          <w:tab w:val="clear" w:pos="1080"/>
        </w:tabs>
        <w:rPr>
          <w:lang w:val="en-CA" w:eastAsia="zh-CN"/>
        </w:rPr>
      </w:pPr>
      <w:r>
        <w:rPr>
          <w:lang w:val="en-CA" w:eastAsia="zh-CN"/>
        </w:rPr>
        <w:t>JVET-</w:t>
      </w:r>
      <w:r w:rsidR="004A1E37">
        <w:rPr>
          <w:lang w:val="en-CA" w:eastAsia="zh-CN"/>
        </w:rPr>
        <w:t>A</w:t>
      </w:r>
      <w:r w:rsidR="00DC5AA7">
        <w:rPr>
          <w:lang w:val="en-CA" w:eastAsia="zh-CN"/>
        </w:rPr>
        <w:t>C</w:t>
      </w:r>
      <w:r w:rsidR="001B7A53">
        <w:rPr>
          <w:lang w:val="en-CA" w:eastAsia="zh-CN"/>
        </w:rPr>
        <w:t>01</w:t>
      </w:r>
      <w:r w:rsidR="00DC5AA7">
        <w:rPr>
          <w:lang w:val="en-CA" w:eastAsia="zh-CN"/>
        </w:rPr>
        <w:t>19</w:t>
      </w:r>
      <w:r w:rsidR="00A2405B">
        <w:rPr>
          <w:lang w:val="en-CA" w:eastAsia="zh-CN"/>
        </w:rPr>
        <w:t xml:space="preserve"> </w:t>
      </w:r>
      <w:r>
        <w:rPr>
          <w:rFonts w:hint="eastAsia"/>
          <w:lang w:val="en-CA" w:eastAsia="zh-CN"/>
        </w:rPr>
        <w:t>is</w:t>
      </w:r>
      <w:r>
        <w:rPr>
          <w:lang w:val="en-CA" w:eastAsia="zh-CN"/>
        </w:rPr>
        <w:t xml:space="preserve"> </w:t>
      </w:r>
      <w:r w:rsidR="00A2405B">
        <w:rPr>
          <w:lang w:val="en-CA" w:eastAsia="zh-CN"/>
        </w:rPr>
        <w:t>crosschecked in this contribution. The test</w:t>
      </w:r>
      <w:r w:rsidR="004A1E37">
        <w:rPr>
          <w:lang w:val="en-CA" w:eastAsia="zh-CN"/>
        </w:rPr>
        <w:t>s</w:t>
      </w:r>
      <w:r w:rsidR="00A2405B">
        <w:rPr>
          <w:lang w:val="en-CA" w:eastAsia="zh-CN"/>
        </w:rPr>
        <w:t xml:space="preserve">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sidR="00A2405B">
        <w:rPr>
          <w:lang w:val="en-CA" w:eastAsia="zh-CN"/>
        </w:rPr>
        <w:t xml:space="preserve"> and results are confirmed to be identical to those reported in JVET-</w:t>
      </w:r>
      <w:r w:rsidR="004A1E37">
        <w:rPr>
          <w:lang w:val="en-CA" w:eastAsia="zh-CN"/>
        </w:rPr>
        <w:t>A</w:t>
      </w:r>
      <w:r w:rsidR="00DC5AA7">
        <w:rPr>
          <w:lang w:val="en-CA" w:eastAsia="zh-CN"/>
        </w:rPr>
        <w:t>C</w:t>
      </w:r>
      <w:r>
        <w:rPr>
          <w:lang w:val="en-CA" w:eastAsia="zh-CN"/>
        </w:rPr>
        <w:t>01</w:t>
      </w:r>
      <w:r w:rsidR="00DC5AA7">
        <w:rPr>
          <w:lang w:val="en-CA" w:eastAsia="zh-CN"/>
        </w:rPr>
        <w:t>19</w:t>
      </w:r>
      <w:r w:rsidR="00A2405B">
        <w:rPr>
          <w:lang w:val="en-CA" w:eastAsia="zh-CN"/>
        </w:rPr>
        <w:t>.</w:t>
      </w:r>
    </w:p>
    <w:p w14:paraId="5CAC3A39" w14:textId="7491173C" w:rsidR="00593120" w:rsidRPr="00C95E91" w:rsidRDefault="00593120" w:rsidP="00593120">
      <w:pPr>
        <w:pStyle w:val="af3"/>
        <w:keepNext/>
        <w:spacing w:before="200" w:after="0"/>
        <w:jc w:val="center"/>
        <w:rPr>
          <w:i w:val="0"/>
          <w:iCs w:val="0"/>
          <w:color w:val="auto"/>
          <w:sz w:val="22"/>
          <w:szCs w:val="20"/>
        </w:rPr>
      </w:pPr>
    </w:p>
    <w:tbl>
      <w:tblPr>
        <w:tblW w:w="5340" w:type="dxa"/>
        <w:tblLook w:val="04A0" w:firstRow="1" w:lastRow="0" w:firstColumn="1" w:lastColumn="0" w:noHBand="0" w:noVBand="1"/>
      </w:tblPr>
      <w:tblGrid>
        <w:gridCol w:w="1060"/>
        <w:gridCol w:w="957"/>
        <w:gridCol w:w="957"/>
        <w:gridCol w:w="957"/>
        <w:gridCol w:w="817"/>
        <w:gridCol w:w="817"/>
      </w:tblGrid>
      <w:tr w:rsidR="00DF2B69" w:rsidRPr="00DF2B69" w14:paraId="073660E5" w14:textId="77777777" w:rsidTr="00DF2B69">
        <w:trPr>
          <w:trHeight w:val="255"/>
        </w:trPr>
        <w:tc>
          <w:tcPr>
            <w:tcW w:w="1060" w:type="dxa"/>
            <w:tcBorders>
              <w:top w:val="nil"/>
              <w:left w:val="nil"/>
              <w:bottom w:val="nil"/>
              <w:right w:val="nil"/>
            </w:tcBorders>
            <w:shd w:val="clear" w:color="auto" w:fill="auto"/>
            <w:noWrap/>
            <w:vAlign w:val="center"/>
            <w:hideMark/>
          </w:tcPr>
          <w:p w14:paraId="3989D50F" w14:textId="77777777" w:rsidR="00DF2B69" w:rsidRPr="00DF2B69" w:rsidRDefault="00DF2B69" w:rsidP="00DF2B69">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bookmarkStart w:id="1" w:name="_Ref83906519"/>
          </w:p>
        </w:tc>
        <w:tc>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F769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All Intra Main10 </w:t>
            </w:r>
          </w:p>
        </w:tc>
      </w:tr>
      <w:tr w:rsidR="00DF2B69" w:rsidRPr="00DF2B69" w14:paraId="75981BEB" w14:textId="77777777" w:rsidTr="00DF2B69">
        <w:trPr>
          <w:trHeight w:val="255"/>
        </w:trPr>
        <w:tc>
          <w:tcPr>
            <w:tcW w:w="1060" w:type="dxa"/>
            <w:tcBorders>
              <w:top w:val="nil"/>
              <w:left w:val="nil"/>
              <w:bottom w:val="nil"/>
              <w:right w:val="nil"/>
            </w:tcBorders>
            <w:shd w:val="clear" w:color="auto" w:fill="auto"/>
            <w:noWrap/>
            <w:vAlign w:val="center"/>
            <w:hideMark/>
          </w:tcPr>
          <w:p w14:paraId="4C2FEE6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9F4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ECM-7.0</w:t>
            </w:r>
          </w:p>
        </w:tc>
      </w:tr>
      <w:tr w:rsidR="00DF2B69" w:rsidRPr="00DF2B69" w14:paraId="7E49DFC9" w14:textId="77777777" w:rsidTr="00DF2B69">
        <w:trPr>
          <w:trHeight w:val="255"/>
        </w:trPr>
        <w:tc>
          <w:tcPr>
            <w:tcW w:w="1060" w:type="dxa"/>
            <w:tcBorders>
              <w:top w:val="nil"/>
              <w:left w:val="nil"/>
              <w:bottom w:val="nil"/>
              <w:right w:val="nil"/>
            </w:tcBorders>
            <w:shd w:val="clear" w:color="auto" w:fill="auto"/>
            <w:noWrap/>
            <w:vAlign w:val="center"/>
            <w:hideMark/>
          </w:tcPr>
          <w:p w14:paraId="6774054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68FC29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23" w:type="dxa"/>
            <w:tcBorders>
              <w:top w:val="nil"/>
              <w:left w:val="nil"/>
              <w:bottom w:val="single" w:sz="8" w:space="0" w:color="auto"/>
              <w:right w:val="nil"/>
            </w:tcBorders>
            <w:shd w:val="clear" w:color="auto" w:fill="auto"/>
            <w:noWrap/>
            <w:vAlign w:val="center"/>
            <w:hideMark/>
          </w:tcPr>
          <w:p w14:paraId="2CCDF4E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23" w:type="dxa"/>
            <w:tcBorders>
              <w:top w:val="nil"/>
              <w:left w:val="nil"/>
              <w:bottom w:val="single" w:sz="8" w:space="0" w:color="auto"/>
              <w:right w:val="single" w:sz="4" w:space="0" w:color="auto"/>
            </w:tcBorders>
            <w:shd w:val="clear" w:color="auto" w:fill="auto"/>
            <w:noWrap/>
            <w:vAlign w:val="center"/>
            <w:hideMark/>
          </w:tcPr>
          <w:p w14:paraId="7438B4C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3E7D24D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F2B69">
              <w:rPr>
                <w:rFonts w:ascii="Arial" w:eastAsia="宋体" w:hAnsi="Arial" w:cs="Arial"/>
                <w:color w:val="000000"/>
                <w:sz w:val="18"/>
                <w:szCs w:val="18"/>
                <w:lang w:eastAsia="zh-CN"/>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61FB3C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F2B69">
              <w:rPr>
                <w:rFonts w:ascii="Arial" w:eastAsia="宋体" w:hAnsi="Arial" w:cs="Arial"/>
                <w:color w:val="000000"/>
                <w:sz w:val="18"/>
                <w:szCs w:val="18"/>
                <w:lang w:eastAsia="zh-CN"/>
              </w:rPr>
              <w:t>DecT</w:t>
            </w:r>
            <w:proofErr w:type="spellEnd"/>
          </w:p>
        </w:tc>
      </w:tr>
      <w:tr w:rsidR="00DF2B69" w:rsidRPr="00DF2B69" w14:paraId="53548772" w14:textId="77777777" w:rsidTr="00DF2B6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1B191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14:paraId="719E063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-0.03%</w:t>
            </w:r>
          </w:p>
        </w:tc>
        <w:tc>
          <w:tcPr>
            <w:tcW w:w="923" w:type="dxa"/>
            <w:tcBorders>
              <w:top w:val="nil"/>
              <w:left w:val="nil"/>
              <w:bottom w:val="nil"/>
              <w:right w:val="nil"/>
            </w:tcBorders>
            <w:shd w:val="clear" w:color="auto" w:fill="auto"/>
            <w:noWrap/>
            <w:vAlign w:val="center"/>
            <w:hideMark/>
          </w:tcPr>
          <w:p w14:paraId="5661E9E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-0.61%</w:t>
            </w:r>
          </w:p>
        </w:tc>
        <w:tc>
          <w:tcPr>
            <w:tcW w:w="923" w:type="dxa"/>
            <w:tcBorders>
              <w:top w:val="nil"/>
              <w:left w:val="nil"/>
              <w:bottom w:val="nil"/>
              <w:right w:val="single" w:sz="4" w:space="0" w:color="auto"/>
            </w:tcBorders>
            <w:shd w:val="clear" w:color="auto" w:fill="auto"/>
            <w:noWrap/>
            <w:vAlign w:val="center"/>
            <w:hideMark/>
          </w:tcPr>
          <w:p w14:paraId="05577FD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-0.64%</w:t>
            </w:r>
          </w:p>
        </w:tc>
        <w:tc>
          <w:tcPr>
            <w:tcW w:w="755" w:type="dxa"/>
            <w:tcBorders>
              <w:top w:val="nil"/>
              <w:left w:val="nil"/>
              <w:bottom w:val="nil"/>
              <w:right w:val="nil"/>
            </w:tcBorders>
            <w:shd w:val="clear" w:color="auto" w:fill="auto"/>
            <w:noWrap/>
            <w:vAlign w:val="center"/>
            <w:hideMark/>
          </w:tcPr>
          <w:p w14:paraId="08CF252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0DD22EA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71502EBA"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DD04E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hideMark/>
          </w:tcPr>
          <w:p w14:paraId="76118EE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1AA4C36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4" w:space="0" w:color="auto"/>
            </w:tcBorders>
            <w:shd w:val="clear" w:color="auto" w:fill="auto"/>
            <w:noWrap/>
            <w:vAlign w:val="center"/>
            <w:hideMark/>
          </w:tcPr>
          <w:p w14:paraId="3DE863B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17471B0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1DE4E5CA"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63CFAB5C"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1D86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14:paraId="03B1B99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542929F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4A3B182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581B92C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34DB802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376A0EC1"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EDD0C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14:paraId="2E6FFCE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-0.05%</w:t>
            </w:r>
          </w:p>
        </w:tc>
        <w:tc>
          <w:tcPr>
            <w:tcW w:w="923" w:type="dxa"/>
            <w:tcBorders>
              <w:top w:val="nil"/>
              <w:left w:val="nil"/>
              <w:bottom w:val="nil"/>
              <w:right w:val="nil"/>
            </w:tcBorders>
            <w:shd w:val="clear" w:color="auto" w:fill="auto"/>
            <w:noWrap/>
            <w:vAlign w:val="center"/>
            <w:hideMark/>
          </w:tcPr>
          <w:p w14:paraId="1946C94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-0.45%</w:t>
            </w:r>
          </w:p>
        </w:tc>
        <w:tc>
          <w:tcPr>
            <w:tcW w:w="923" w:type="dxa"/>
            <w:tcBorders>
              <w:top w:val="nil"/>
              <w:left w:val="nil"/>
              <w:bottom w:val="nil"/>
              <w:right w:val="single" w:sz="8" w:space="0" w:color="auto"/>
            </w:tcBorders>
            <w:shd w:val="clear" w:color="auto" w:fill="auto"/>
            <w:noWrap/>
            <w:vAlign w:val="center"/>
            <w:hideMark/>
          </w:tcPr>
          <w:p w14:paraId="4BA4263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-0.49%</w:t>
            </w:r>
          </w:p>
        </w:tc>
        <w:tc>
          <w:tcPr>
            <w:tcW w:w="755" w:type="dxa"/>
            <w:tcBorders>
              <w:top w:val="nil"/>
              <w:left w:val="nil"/>
              <w:bottom w:val="nil"/>
              <w:right w:val="nil"/>
            </w:tcBorders>
            <w:shd w:val="clear" w:color="auto" w:fill="auto"/>
            <w:noWrap/>
            <w:vAlign w:val="center"/>
            <w:hideMark/>
          </w:tcPr>
          <w:p w14:paraId="735C11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2E2AB4E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24EA1C5C" w14:textId="77777777" w:rsidTr="00DF2B6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C4D4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hideMark/>
          </w:tcPr>
          <w:p w14:paraId="6C2B9D56"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-0.02%</w:t>
            </w:r>
          </w:p>
        </w:tc>
        <w:tc>
          <w:tcPr>
            <w:tcW w:w="923" w:type="dxa"/>
            <w:tcBorders>
              <w:top w:val="nil"/>
              <w:left w:val="nil"/>
              <w:bottom w:val="single" w:sz="8" w:space="0" w:color="auto"/>
              <w:right w:val="nil"/>
            </w:tcBorders>
            <w:shd w:val="clear" w:color="auto" w:fill="auto"/>
            <w:noWrap/>
            <w:vAlign w:val="center"/>
            <w:hideMark/>
          </w:tcPr>
          <w:p w14:paraId="603FEBB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-0.34%</w:t>
            </w:r>
          </w:p>
        </w:tc>
        <w:tc>
          <w:tcPr>
            <w:tcW w:w="923" w:type="dxa"/>
            <w:tcBorders>
              <w:top w:val="nil"/>
              <w:left w:val="nil"/>
              <w:bottom w:val="single" w:sz="8" w:space="0" w:color="auto"/>
              <w:right w:val="single" w:sz="8" w:space="0" w:color="auto"/>
            </w:tcBorders>
            <w:shd w:val="clear" w:color="auto" w:fill="auto"/>
            <w:noWrap/>
            <w:vAlign w:val="center"/>
            <w:hideMark/>
          </w:tcPr>
          <w:p w14:paraId="0F41E47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-0.13%</w:t>
            </w:r>
          </w:p>
        </w:tc>
        <w:tc>
          <w:tcPr>
            <w:tcW w:w="755" w:type="dxa"/>
            <w:tcBorders>
              <w:top w:val="nil"/>
              <w:left w:val="nil"/>
              <w:bottom w:val="nil"/>
              <w:right w:val="nil"/>
            </w:tcBorders>
            <w:shd w:val="clear" w:color="auto" w:fill="auto"/>
            <w:noWrap/>
            <w:vAlign w:val="center"/>
            <w:hideMark/>
          </w:tcPr>
          <w:p w14:paraId="6DE6195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2F6731B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r>
      <w:tr w:rsidR="00DF2B69" w:rsidRPr="00DF2B69" w14:paraId="4D5CAEA9"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4EACB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24" w:type="dxa"/>
            <w:tcBorders>
              <w:top w:val="nil"/>
              <w:left w:val="nil"/>
              <w:bottom w:val="nil"/>
              <w:right w:val="nil"/>
            </w:tcBorders>
            <w:shd w:val="clear" w:color="auto" w:fill="auto"/>
            <w:noWrap/>
            <w:vAlign w:val="center"/>
            <w:hideMark/>
          </w:tcPr>
          <w:p w14:paraId="1944EAA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03EA0FE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4570326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single" w:sz="8" w:space="0" w:color="auto"/>
              <w:left w:val="nil"/>
              <w:bottom w:val="nil"/>
              <w:right w:val="nil"/>
            </w:tcBorders>
            <w:shd w:val="clear" w:color="auto" w:fill="auto"/>
            <w:noWrap/>
            <w:vAlign w:val="center"/>
            <w:hideMark/>
          </w:tcPr>
          <w:p w14:paraId="7C4BA44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single" w:sz="8" w:space="0" w:color="auto"/>
              <w:left w:val="nil"/>
              <w:bottom w:val="nil"/>
              <w:right w:val="single" w:sz="8" w:space="0" w:color="auto"/>
            </w:tcBorders>
            <w:shd w:val="clear" w:color="auto" w:fill="auto"/>
            <w:noWrap/>
            <w:vAlign w:val="center"/>
            <w:hideMark/>
          </w:tcPr>
          <w:p w14:paraId="7CEA8E2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093FB029" w14:textId="77777777" w:rsidTr="00DF2B69">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554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14:paraId="1CC61E8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-0.05%</w:t>
            </w:r>
          </w:p>
        </w:tc>
        <w:tc>
          <w:tcPr>
            <w:tcW w:w="923" w:type="dxa"/>
            <w:tcBorders>
              <w:top w:val="single" w:sz="8" w:space="0" w:color="auto"/>
              <w:left w:val="nil"/>
              <w:bottom w:val="single" w:sz="8" w:space="0" w:color="auto"/>
              <w:right w:val="nil"/>
            </w:tcBorders>
            <w:shd w:val="clear" w:color="auto" w:fill="auto"/>
            <w:noWrap/>
            <w:vAlign w:val="center"/>
            <w:hideMark/>
          </w:tcPr>
          <w:p w14:paraId="778DD35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-0.49%</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16F0C60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-0.23%</w:t>
            </w:r>
          </w:p>
        </w:tc>
        <w:tc>
          <w:tcPr>
            <w:tcW w:w="755" w:type="dxa"/>
            <w:tcBorders>
              <w:top w:val="single" w:sz="8" w:space="0" w:color="auto"/>
              <w:left w:val="nil"/>
              <w:bottom w:val="single" w:sz="8" w:space="0" w:color="auto"/>
              <w:right w:val="nil"/>
            </w:tcBorders>
            <w:shd w:val="clear" w:color="auto" w:fill="auto"/>
            <w:noWrap/>
            <w:vAlign w:val="center"/>
            <w:hideMark/>
          </w:tcPr>
          <w:p w14:paraId="2DEAFC3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102%</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2ADA06B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337174D1"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55D20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24" w:type="dxa"/>
            <w:tcBorders>
              <w:top w:val="nil"/>
              <w:left w:val="nil"/>
              <w:bottom w:val="nil"/>
              <w:right w:val="nil"/>
            </w:tcBorders>
            <w:shd w:val="clear" w:color="auto" w:fill="auto"/>
            <w:noWrap/>
            <w:vAlign w:val="center"/>
            <w:hideMark/>
          </w:tcPr>
          <w:p w14:paraId="5667858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5C795E6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4" w:space="0" w:color="auto"/>
            </w:tcBorders>
            <w:shd w:val="clear" w:color="auto" w:fill="auto"/>
            <w:noWrap/>
            <w:vAlign w:val="center"/>
            <w:hideMark/>
          </w:tcPr>
          <w:p w14:paraId="3728A77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2DAE0DC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w:t>
            </w:r>
          </w:p>
        </w:tc>
        <w:tc>
          <w:tcPr>
            <w:tcW w:w="755" w:type="dxa"/>
            <w:tcBorders>
              <w:top w:val="nil"/>
              <w:left w:val="nil"/>
              <w:bottom w:val="nil"/>
              <w:right w:val="single" w:sz="8" w:space="0" w:color="auto"/>
            </w:tcBorders>
            <w:shd w:val="clear" w:color="auto" w:fill="auto"/>
            <w:noWrap/>
            <w:vAlign w:val="center"/>
            <w:hideMark/>
          </w:tcPr>
          <w:p w14:paraId="0952401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w:t>
            </w:r>
          </w:p>
        </w:tc>
      </w:tr>
      <w:tr w:rsidR="00DF2B69" w:rsidRPr="00DF2B69" w14:paraId="2AAFC564" w14:textId="77777777" w:rsidTr="00DF2B6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9B54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24" w:type="dxa"/>
            <w:tcBorders>
              <w:top w:val="nil"/>
              <w:left w:val="nil"/>
              <w:bottom w:val="single" w:sz="8" w:space="0" w:color="auto"/>
              <w:right w:val="nil"/>
            </w:tcBorders>
            <w:shd w:val="clear" w:color="auto" w:fill="auto"/>
            <w:noWrap/>
            <w:vAlign w:val="center"/>
            <w:hideMark/>
          </w:tcPr>
          <w:p w14:paraId="3BF97C3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-0.12%</w:t>
            </w:r>
          </w:p>
        </w:tc>
        <w:tc>
          <w:tcPr>
            <w:tcW w:w="923" w:type="dxa"/>
            <w:tcBorders>
              <w:top w:val="nil"/>
              <w:left w:val="nil"/>
              <w:bottom w:val="single" w:sz="8" w:space="0" w:color="auto"/>
              <w:right w:val="nil"/>
            </w:tcBorders>
            <w:shd w:val="clear" w:color="auto" w:fill="auto"/>
            <w:noWrap/>
            <w:vAlign w:val="center"/>
            <w:hideMark/>
          </w:tcPr>
          <w:p w14:paraId="6D20495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-0.34%</w:t>
            </w:r>
          </w:p>
        </w:tc>
        <w:tc>
          <w:tcPr>
            <w:tcW w:w="923" w:type="dxa"/>
            <w:tcBorders>
              <w:top w:val="nil"/>
              <w:left w:val="nil"/>
              <w:bottom w:val="single" w:sz="8" w:space="0" w:color="auto"/>
              <w:right w:val="single" w:sz="4" w:space="0" w:color="auto"/>
            </w:tcBorders>
            <w:shd w:val="clear" w:color="auto" w:fill="auto"/>
            <w:noWrap/>
            <w:vAlign w:val="center"/>
            <w:hideMark/>
          </w:tcPr>
          <w:p w14:paraId="0AA9666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-0.36%</w:t>
            </w:r>
          </w:p>
        </w:tc>
        <w:tc>
          <w:tcPr>
            <w:tcW w:w="755" w:type="dxa"/>
            <w:tcBorders>
              <w:top w:val="nil"/>
              <w:left w:val="nil"/>
              <w:bottom w:val="single" w:sz="8" w:space="0" w:color="auto"/>
              <w:right w:val="nil"/>
            </w:tcBorders>
            <w:shd w:val="clear" w:color="auto" w:fill="auto"/>
            <w:noWrap/>
            <w:vAlign w:val="center"/>
            <w:hideMark/>
          </w:tcPr>
          <w:p w14:paraId="1FC9EC9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102%</w:t>
            </w:r>
          </w:p>
        </w:tc>
        <w:tc>
          <w:tcPr>
            <w:tcW w:w="755" w:type="dxa"/>
            <w:tcBorders>
              <w:top w:val="nil"/>
              <w:left w:val="nil"/>
              <w:bottom w:val="single" w:sz="8" w:space="0" w:color="auto"/>
              <w:right w:val="single" w:sz="8" w:space="0" w:color="auto"/>
            </w:tcBorders>
            <w:shd w:val="clear" w:color="auto" w:fill="auto"/>
            <w:noWrap/>
            <w:vAlign w:val="center"/>
            <w:hideMark/>
          </w:tcPr>
          <w:p w14:paraId="208508D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100%</w:t>
            </w:r>
          </w:p>
        </w:tc>
      </w:tr>
    </w:tbl>
    <w:p w14:paraId="1DD0B7A0" w14:textId="2EE68CA9" w:rsidR="00A2405B" w:rsidRDefault="00A2405B" w:rsidP="00912A82">
      <w:pPr>
        <w:pStyle w:val="af3"/>
        <w:keepNext/>
        <w:spacing w:before="200" w:after="0"/>
        <w:jc w:val="center"/>
        <w:rPr>
          <w:i w:val="0"/>
          <w:iCs w:val="0"/>
          <w:color w:val="auto"/>
          <w:sz w:val="22"/>
          <w:szCs w:val="20"/>
          <w:lang w:val="en-CA"/>
        </w:rPr>
      </w:pPr>
    </w:p>
    <w:tbl>
      <w:tblPr>
        <w:tblW w:w="7935" w:type="dxa"/>
        <w:tblLook w:val="04A0" w:firstRow="1" w:lastRow="0" w:firstColumn="1" w:lastColumn="0" w:noHBand="0" w:noVBand="1"/>
      </w:tblPr>
      <w:tblGrid>
        <w:gridCol w:w="1060"/>
        <w:gridCol w:w="957"/>
        <w:gridCol w:w="530"/>
        <w:gridCol w:w="427"/>
        <w:gridCol w:w="957"/>
        <w:gridCol w:w="109"/>
        <w:gridCol w:w="668"/>
        <w:gridCol w:w="777"/>
        <w:gridCol w:w="22"/>
        <w:gridCol w:w="1237"/>
        <w:gridCol w:w="1237"/>
      </w:tblGrid>
      <w:tr w:rsidR="005066F2" w:rsidRPr="005066F2" w14:paraId="13309096"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0D74AE63" w14:textId="77777777" w:rsidR="005066F2" w:rsidRPr="005066F2" w:rsidRDefault="005066F2" w:rsidP="005066F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52CA8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5066F2" w:rsidRPr="005066F2" w14:paraId="12859391"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4927816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9C9ED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ECM-7.0</w:t>
            </w:r>
          </w:p>
        </w:tc>
      </w:tr>
      <w:tr w:rsidR="005066F2" w:rsidRPr="005066F2" w14:paraId="6658D4A3"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297ADAC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44" w:type="dxa"/>
            <w:tcBorders>
              <w:top w:val="nil"/>
              <w:left w:val="single" w:sz="8" w:space="0" w:color="auto"/>
              <w:bottom w:val="single" w:sz="8" w:space="0" w:color="auto"/>
              <w:right w:val="nil"/>
            </w:tcBorders>
            <w:shd w:val="clear" w:color="auto" w:fill="auto"/>
            <w:noWrap/>
            <w:vAlign w:val="center"/>
            <w:hideMark/>
          </w:tcPr>
          <w:p w14:paraId="6927A12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44" w:type="dxa"/>
            <w:gridSpan w:val="2"/>
            <w:tcBorders>
              <w:top w:val="nil"/>
              <w:left w:val="nil"/>
              <w:bottom w:val="single" w:sz="8" w:space="0" w:color="auto"/>
              <w:right w:val="nil"/>
            </w:tcBorders>
            <w:shd w:val="clear" w:color="auto" w:fill="auto"/>
            <w:noWrap/>
            <w:vAlign w:val="center"/>
            <w:hideMark/>
          </w:tcPr>
          <w:p w14:paraId="305DB94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44" w:type="dxa"/>
            <w:tcBorders>
              <w:top w:val="nil"/>
              <w:left w:val="nil"/>
              <w:bottom w:val="single" w:sz="8" w:space="0" w:color="auto"/>
              <w:right w:val="single" w:sz="4" w:space="0" w:color="auto"/>
            </w:tcBorders>
            <w:shd w:val="clear" w:color="auto" w:fill="auto"/>
            <w:noWrap/>
            <w:vAlign w:val="center"/>
            <w:hideMark/>
          </w:tcPr>
          <w:p w14:paraId="169A5C9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24" w:type="dxa"/>
            <w:gridSpan w:val="2"/>
            <w:tcBorders>
              <w:top w:val="nil"/>
              <w:left w:val="nil"/>
              <w:bottom w:val="single" w:sz="8" w:space="0" w:color="auto"/>
              <w:right w:val="nil"/>
            </w:tcBorders>
            <w:shd w:val="clear" w:color="auto" w:fill="auto"/>
            <w:noWrap/>
            <w:vAlign w:val="center"/>
            <w:hideMark/>
          </w:tcPr>
          <w:p w14:paraId="3ADE1D3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066F2">
              <w:rPr>
                <w:rFonts w:ascii="Arial" w:eastAsia="宋体" w:hAnsi="Arial" w:cs="Arial"/>
                <w:color w:val="000000"/>
                <w:sz w:val="18"/>
                <w:szCs w:val="18"/>
                <w:lang w:eastAsia="zh-CN"/>
              </w:rPr>
              <w:t>EncT</w:t>
            </w:r>
            <w:proofErr w:type="spellEnd"/>
          </w:p>
        </w:tc>
        <w:tc>
          <w:tcPr>
            <w:tcW w:w="724" w:type="dxa"/>
            <w:tcBorders>
              <w:top w:val="nil"/>
              <w:left w:val="nil"/>
              <w:bottom w:val="single" w:sz="8" w:space="0" w:color="auto"/>
              <w:right w:val="single" w:sz="8" w:space="0" w:color="auto"/>
            </w:tcBorders>
            <w:shd w:val="clear" w:color="auto" w:fill="auto"/>
            <w:noWrap/>
            <w:vAlign w:val="center"/>
            <w:hideMark/>
          </w:tcPr>
          <w:p w14:paraId="7613881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066F2">
              <w:rPr>
                <w:rFonts w:ascii="Arial" w:eastAsia="宋体" w:hAnsi="Arial" w:cs="Arial"/>
                <w:color w:val="000000"/>
                <w:sz w:val="18"/>
                <w:szCs w:val="18"/>
                <w:lang w:eastAsia="zh-CN"/>
              </w:rPr>
              <w:t>DecT</w:t>
            </w:r>
            <w:proofErr w:type="spellEnd"/>
          </w:p>
        </w:tc>
      </w:tr>
      <w:tr w:rsidR="005066F2" w:rsidRPr="005066F2" w14:paraId="3C978DF3" w14:textId="77777777" w:rsidTr="005066F2">
        <w:trPr>
          <w:gridAfter w:val="3"/>
          <w:wAfter w:w="2595" w:type="dxa"/>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25BD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44" w:type="dxa"/>
            <w:tcBorders>
              <w:top w:val="nil"/>
              <w:left w:val="nil"/>
              <w:bottom w:val="nil"/>
              <w:right w:val="nil"/>
            </w:tcBorders>
            <w:shd w:val="clear" w:color="auto" w:fill="auto"/>
            <w:noWrap/>
            <w:vAlign w:val="center"/>
            <w:hideMark/>
          </w:tcPr>
          <w:p w14:paraId="1EEA0CC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13F9788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6491900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3F4F7D9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6790E469"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2374DE3F"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2D7C2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44" w:type="dxa"/>
            <w:tcBorders>
              <w:top w:val="nil"/>
              <w:left w:val="nil"/>
              <w:bottom w:val="nil"/>
              <w:right w:val="nil"/>
            </w:tcBorders>
            <w:shd w:val="clear" w:color="auto" w:fill="auto"/>
            <w:noWrap/>
            <w:vAlign w:val="center"/>
            <w:hideMark/>
          </w:tcPr>
          <w:p w14:paraId="75005B4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29B98ED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4EAA0A8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6C6396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438D6BF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35F1BC82"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7ECAB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44" w:type="dxa"/>
            <w:tcBorders>
              <w:top w:val="nil"/>
              <w:left w:val="nil"/>
              <w:bottom w:val="nil"/>
              <w:right w:val="nil"/>
            </w:tcBorders>
            <w:shd w:val="clear" w:color="auto" w:fill="auto"/>
            <w:noWrap/>
            <w:vAlign w:val="center"/>
            <w:hideMark/>
          </w:tcPr>
          <w:p w14:paraId="7C3482C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-0.01%</w:t>
            </w:r>
          </w:p>
        </w:tc>
        <w:tc>
          <w:tcPr>
            <w:tcW w:w="944" w:type="dxa"/>
            <w:gridSpan w:val="2"/>
            <w:tcBorders>
              <w:top w:val="nil"/>
              <w:left w:val="nil"/>
              <w:bottom w:val="nil"/>
              <w:right w:val="nil"/>
            </w:tcBorders>
            <w:shd w:val="clear" w:color="auto" w:fill="auto"/>
            <w:noWrap/>
            <w:vAlign w:val="center"/>
            <w:hideMark/>
          </w:tcPr>
          <w:p w14:paraId="058B2A5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-0.23%</w:t>
            </w:r>
          </w:p>
        </w:tc>
        <w:tc>
          <w:tcPr>
            <w:tcW w:w="944" w:type="dxa"/>
            <w:tcBorders>
              <w:top w:val="nil"/>
              <w:left w:val="nil"/>
              <w:bottom w:val="nil"/>
              <w:right w:val="single" w:sz="8" w:space="0" w:color="auto"/>
            </w:tcBorders>
            <w:shd w:val="clear" w:color="auto" w:fill="auto"/>
            <w:noWrap/>
            <w:vAlign w:val="center"/>
            <w:hideMark/>
          </w:tcPr>
          <w:p w14:paraId="46E4689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-0.51%</w:t>
            </w:r>
          </w:p>
        </w:tc>
        <w:tc>
          <w:tcPr>
            <w:tcW w:w="724" w:type="dxa"/>
            <w:gridSpan w:val="2"/>
            <w:tcBorders>
              <w:top w:val="nil"/>
              <w:left w:val="nil"/>
              <w:bottom w:val="nil"/>
              <w:right w:val="nil"/>
            </w:tcBorders>
            <w:shd w:val="clear" w:color="auto" w:fill="auto"/>
            <w:noWrap/>
            <w:vAlign w:val="center"/>
            <w:hideMark/>
          </w:tcPr>
          <w:p w14:paraId="438CE43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101%</w:t>
            </w:r>
          </w:p>
        </w:tc>
        <w:tc>
          <w:tcPr>
            <w:tcW w:w="724" w:type="dxa"/>
            <w:tcBorders>
              <w:top w:val="nil"/>
              <w:left w:val="nil"/>
              <w:bottom w:val="nil"/>
              <w:right w:val="single" w:sz="8" w:space="0" w:color="auto"/>
            </w:tcBorders>
            <w:shd w:val="clear" w:color="auto" w:fill="auto"/>
            <w:noWrap/>
            <w:vAlign w:val="center"/>
            <w:hideMark/>
          </w:tcPr>
          <w:p w14:paraId="0F1BBB6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100%</w:t>
            </w:r>
          </w:p>
        </w:tc>
      </w:tr>
      <w:tr w:rsidR="005066F2" w:rsidRPr="005066F2" w14:paraId="6D296218"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D989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44" w:type="dxa"/>
            <w:tcBorders>
              <w:top w:val="nil"/>
              <w:left w:val="nil"/>
              <w:bottom w:val="nil"/>
              <w:right w:val="nil"/>
            </w:tcBorders>
            <w:shd w:val="clear" w:color="auto" w:fill="auto"/>
            <w:noWrap/>
            <w:vAlign w:val="center"/>
            <w:hideMark/>
          </w:tcPr>
          <w:p w14:paraId="557883B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0.01%</w:t>
            </w:r>
          </w:p>
        </w:tc>
        <w:tc>
          <w:tcPr>
            <w:tcW w:w="944" w:type="dxa"/>
            <w:gridSpan w:val="2"/>
            <w:tcBorders>
              <w:top w:val="nil"/>
              <w:left w:val="nil"/>
              <w:bottom w:val="nil"/>
              <w:right w:val="nil"/>
            </w:tcBorders>
            <w:shd w:val="clear" w:color="auto" w:fill="auto"/>
            <w:noWrap/>
            <w:vAlign w:val="center"/>
            <w:hideMark/>
          </w:tcPr>
          <w:p w14:paraId="0B61DAC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-0.28%</w:t>
            </w:r>
          </w:p>
        </w:tc>
        <w:tc>
          <w:tcPr>
            <w:tcW w:w="944" w:type="dxa"/>
            <w:tcBorders>
              <w:top w:val="nil"/>
              <w:left w:val="nil"/>
              <w:bottom w:val="nil"/>
              <w:right w:val="single" w:sz="8" w:space="0" w:color="auto"/>
            </w:tcBorders>
            <w:shd w:val="clear" w:color="auto" w:fill="auto"/>
            <w:noWrap/>
            <w:vAlign w:val="center"/>
            <w:hideMark/>
          </w:tcPr>
          <w:p w14:paraId="4412A8D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-0.45%</w:t>
            </w:r>
          </w:p>
        </w:tc>
        <w:tc>
          <w:tcPr>
            <w:tcW w:w="724" w:type="dxa"/>
            <w:gridSpan w:val="2"/>
            <w:tcBorders>
              <w:top w:val="nil"/>
              <w:left w:val="nil"/>
              <w:bottom w:val="nil"/>
              <w:right w:val="nil"/>
            </w:tcBorders>
            <w:shd w:val="clear" w:color="auto" w:fill="auto"/>
            <w:noWrap/>
            <w:vAlign w:val="center"/>
            <w:hideMark/>
          </w:tcPr>
          <w:p w14:paraId="1AE4CBF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102%</w:t>
            </w:r>
          </w:p>
        </w:tc>
        <w:tc>
          <w:tcPr>
            <w:tcW w:w="724" w:type="dxa"/>
            <w:tcBorders>
              <w:top w:val="nil"/>
              <w:left w:val="nil"/>
              <w:bottom w:val="nil"/>
              <w:right w:val="single" w:sz="8" w:space="0" w:color="auto"/>
            </w:tcBorders>
            <w:shd w:val="clear" w:color="auto" w:fill="auto"/>
            <w:noWrap/>
            <w:vAlign w:val="center"/>
            <w:hideMark/>
          </w:tcPr>
          <w:p w14:paraId="5671F74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101%</w:t>
            </w:r>
          </w:p>
        </w:tc>
      </w:tr>
      <w:tr w:rsidR="005066F2" w:rsidRPr="005066F2" w14:paraId="03CE796B" w14:textId="77777777" w:rsidTr="005066F2">
        <w:trPr>
          <w:gridAfter w:val="3"/>
          <w:wAfter w:w="2595"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A52F19"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44" w:type="dxa"/>
            <w:tcBorders>
              <w:top w:val="nil"/>
              <w:left w:val="nil"/>
              <w:bottom w:val="single" w:sz="8" w:space="0" w:color="auto"/>
              <w:right w:val="nil"/>
            </w:tcBorders>
            <w:shd w:val="clear" w:color="auto" w:fill="auto"/>
            <w:noWrap/>
            <w:vAlign w:val="center"/>
            <w:hideMark/>
          </w:tcPr>
          <w:p w14:paraId="470CC00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944" w:type="dxa"/>
            <w:gridSpan w:val="2"/>
            <w:tcBorders>
              <w:top w:val="nil"/>
              <w:left w:val="nil"/>
              <w:bottom w:val="single" w:sz="8" w:space="0" w:color="auto"/>
              <w:right w:val="nil"/>
            </w:tcBorders>
            <w:shd w:val="clear" w:color="auto" w:fill="auto"/>
            <w:noWrap/>
            <w:vAlign w:val="center"/>
            <w:hideMark/>
          </w:tcPr>
          <w:p w14:paraId="4F2EABB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944" w:type="dxa"/>
            <w:tcBorders>
              <w:top w:val="nil"/>
              <w:left w:val="nil"/>
              <w:bottom w:val="single" w:sz="8" w:space="0" w:color="auto"/>
              <w:right w:val="single" w:sz="8" w:space="0" w:color="auto"/>
            </w:tcBorders>
            <w:shd w:val="clear" w:color="auto" w:fill="auto"/>
            <w:noWrap/>
            <w:vAlign w:val="center"/>
            <w:hideMark/>
          </w:tcPr>
          <w:p w14:paraId="4C7F9FD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724" w:type="dxa"/>
            <w:gridSpan w:val="2"/>
            <w:tcBorders>
              <w:top w:val="nil"/>
              <w:left w:val="nil"/>
              <w:bottom w:val="nil"/>
              <w:right w:val="nil"/>
            </w:tcBorders>
            <w:shd w:val="clear" w:color="auto" w:fill="auto"/>
            <w:noWrap/>
            <w:vAlign w:val="center"/>
            <w:hideMark/>
          </w:tcPr>
          <w:p w14:paraId="5724ED8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24" w:type="dxa"/>
            <w:tcBorders>
              <w:top w:val="nil"/>
              <w:left w:val="nil"/>
              <w:bottom w:val="nil"/>
              <w:right w:val="single" w:sz="8" w:space="0" w:color="auto"/>
            </w:tcBorders>
            <w:shd w:val="clear" w:color="auto" w:fill="auto"/>
            <w:noWrap/>
            <w:vAlign w:val="center"/>
            <w:hideMark/>
          </w:tcPr>
          <w:p w14:paraId="3EBA154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r>
      <w:tr w:rsidR="005066F2" w:rsidRPr="005066F2" w14:paraId="54A98F74"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14BBB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44" w:type="dxa"/>
            <w:tcBorders>
              <w:top w:val="nil"/>
              <w:left w:val="nil"/>
              <w:bottom w:val="nil"/>
              <w:right w:val="nil"/>
            </w:tcBorders>
            <w:shd w:val="clear" w:color="auto" w:fill="auto"/>
            <w:noWrap/>
            <w:vAlign w:val="center"/>
            <w:hideMark/>
          </w:tcPr>
          <w:p w14:paraId="6D71232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285E95A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8" w:space="0" w:color="auto"/>
            </w:tcBorders>
            <w:shd w:val="clear" w:color="auto" w:fill="auto"/>
            <w:noWrap/>
            <w:vAlign w:val="center"/>
            <w:hideMark/>
          </w:tcPr>
          <w:p w14:paraId="4FA0766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single" w:sz="8" w:space="0" w:color="auto"/>
              <w:left w:val="nil"/>
              <w:bottom w:val="nil"/>
              <w:right w:val="nil"/>
            </w:tcBorders>
            <w:shd w:val="clear" w:color="auto" w:fill="auto"/>
            <w:noWrap/>
            <w:vAlign w:val="center"/>
            <w:hideMark/>
          </w:tcPr>
          <w:p w14:paraId="59EAE02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single" w:sz="8" w:space="0" w:color="auto"/>
              <w:left w:val="nil"/>
              <w:bottom w:val="nil"/>
              <w:right w:val="single" w:sz="8" w:space="0" w:color="auto"/>
            </w:tcBorders>
            <w:shd w:val="clear" w:color="auto" w:fill="auto"/>
            <w:noWrap/>
            <w:vAlign w:val="center"/>
            <w:hideMark/>
          </w:tcPr>
          <w:p w14:paraId="22A5FB61"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1AC8B0BE" w14:textId="77777777" w:rsidTr="005066F2">
        <w:trPr>
          <w:gridAfter w:val="3"/>
          <w:wAfter w:w="2595" w:type="dxa"/>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13F7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44" w:type="dxa"/>
            <w:tcBorders>
              <w:top w:val="single" w:sz="8" w:space="0" w:color="auto"/>
              <w:left w:val="single" w:sz="8" w:space="0" w:color="auto"/>
              <w:bottom w:val="single" w:sz="8" w:space="0" w:color="auto"/>
              <w:right w:val="nil"/>
            </w:tcBorders>
            <w:shd w:val="clear" w:color="auto" w:fill="auto"/>
            <w:noWrap/>
            <w:vAlign w:val="center"/>
            <w:hideMark/>
          </w:tcPr>
          <w:p w14:paraId="4D1C886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single" w:sz="8" w:space="0" w:color="auto"/>
              <w:left w:val="nil"/>
              <w:bottom w:val="single" w:sz="8" w:space="0" w:color="auto"/>
              <w:right w:val="nil"/>
            </w:tcBorders>
            <w:shd w:val="clear" w:color="auto" w:fill="auto"/>
            <w:noWrap/>
            <w:vAlign w:val="center"/>
            <w:hideMark/>
          </w:tcPr>
          <w:p w14:paraId="5AA9BEE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single" w:sz="8" w:space="0" w:color="auto"/>
              <w:left w:val="nil"/>
              <w:bottom w:val="single" w:sz="8" w:space="0" w:color="auto"/>
              <w:right w:val="single" w:sz="8" w:space="0" w:color="auto"/>
            </w:tcBorders>
            <w:shd w:val="clear" w:color="auto" w:fill="auto"/>
            <w:noWrap/>
            <w:vAlign w:val="center"/>
            <w:hideMark/>
          </w:tcPr>
          <w:p w14:paraId="3D0D2B1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single" w:sz="8" w:space="0" w:color="auto"/>
              <w:left w:val="nil"/>
              <w:bottom w:val="single" w:sz="8" w:space="0" w:color="auto"/>
              <w:right w:val="nil"/>
            </w:tcBorders>
            <w:shd w:val="clear" w:color="auto" w:fill="auto"/>
            <w:noWrap/>
            <w:vAlign w:val="center"/>
            <w:hideMark/>
          </w:tcPr>
          <w:p w14:paraId="3D3BBBC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single" w:sz="8" w:space="0" w:color="auto"/>
              <w:left w:val="nil"/>
              <w:bottom w:val="single" w:sz="8" w:space="0" w:color="auto"/>
              <w:right w:val="single" w:sz="8" w:space="0" w:color="auto"/>
            </w:tcBorders>
            <w:shd w:val="clear" w:color="auto" w:fill="auto"/>
            <w:noWrap/>
            <w:vAlign w:val="center"/>
            <w:hideMark/>
          </w:tcPr>
          <w:p w14:paraId="37A046C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287E87B6"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31181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44" w:type="dxa"/>
            <w:tcBorders>
              <w:top w:val="nil"/>
              <w:left w:val="nil"/>
              <w:bottom w:val="nil"/>
              <w:right w:val="nil"/>
            </w:tcBorders>
            <w:shd w:val="clear" w:color="auto" w:fill="auto"/>
            <w:noWrap/>
            <w:vAlign w:val="center"/>
            <w:hideMark/>
          </w:tcPr>
          <w:p w14:paraId="167593C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37B405D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10504E2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73D2706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6B2FEC0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3CB80520" w14:textId="77777777" w:rsidTr="005066F2">
        <w:trPr>
          <w:gridAfter w:val="3"/>
          <w:wAfter w:w="2595"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2909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44" w:type="dxa"/>
            <w:tcBorders>
              <w:top w:val="nil"/>
              <w:left w:val="nil"/>
              <w:bottom w:val="single" w:sz="8" w:space="0" w:color="auto"/>
              <w:right w:val="nil"/>
            </w:tcBorders>
            <w:shd w:val="clear" w:color="auto" w:fill="auto"/>
            <w:noWrap/>
            <w:vAlign w:val="center"/>
            <w:hideMark/>
          </w:tcPr>
          <w:p w14:paraId="565A049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single" w:sz="8" w:space="0" w:color="auto"/>
              <w:right w:val="nil"/>
            </w:tcBorders>
            <w:shd w:val="clear" w:color="auto" w:fill="auto"/>
            <w:noWrap/>
            <w:vAlign w:val="center"/>
            <w:hideMark/>
          </w:tcPr>
          <w:p w14:paraId="566FD93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single" w:sz="8" w:space="0" w:color="auto"/>
              <w:right w:val="single" w:sz="4" w:space="0" w:color="auto"/>
            </w:tcBorders>
            <w:shd w:val="clear" w:color="auto" w:fill="auto"/>
            <w:noWrap/>
            <w:vAlign w:val="center"/>
            <w:hideMark/>
          </w:tcPr>
          <w:p w14:paraId="1BED1F8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single" w:sz="8" w:space="0" w:color="auto"/>
              <w:right w:val="nil"/>
            </w:tcBorders>
            <w:shd w:val="clear" w:color="auto" w:fill="auto"/>
            <w:noWrap/>
            <w:vAlign w:val="center"/>
            <w:hideMark/>
          </w:tcPr>
          <w:p w14:paraId="72E00E6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single" w:sz="8" w:space="0" w:color="auto"/>
              <w:right w:val="single" w:sz="8" w:space="0" w:color="auto"/>
            </w:tcBorders>
            <w:shd w:val="clear" w:color="auto" w:fill="auto"/>
            <w:noWrap/>
            <w:vAlign w:val="center"/>
            <w:hideMark/>
          </w:tcPr>
          <w:p w14:paraId="18958FB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bookmarkEnd w:id="1"/>
      <w:tr w:rsidR="00F61E77" w:rsidRPr="00E37D74" w14:paraId="1400D7B1" w14:textId="77777777" w:rsidTr="005066F2">
        <w:tblPrEx>
          <w:jc w:val="center"/>
        </w:tblPrEx>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77777777" w:rsidR="00F61E77" w:rsidRPr="00E37D74" w:rsidRDefault="00F61E77" w:rsidP="001B7A5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eastAsia="zh-CN"/>
              </w:rPr>
            </w:pPr>
          </w:p>
        </w:tc>
        <w:tc>
          <w:tcPr>
            <w:tcW w:w="1467" w:type="dxa"/>
            <w:gridSpan w:val="2"/>
            <w:tcBorders>
              <w:top w:val="single" w:sz="6" w:space="0" w:color="auto"/>
              <w:left w:val="nil"/>
              <w:bottom w:val="nil"/>
              <w:right w:val="nil"/>
            </w:tcBorders>
            <w:shd w:val="clear" w:color="auto" w:fill="auto"/>
            <w:noWrap/>
            <w:vAlign w:val="center"/>
            <w:hideMark/>
          </w:tcPr>
          <w:p w14:paraId="1A04834E"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3"/>
            <w:tcBorders>
              <w:top w:val="single" w:sz="6" w:space="0" w:color="auto"/>
              <w:left w:val="nil"/>
              <w:bottom w:val="nil"/>
              <w:right w:val="nil"/>
            </w:tcBorders>
            <w:shd w:val="clear" w:color="auto" w:fill="auto"/>
            <w:noWrap/>
            <w:vAlign w:val="center"/>
            <w:hideMark/>
          </w:tcPr>
          <w:p w14:paraId="3A2E0B4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3"/>
            <w:tcBorders>
              <w:top w:val="single" w:sz="6" w:space="0" w:color="auto"/>
              <w:left w:val="nil"/>
              <w:bottom w:val="nil"/>
              <w:right w:val="nil"/>
            </w:tcBorders>
            <w:shd w:val="clear" w:color="auto" w:fill="auto"/>
            <w:noWrap/>
            <w:vAlign w:val="center"/>
            <w:hideMark/>
          </w:tcPr>
          <w:p w14:paraId="137432C9"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6BCD0A2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340A8E46"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6C6D51E0" w:rsidR="00090151" w:rsidRPr="00090151" w:rsidRDefault="00090151" w:rsidP="00090151">
      <w:pPr>
        <w:rPr>
          <w:lang w:val="en-CA" w:eastAsia="zh-CN"/>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sidR="001B7A53">
        <w:rPr>
          <w:rFonts w:eastAsia="PMingLiU"/>
          <w:szCs w:val="22"/>
          <w:lang w:val="en-CA"/>
        </w:rPr>
        <w:t>01</w:t>
      </w:r>
      <w:r w:rsidR="00DC5AA7">
        <w:rPr>
          <w:rFonts w:eastAsia="PMingLiU"/>
          <w:szCs w:val="22"/>
          <w:lang w:val="en-CA"/>
        </w:rPr>
        <w:t>19</w:t>
      </w:r>
      <w:r>
        <w:rPr>
          <w:rFonts w:eastAsia="PMingLiU"/>
          <w:szCs w:val="22"/>
          <w:lang w:val="en-CA"/>
        </w:rPr>
        <w:t xml:space="preserve">. </w:t>
      </w:r>
      <w:r w:rsidR="00A50896">
        <w:rPr>
          <w:rFonts w:eastAsia="PMingLiU"/>
          <w:szCs w:val="22"/>
          <w:lang w:val="en-CA"/>
        </w:rPr>
        <w:t>It is confirmed that the results match with the results reported in JVET-</w:t>
      </w:r>
      <w:r w:rsidR="004A1E37">
        <w:rPr>
          <w:rFonts w:eastAsia="PMingLiU"/>
          <w:szCs w:val="22"/>
          <w:lang w:val="en-CA"/>
        </w:rPr>
        <w:t>AB</w:t>
      </w:r>
      <w:r w:rsidR="00A50896">
        <w:rPr>
          <w:rFonts w:eastAsia="PMingLiU"/>
          <w:szCs w:val="22"/>
          <w:lang w:val="en-CA"/>
        </w:rPr>
        <w:t>0</w:t>
      </w:r>
      <w:r w:rsidR="001B7A53">
        <w:rPr>
          <w:rFonts w:eastAsia="PMingLiU"/>
          <w:szCs w:val="22"/>
          <w:lang w:val="en-CA"/>
        </w:rPr>
        <w:t>1</w:t>
      </w:r>
      <w:r w:rsidR="00DC5AA7">
        <w:rPr>
          <w:rFonts w:eastAsia="PMingLiU"/>
          <w:szCs w:val="22"/>
          <w:lang w:val="en-CA"/>
        </w:rPr>
        <w:t>19</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30BF3D19" w:rsidR="00A2405B" w:rsidRPr="00AB520A" w:rsidRDefault="00DC5AA7" w:rsidP="00A2405B">
      <w:pPr>
        <w:pStyle w:val="Reference"/>
        <w:rPr>
          <w:rFonts w:eastAsia="Times New Roman"/>
          <w:sz w:val="22"/>
          <w:szCs w:val="22"/>
          <w:lang w:val="en-CA"/>
        </w:rPr>
      </w:pPr>
      <w:bookmarkStart w:id="2" w:name="_Ref92223474"/>
      <w:bookmarkStart w:id="3" w:name="_Ref83673974"/>
      <w:r w:rsidRPr="00DC5AA7">
        <w:rPr>
          <w:rFonts w:eastAsiaTheme="minorEastAsia"/>
          <w:sz w:val="22"/>
          <w:szCs w:val="22"/>
          <w:lang w:val="en-CA" w:eastAsia="zh-CN"/>
        </w:rPr>
        <w:t xml:space="preserve">C. Zhou, Z. </w:t>
      </w:r>
      <w:proofErr w:type="spellStart"/>
      <w:r w:rsidRPr="00DC5AA7">
        <w:rPr>
          <w:rFonts w:eastAsiaTheme="minorEastAsia"/>
          <w:sz w:val="22"/>
          <w:szCs w:val="22"/>
          <w:lang w:val="en-CA" w:eastAsia="zh-CN"/>
        </w:rPr>
        <w:t>Lv</w:t>
      </w:r>
      <w:proofErr w:type="spellEnd"/>
      <w:r w:rsidRPr="00DC5AA7">
        <w:rPr>
          <w:rFonts w:eastAsiaTheme="minorEastAsia"/>
          <w:sz w:val="22"/>
          <w:szCs w:val="22"/>
          <w:lang w:val="en-CA" w:eastAsia="zh-CN"/>
        </w:rPr>
        <w:t>, J. Zhang</w:t>
      </w:r>
      <w:r w:rsidR="00981270">
        <w:rPr>
          <w:rFonts w:eastAsiaTheme="minorEastAsia"/>
          <w:sz w:val="22"/>
          <w:szCs w:val="22"/>
          <w:lang w:val="en-CA" w:eastAsia="zh-CN"/>
        </w:rPr>
        <w:t>,</w:t>
      </w:r>
      <w:r w:rsidR="00A2405B">
        <w:rPr>
          <w:rFonts w:eastAsiaTheme="minorEastAsia"/>
          <w:sz w:val="22"/>
          <w:szCs w:val="22"/>
          <w:lang w:val="en-CA" w:eastAsia="zh-CN"/>
        </w:rPr>
        <w:t xml:space="preserve"> </w:t>
      </w:r>
      <w:r w:rsidR="00A2405B" w:rsidRPr="00AB520A">
        <w:rPr>
          <w:rFonts w:eastAsiaTheme="minorEastAsia"/>
          <w:sz w:val="22"/>
          <w:szCs w:val="22"/>
          <w:lang w:val="en-CA" w:eastAsia="zh-CN"/>
        </w:rPr>
        <w:t>“</w:t>
      </w:r>
      <w:r w:rsidRPr="00DC5AA7">
        <w:rPr>
          <w:rFonts w:eastAsiaTheme="minorEastAsia"/>
          <w:sz w:val="22"/>
          <w:szCs w:val="22"/>
          <w:lang w:val="en-CA" w:eastAsia="zh-CN"/>
        </w:rPr>
        <w:t>EE2-1.6: On Chroma Fusion improvement</w:t>
      </w:r>
      <w:r w:rsidR="001B7A53">
        <w:rPr>
          <w:rFonts w:eastAsiaTheme="minorEastAsia"/>
          <w:sz w:val="22"/>
          <w:szCs w:val="22"/>
          <w:lang w:val="en-CA" w:eastAsia="zh-CN"/>
        </w:rPr>
        <w:t>”, JVET-</w:t>
      </w:r>
      <w:r w:rsidR="004A1E37">
        <w:rPr>
          <w:rFonts w:eastAsiaTheme="minorEastAsia"/>
          <w:sz w:val="22"/>
          <w:szCs w:val="22"/>
          <w:lang w:val="en-CA" w:eastAsia="zh-CN"/>
        </w:rPr>
        <w:t>AB01</w:t>
      </w:r>
      <w:r>
        <w:rPr>
          <w:rFonts w:eastAsiaTheme="minorEastAsia"/>
          <w:sz w:val="22"/>
          <w:szCs w:val="22"/>
          <w:lang w:val="en-CA" w:eastAsia="zh-CN"/>
        </w:rPr>
        <w:t>19</w:t>
      </w:r>
      <w:r w:rsidR="001B7A53">
        <w:rPr>
          <w:rFonts w:eastAsiaTheme="minorEastAsia"/>
          <w:sz w:val="22"/>
          <w:szCs w:val="22"/>
          <w:lang w:val="en-CA" w:eastAsia="zh-CN"/>
        </w:rPr>
        <w:t xml:space="preserve">, </w:t>
      </w:r>
      <w:r>
        <w:rPr>
          <w:rFonts w:eastAsiaTheme="minorEastAsia"/>
          <w:sz w:val="22"/>
          <w:szCs w:val="22"/>
          <w:lang w:val="en-CA" w:eastAsia="zh-CN"/>
        </w:rPr>
        <w:t>Jan</w:t>
      </w:r>
      <w:r w:rsidR="00A2405B" w:rsidRPr="00AB520A">
        <w:rPr>
          <w:rFonts w:eastAsiaTheme="minorEastAsia"/>
          <w:sz w:val="22"/>
          <w:szCs w:val="22"/>
          <w:lang w:val="en-CA" w:eastAsia="zh-CN"/>
        </w:rPr>
        <w:t>. 202</w:t>
      </w:r>
      <w:bookmarkEnd w:id="2"/>
      <w:r>
        <w:rPr>
          <w:rFonts w:eastAsiaTheme="minorEastAsia"/>
          <w:sz w:val="22"/>
          <w:szCs w:val="22"/>
          <w:lang w:val="en-CA" w:eastAsia="zh-CN"/>
        </w:rPr>
        <w:t>3</w:t>
      </w:r>
    </w:p>
    <w:bookmarkEnd w:id="3"/>
    <w:p w14:paraId="542CCE73" w14:textId="6B4AC929" w:rsidR="001B7A53" w:rsidRPr="001B7A53" w:rsidRDefault="001B7A53" w:rsidP="001B7A53">
      <w:pPr>
        <w:pStyle w:val="Reference"/>
        <w:rPr>
          <w:sz w:val="22"/>
          <w:lang w:val="en-CA"/>
        </w:rPr>
      </w:pPr>
      <w:r w:rsidRPr="001B7A53">
        <w:rPr>
          <w:lang w:val="en-CA"/>
        </w:rPr>
        <w:t xml:space="preserve">M. </w:t>
      </w:r>
      <w:proofErr w:type="spellStart"/>
      <w:r w:rsidRPr="001B7A53">
        <w:rPr>
          <w:szCs w:val="22"/>
          <w:lang w:val="en-CA"/>
        </w:rPr>
        <w:t>Karczewicz</w:t>
      </w:r>
      <w:proofErr w:type="spellEnd"/>
      <w:r w:rsidRPr="001B7A53">
        <w:rPr>
          <w:lang w:val="en-CA"/>
        </w:rPr>
        <w:t>, and Y. Ye, “Common test conditions and evaluation procedures for enhanced compression tool testing,” JVET-Y2017, by teleconference, January 2022.</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F1F05" w14:textId="77777777" w:rsidR="000C07D4" w:rsidRDefault="000C07D4">
      <w:r>
        <w:separator/>
      </w:r>
    </w:p>
  </w:endnote>
  <w:endnote w:type="continuationSeparator" w:id="0">
    <w:p w14:paraId="17A2EA98" w14:textId="77777777" w:rsidR="000C07D4" w:rsidRDefault="000C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34825B26"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1049B">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DC5AA7">
      <w:rPr>
        <w:rStyle w:val="a5"/>
        <w:noProof/>
      </w:rPr>
      <w:t>2022-10-23</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4CF8A" w14:textId="77777777" w:rsidR="000C07D4" w:rsidRDefault="000C07D4">
      <w:r>
        <w:separator/>
      </w:r>
    </w:p>
  </w:footnote>
  <w:footnote w:type="continuationSeparator" w:id="0">
    <w:p w14:paraId="1B934E75" w14:textId="77777777" w:rsidR="000C07D4" w:rsidRDefault="000C0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7D4"/>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5A25"/>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40882"/>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8757D"/>
    <w:rsid w:val="00390C69"/>
    <w:rsid w:val="00393C1D"/>
    <w:rsid w:val="00396674"/>
    <w:rsid w:val="00396869"/>
    <w:rsid w:val="003A2D8E"/>
    <w:rsid w:val="003B0150"/>
    <w:rsid w:val="003B5968"/>
    <w:rsid w:val="003C20E4"/>
    <w:rsid w:val="003C2D35"/>
    <w:rsid w:val="003D44CA"/>
    <w:rsid w:val="003D64E4"/>
    <w:rsid w:val="003E6F90"/>
    <w:rsid w:val="003E77C8"/>
    <w:rsid w:val="003F2487"/>
    <w:rsid w:val="003F30F6"/>
    <w:rsid w:val="003F5D0F"/>
    <w:rsid w:val="003F67E2"/>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1E37"/>
    <w:rsid w:val="004A2A63"/>
    <w:rsid w:val="004B210C"/>
    <w:rsid w:val="004B7923"/>
    <w:rsid w:val="004B7BD1"/>
    <w:rsid w:val="004D405F"/>
    <w:rsid w:val="004E4F4F"/>
    <w:rsid w:val="004E6789"/>
    <w:rsid w:val="004F06D9"/>
    <w:rsid w:val="004F61E3"/>
    <w:rsid w:val="005009A1"/>
    <w:rsid w:val="00500EBA"/>
    <w:rsid w:val="005066F2"/>
    <w:rsid w:val="0051015C"/>
    <w:rsid w:val="005145F1"/>
    <w:rsid w:val="00515964"/>
    <w:rsid w:val="00516CF1"/>
    <w:rsid w:val="0052230E"/>
    <w:rsid w:val="005251C9"/>
    <w:rsid w:val="00525D9E"/>
    <w:rsid w:val="00531AE9"/>
    <w:rsid w:val="00534752"/>
    <w:rsid w:val="005426BD"/>
    <w:rsid w:val="00546767"/>
    <w:rsid w:val="00550A66"/>
    <w:rsid w:val="00552E75"/>
    <w:rsid w:val="005646EB"/>
    <w:rsid w:val="005659B1"/>
    <w:rsid w:val="00567530"/>
    <w:rsid w:val="00567EC7"/>
    <w:rsid w:val="00570013"/>
    <w:rsid w:val="00571536"/>
    <w:rsid w:val="00573026"/>
    <w:rsid w:val="0057768D"/>
    <w:rsid w:val="005801A2"/>
    <w:rsid w:val="00584FB1"/>
    <w:rsid w:val="00593120"/>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D6A59"/>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270"/>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0FAC"/>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C5AA7"/>
    <w:rsid w:val="00DD579C"/>
    <w:rsid w:val="00DD680A"/>
    <w:rsid w:val="00DE11A4"/>
    <w:rsid w:val="00DE6B43"/>
    <w:rsid w:val="00DF2B69"/>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049B"/>
    <w:rsid w:val="00F179C8"/>
    <w:rsid w:val="00F2548D"/>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10">
    <w:name w:val="未处理的提及1"/>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表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5016955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1136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B6BA-6345-4D5B-B441-D55351DF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2</Pages>
  <Words>367</Words>
  <Characters>2097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2460</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33</cp:revision>
  <cp:lastPrinted>2015-07-13T13:11:00Z</cp:lastPrinted>
  <dcterms:created xsi:type="dcterms:W3CDTF">2021-11-23T20:48:00Z</dcterms:created>
  <dcterms:modified xsi:type="dcterms:W3CDTF">2023-01-16T12:54:00Z</dcterms:modified>
</cp:coreProperties>
</file>