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D182F" w:rsidRPr="00B6759E" w14:paraId="54CDC638" w14:textId="77777777" w:rsidTr="00D20817">
        <w:tc>
          <w:tcPr>
            <w:tcW w:w="6300" w:type="dxa"/>
          </w:tcPr>
          <w:p w14:paraId="3355962A" w14:textId="77777777" w:rsidR="00FD182F" w:rsidRPr="00B6759E" w:rsidRDefault="00FD182F" w:rsidP="00D2081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EE472EC" wp14:editId="4D19A89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1F2E15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C6689FD" wp14:editId="34C8B1E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125D186D" wp14:editId="187EC1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14:paraId="756E929C" w14:textId="77777777" w:rsidR="00FD182F" w:rsidRPr="00B6759E" w:rsidRDefault="00FD182F" w:rsidP="00D2081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DFB6435" w14:textId="77777777" w:rsidR="00FD182F" w:rsidRPr="00B6759E" w:rsidRDefault="00FD182F" w:rsidP="00D2081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>
              <w:rPr>
                <w:rFonts w:hint="eastAsia"/>
                <w:lang w:val="en-CA" w:eastAsia="zh-CN"/>
              </w:rPr>
              <w:t>11</w:t>
            </w:r>
            <w:r>
              <w:rPr>
                <w:lang w:val="en-CA"/>
              </w:rPr>
              <w:t>–2</w:t>
            </w:r>
            <w:r>
              <w:rPr>
                <w:rFonts w:hint="eastAsia"/>
                <w:lang w:val="en-CA" w:eastAsia="zh-CN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3060" w:type="dxa"/>
          </w:tcPr>
          <w:p w14:paraId="204010B5" w14:textId="6CDA332F" w:rsidR="00FD182F" w:rsidRPr="00B6759E" w:rsidRDefault="00FD182F" w:rsidP="00D20817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</w:t>
            </w:r>
            <w:r>
              <w:rPr>
                <w:rFonts w:hint="eastAsia"/>
                <w:lang w:val="en-CA" w:eastAsia="zh-CN"/>
              </w:rPr>
              <w:t>AC</w:t>
            </w:r>
            <w:r>
              <w:rPr>
                <w:lang w:val="en-CA" w:eastAsia="zh-CN"/>
              </w:rPr>
              <w:t>0097-v</w:t>
            </w:r>
            <w:r w:rsidR="00DD207C">
              <w:rPr>
                <w:lang w:val="en-CA" w:eastAsia="zh-CN"/>
              </w:rPr>
              <w:t>2</w:t>
            </w:r>
          </w:p>
        </w:tc>
      </w:tr>
    </w:tbl>
    <w:p w14:paraId="753A43B5" w14:textId="77777777" w:rsidR="00FD182F" w:rsidRPr="00B6759E" w:rsidRDefault="00FD182F" w:rsidP="00FD182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D182F" w:rsidRPr="00781FAD" w14:paraId="3D2C3030" w14:textId="77777777" w:rsidTr="00D20817">
        <w:tc>
          <w:tcPr>
            <w:tcW w:w="1458" w:type="dxa"/>
          </w:tcPr>
          <w:p w14:paraId="57447023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78ED271" w14:textId="77777777" w:rsidR="00FD182F" w:rsidRPr="00B6759E" w:rsidRDefault="00FD182F" w:rsidP="00D2081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Non-EE2: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SGPM combined with IntraTMP</w:t>
            </w:r>
          </w:p>
        </w:tc>
      </w:tr>
      <w:tr w:rsidR="00FD182F" w:rsidRPr="00B6759E" w14:paraId="1ED30D1E" w14:textId="77777777" w:rsidTr="00D20817">
        <w:tc>
          <w:tcPr>
            <w:tcW w:w="1458" w:type="dxa"/>
          </w:tcPr>
          <w:p w14:paraId="63417415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0F30E1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FD182F" w:rsidRPr="00B6759E" w14:paraId="026C22B9" w14:textId="77777777" w:rsidTr="00D20817">
        <w:tc>
          <w:tcPr>
            <w:tcW w:w="1458" w:type="dxa"/>
          </w:tcPr>
          <w:p w14:paraId="21AB0886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72C13D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FD182F" w:rsidRPr="00B6759E" w14:paraId="7C8FDC8C" w14:textId="77777777" w:rsidTr="00D20817">
        <w:tc>
          <w:tcPr>
            <w:tcW w:w="1458" w:type="dxa"/>
          </w:tcPr>
          <w:p w14:paraId="097CB35B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95A9E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szCs w:val="22"/>
                <w:lang w:val="en-CA" w:eastAsia="zh-CN"/>
              </w:rPr>
              <w:t>Cheng Fang</w:t>
            </w:r>
            <w:r w:rsidRPr="00B6759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Pr="00B6759E">
              <w:rPr>
                <w:szCs w:val="22"/>
                <w:lang w:val="en-CA"/>
              </w:rPr>
              <w:t>Dong Jiang</w:t>
            </w:r>
            <w:r>
              <w:rPr>
                <w:rFonts w:hint="eastAsia"/>
                <w:szCs w:val="22"/>
                <w:lang w:val="en-CA" w:eastAsia="zh-CN"/>
              </w:rPr>
              <w:t>，</w:t>
            </w:r>
            <w:r w:rsidRPr="00B6759E">
              <w:rPr>
                <w:szCs w:val="22"/>
                <w:lang w:val="en-CA"/>
              </w:rPr>
              <w:t>Jucai Lin</w:t>
            </w:r>
            <w:r>
              <w:rPr>
                <w:szCs w:val="22"/>
                <w:lang w:val="en-CA" w:eastAsia="zh-CN"/>
              </w:rPr>
              <w:t>, Xue Zhang</w:t>
            </w:r>
          </w:p>
        </w:tc>
        <w:tc>
          <w:tcPr>
            <w:tcW w:w="900" w:type="dxa"/>
          </w:tcPr>
          <w:p w14:paraId="6C161E7A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9C1D07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2B126A97" w14:textId="77777777" w:rsidR="00FD182F" w:rsidRPr="00C36856" w:rsidRDefault="00000000" w:rsidP="00D2081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0" w:history="1">
              <w:r w:rsidR="00FD182F"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="00FD182F" w:rsidRPr="00B6759E">
                <w:rPr>
                  <w:rStyle w:val="a8"/>
                  <w:szCs w:val="22"/>
                  <w:lang w:val="en-CA"/>
                </w:rPr>
                <w:t>@</w:t>
              </w:r>
              <w:r w:rsidR="00FD182F"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="00FD182F"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FD182F" w:rsidRPr="00B6759E" w14:paraId="5A3EB3F6" w14:textId="77777777" w:rsidTr="00D20817">
        <w:tc>
          <w:tcPr>
            <w:tcW w:w="1458" w:type="dxa"/>
          </w:tcPr>
          <w:p w14:paraId="360CE1D1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73FEB9D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328ABA9C" w14:textId="77777777" w:rsidR="00FD182F" w:rsidRPr="00B6759E" w:rsidRDefault="00FD182F" w:rsidP="00FD18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0F25CF23" w14:textId="77777777" w:rsidR="00FD182F" w:rsidRPr="00B6759E" w:rsidRDefault="00FD182F" w:rsidP="00FD182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38882ABC" w14:textId="77777777" w:rsidR="00FD182F" w:rsidRDefault="00FD182F" w:rsidP="00FD182F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introduces IntraTMP to the SGPM design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this method, </w:t>
      </w:r>
      <w:r>
        <w:rPr>
          <w:rFonts w:hint="eastAsia"/>
          <w:lang w:val="en-CA" w:eastAsia="zh-CN"/>
        </w:rPr>
        <w:t xml:space="preserve">the two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not only use intra prediction modes, but also use IntraTMP mode</w:t>
      </w:r>
      <w:r>
        <w:rPr>
          <w:lang w:val="en-CA" w:eastAsia="zh-CN"/>
        </w:rPr>
        <w:t xml:space="preserve">. The proposed method was implemented 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ECM-</w:t>
      </w:r>
      <w:r>
        <w:rPr>
          <w:rFonts w:hint="eastAsia"/>
          <w:lang w:val="en-CA" w:eastAsia="zh-CN"/>
        </w:rPr>
        <w:t>7</w:t>
      </w:r>
      <w:r>
        <w:rPr>
          <w:lang w:val="en-CA" w:eastAsia="zh-CN"/>
        </w:rPr>
        <w:t>.0, it reportedly provides {Y, U, V} BD-rate reduction with encoder and decoder runtimes as follows:</w:t>
      </w:r>
    </w:p>
    <w:p w14:paraId="5ADC50E7" w14:textId="1929A50E" w:rsidR="00FD182F" w:rsidRPr="00014660" w:rsidRDefault="00FD182F" w:rsidP="00FD182F">
      <w:pPr>
        <w:rPr>
          <w:lang w:val="en-CA" w:eastAsia="zh-CN"/>
        </w:rPr>
      </w:pPr>
      <w:r>
        <w:rPr>
          <w:lang w:val="en-CA" w:eastAsia="zh-CN"/>
        </w:rPr>
        <w:t xml:space="preserve">AI: </w:t>
      </w:r>
      <w:r w:rsidR="00EB05D8">
        <w:rPr>
          <w:lang w:val="en-CA" w:eastAsia="zh-CN"/>
        </w:rPr>
        <w:t>-</w:t>
      </w:r>
      <w:r w:rsidR="00EB05D8">
        <w:rPr>
          <w:rFonts w:hint="eastAsia"/>
          <w:lang w:val="en-CA" w:eastAsia="zh-CN"/>
        </w:rPr>
        <w:t>0.04</w:t>
      </w:r>
      <w:r w:rsidR="00EB05D8">
        <w:rPr>
          <w:lang w:val="en-CA" w:eastAsia="zh-CN"/>
        </w:rPr>
        <w:t>%, -</w:t>
      </w:r>
      <w:r w:rsidR="00EB05D8">
        <w:rPr>
          <w:rFonts w:hint="eastAsia"/>
          <w:lang w:val="en-CA" w:eastAsia="zh-CN"/>
        </w:rPr>
        <w:t>0.05</w:t>
      </w:r>
      <w:r w:rsidR="00EB05D8">
        <w:rPr>
          <w:lang w:val="en-CA" w:eastAsia="zh-CN"/>
        </w:rPr>
        <w:t>%, -</w:t>
      </w:r>
      <w:r w:rsidR="00EB05D8">
        <w:rPr>
          <w:rFonts w:hint="eastAsia"/>
          <w:lang w:val="en-CA" w:eastAsia="zh-CN"/>
        </w:rPr>
        <w:t>0.05</w:t>
      </w:r>
      <w:r w:rsidR="00EB05D8">
        <w:rPr>
          <w:lang w:val="en-CA" w:eastAsia="zh-CN"/>
        </w:rPr>
        <w:t xml:space="preserve">%, </w:t>
      </w:r>
      <w:r w:rsidR="00EB05D8">
        <w:rPr>
          <w:rFonts w:hint="eastAsia"/>
          <w:lang w:val="en-CA" w:eastAsia="zh-CN"/>
        </w:rPr>
        <w:t>102</w:t>
      </w:r>
      <w:r w:rsidR="00EB05D8">
        <w:rPr>
          <w:lang w:val="en-CA" w:eastAsia="zh-CN"/>
        </w:rPr>
        <w:t>% (EncT),</w:t>
      </w:r>
      <w:r w:rsidR="00EB05D8">
        <w:rPr>
          <w:rFonts w:hint="eastAsia"/>
          <w:lang w:val="en-CA" w:eastAsia="zh-CN"/>
        </w:rPr>
        <w:t xml:space="preserve"> 115</w:t>
      </w:r>
      <w:r w:rsidR="00EB05D8">
        <w:rPr>
          <w:lang w:val="en-CA" w:eastAsia="zh-CN"/>
        </w:rPr>
        <w:t>% (DecT)</w:t>
      </w:r>
    </w:p>
    <w:p w14:paraId="51188941" w14:textId="77777777" w:rsidR="00FD182F" w:rsidRDefault="00FD182F" w:rsidP="00FD182F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5566C90" w14:textId="77777777" w:rsidR="00FD182F" w:rsidRDefault="00FD182F" w:rsidP="00FD182F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ECM</w:t>
      </w:r>
      <w:r>
        <w:rPr>
          <w:lang w:val="en-CA" w:eastAsia="zh-CN"/>
        </w:rPr>
        <w:t>-</w:t>
      </w:r>
      <w:r>
        <w:rPr>
          <w:rFonts w:hint="eastAsia"/>
          <w:lang w:val="en-CA" w:eastAsia="zh-CN"/>
        </w:rPr>
        <w:t>7</w:t>
      </w:r>
      <w:r>
        <w:rPr>
          <w:lang w:val="en-CA" w:eastAsia="zh-CN"/>
        </w:rPr>
        <w:t>.0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_Ref116313760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the Spatial GPM method was adopted to intra</w:t>
      </w:r>
      <w:r>
        <w:rPr>
          <w:lang w:val="en-CA" w:eastAsia="zh-CN"/>
        </w:rPr>
        <w:t xml:space="preserve"> prediction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lang w:val="en-CA"/>
        </w:rPr>
        <w:t>SGPM consists of one partition mode and two associated intra prediction modes</w:t>
      </w:r>
      <w:r>
        <w:rPr>
          <w:rFonts w:hint="eastAsia"/>
          <w:lang w:val="en-CA" w:eastAsia="zh-CN"/>
        </w:rPr>
        <w:t xml:space="preserve"> for two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blocks.</w:t>
      </w:r>
      <w:r w:rsidRPr="00D63F37">
        <w:rPr>
          <w:lang w:val="en-CA"/>
        </w:rPr>
        <w:t xml:space="preserve"> </w:t>
      </w:r>
      <w:r>
        <w:rPr>
          <w:lang w:val="en-CA"/>
        </w:rPr>
        <w:t>To express the necessary partition and prediction information more efficiently in the bit-stream, a candidate list is employed and only the candidate index is signaled in the bit-stream. Each candidate in the list can derive a combination of one partition mode and two intra prediction modes</w:t>
      </w:r>
      <w:r>
        <w:rPr>
          <w:rFonts w:hint="eastAsia"/>
          <w:lang w:val="en-CA" w:eastAsia="zh-CN"/>
        </w:rPr>
        <w:t>.</w:t>
      </w:r>
      <w:r w:rsidRPr="00BF05BE">
        <w:rPr>
          <w:lang w:val="en-CA"/>
        </w:rPr>
        <w:t xml:space="preserve"> </w:t>
      </w:r>
      <w:r w:rsidRPr="0038170A">
        <w:rPr>
          <w:lang w:val="en-CA"/>
        </w:rPr>
        <w:t>The length of the candidate list</w:t>
      </w:r>
      <w:r>
        <w:rPr>
          <w:lang w:val="en-CA"/>
        </w:rPr>
        <w:t xml:space="preserve"> of combinations</w:t>
      </w:r>
      <w:r w:rsidRPr="0038170A">
        <w:rPr>
          <w:lang w:val="en-CA"/>
        </w:rPr>
        <w:t xml:space="preserve"> is set equal to 16</w:t>
      </w:r>
      <w:r>
        <w:rPr>
          <w:rFonts w:hint="eastAsia"/>
          <w:lang w:val="en-CA" w:eastAsia="zh-CN"/>
        </w:rPr>
        <w:t>.</w:t>
      </w:r>
    </w:p>
    <w:p w14:paraId="4F8FA402" w14:textId="77777777" w:rsidR="00FD182F" w:rsidRDefault="00FD182F" w:rsidP="00FD182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SGPM, there are 26 partition modes. </w:t>
      </w:r>
      <w:r>
        <w:rPr>
          <w:lang w:val="en-CA" w:eastAsia="zh-CN"/>
        </w:rPr>
        <w:t>For each partition mode, an IPM list is derived for each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geometric </w:t>
      </w:r>
      <w:r>
        <w:rPr>
          <w:rFonts w:hint="eastAsia"/>
          <w:lang w:val="en-CA" w:eastAsia="zh-CN"/>
        </w:rPr>
        <w:t>block</w:t>
      </w:r>
      <w:r>
        <w:rPr>
          <w:lang w:val="en-CA" w:eastAsia="zh-CN"/>
        </w:rPr>
        <w:t>. The IPM list size is 3</w:t>
      </w:r>
      <w:r>
        <w:rPr>
          <w:rFonts w:hint="eastAsia"/>
          <w:lang w:val="en-CA" w:eastAsia="zh-CN"/>
        </w:rPr>
        <w:t>. The two intra prediction modes are selected from the IPM list.</w:t>
      </w:r>
    </w:p>
    <w:p w14:paraId="5493B672" w14:textId="77777777" w:rsidR="00FD182F" w:rsidRDefault="00FD182F" w:rsidP="00FD182F">
      <w:pPr>
        <w:rPr>
          <w:lang w:val="en-CA" w:eastAsia="zh-CN"/>
        </w:rPr>
      </w:pPr>
      <w:r>
        <w:rPr>
          <w:lang w:val="en-CA"/>
        </w:rPr>
        <w:t xml:space="preserve">A </w:t>
      </w:r>
      <w:r>
        <w:rPr>
          <w:rFonts w:hint="eastAsia"/>
          <w:lang w:val="en-CA" w:eastAsia="zh-CN"/>
        </w:rPr>
        <w:t xml:space="preserve">one line </w:t>
      </w:r>
      <w:r>
        <w:rPr>
          <w:lang w:val="en-CA"/>
        </w:rPr>
        <w:t>template is used to generate this candidate list.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 For each possible combination of one partition mode and two intra prediction modes</w:t>
      </w:r>
      <w:r>
        <w:rPr>
          <w:rFonts w:hint="eastAsia"/>
          <w:lang w:val="en-CA" w:eastAsia="zh-CN"/>
        </w:rPr>
        <w:t xml:space="preserve"> from the IPM list</w:t>
      </w:r>
      <w:r>
        <w:rPr>
          <w:lang w:val="en-CA"/>
        </w:rPr>
        <w:t>, a prediction is generated for the template with the partitioning weight extended to the template. These combinations are ranked in a</w:t>
      </w:r>
      <w:r w:rsidRPr="008E1BD1">
        <w:rPr>
          <w:lang w:val="en-CA"/>
        </w:rPr>
        <w:t>scending order</w:t>
      </w:r>
      <w:r>
        <w:rPr>
          <w:lang w:val="en-CA"/>
        </w:rPr>
        <w:t xml:space="preserve"> of their SATD between the prediction and reconstruction of the template. </w:t>
      </w:r>
    </w:p>
    <w:p w14:paraId="41CB0576" w14:textId="77777777" w:rsidR="00FD182F" w:rsidRPr="004E36B3" w:rsidRDefault="00FD182F" w:rsidP="00FD182F">
      <w:pPr>
        <w:rPr>
          <w:lang w:val="en-CA" w:eastAsia="zh-CN"/>
        </w:rPr>
      </w:pPr>
    </w:p>
    <w:p w14:paraId="249D55BD" w14:textId="77777777" w:rsidR="00FD182F" w:rsidRDefault="00FD182F" w:rsidP="00FD182F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42EEED48" w14:textId="77777777" w:rsidR="00FD182F" w:rsidRDefault="00FD182F" w:rsidP="00FD182F">
      <w:pPr>
        <w:rPr>
          <w:lang w:val="en-CA" w:eastAsia="zh-CN"/>
        </w:rPr>
      </w:pPr>
      <w:r>
        <w:rPr>
          <w:lang w:eastAsia="zh-CN"/>
        </w:rPr>
        <w:t>In this contribution,</w:t>
      </w:r>
      <w:r>
        <w:rPr>
          <w:rFonts w:hint="eastAsia"/>
          <w:lang w:eastAsia="zh-CN"/>
        </w:rPr>
        <w:t xml:space="preserve"> we </w:t>
      </w:r>
      <w:r>
        <w:rPr>
          <w:rFonts w:hint="eastAsia"/>
          <w:lang w:val="en-CA" w:eastAsia="zh-CN"/>
        </w:rPr>
        <w:t>introduce IntraTMP to the SGPM design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One of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use IntraTMP to do the prediction, but we only apply IntraTMP to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 which has more  corresponding template pixels, as shown in Fig.1.</w:t>
      </w:r>
    </w:p>
    <w:p w14:paraId="6311B0C8" w14:textId="77777777" w:rsidR="00FD182F" w:rsidRDefault="00FD182F" w:rsidP="00FD182F">
      <w:pPr>
        <w:jc w:val="center"/>
        <w:rPr>
          <w:lang w:val="en-CA" w:eastAsia="zh-CN"/>
        </w:rPr>
      </w:pPr>
      <w:r>
        <w:object w:dxaOrig="5158" w:dyaOrig="5725" w14:anchorId="709F88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pt;height:215.25pt" o:ole="">
            <v:imagedata r:id="rId11" o:title=""/>
          </v:shape>
          <o:OLEObject Type="Embed" ProgID="Visio.Drawing.11" ShapeID="_x0000_i1025" DrawAspect="Content" ObjectID="_1734970163" r:id="rId12"/>
        </w:object>
      </w:r>
    </w:p>
    <w:p w14:paraId="38B7C964" w14:textId="77777777" w:rsidR="00FD182F" w:rsidRDefault="00FD182F" w:rsidP="00FD182F">
      <w:pPr>
        <w:pStyle w:val="FIG"/>
        <w:rPr>
          <w:lang w:val="en-CA"/>
        </w:rPr>
      </w:pPr>
      <w:r>
        <w:rPr>
          <w:rFonts w:eastAsiaTheme="minorEastAsia" w:hint="eastAsia"/>
          <w:lang w:val="en-CA"/>
        </w:rPr>
        <w:t>SGPM combined with IntraTMP</w:t>
      </w:r>
    </w:p>
    <w:p w14:paraId="7DB5C7E8" w14:textId="77777777" w:rsidR="00FD182F" w:rsidRPr="000D40E2" w:rsidRDefault="00FD182F" w:rsidP="00FD182F">
      <w:pPr>
        <w:rPr>
          <w:lang w:val="en-CA" w:eastAsia="zh-CN"/>
        </w:rPr>
      </w:pPr>
      <w:r>
        <w:rPr>
          <w:rFonts w:hint="eastAsia"/>
          <w:lang w:val="en-CA" w:eastAsia="zh-CN"/>
        </w:rPr>
        <w:t>Since the IntraTMP mode is added, the number of possible combination also increases by 1*3*26=78. These additional 78 combinations only join the template rank process, so the candidate list length is still 16. So n</w:t>
      </w:r>
      <w:r w:rsidRPr="003848AE">
        <w:rPr>
          <w:lang w:val="en-CA" w:eastAsia="zh-CN"/>
        </w:rPr>
        <w:t>o additional syntax elements are required</w:t>
      </w:r>
      <w:r>
        <w:rPr>
          <w:rFonts w:hint="eastAsia"/>
          <w:lang w:val="en-CA" w:eastAsia="zh-CN"/>
        </w:rPr>
        <w:t>.</w:t>
      </w:r>
    </w:p>
    <w:p w14:paraId="41C31388" w14:textId="77777777" w:rsidR="00FD182F" w:rsidRDefault="00FD182F" w:rsidP="00FD182F">
      <w:pPr>
        <w:rPr>
          <w:lang w:val="en-CA" w:eastAsia="zh-CN"/>
        </w:rPr>
      </w:pPr>
    </w:p>
    <w:p w14:paraId="73D112CF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6CB7733" w14:textId="77777777" w:rsidR="00FD182F" w:rsidRPr="00B6759E" w:rsidRDefault="00FD182F" w:rsidP="00FD182F">
      <w:pPr>
        <w:rPr>
          <w:lang w:eastAsia="zh-CN"/>
        </w:rPr>
      </w:pPr>
      <w:r>
        <w:rPr>
          <w:lang w:eastAsia="zh-CN"/>
        </w:rPr>
        <w:t>The proposed method is tested on top of ECM-</w:t>
      </w:r>
      <w:r>
        <w:rPr>
          <w:rFonts w:hint="eastAsia"/>
          <w:lang w:eastAsia="zh-CN"/>
        </w:rPr>
        <w:t>7</w:t>
      </w:r>
      <w:r>
        <w:rPr>
          <w:lang w:eastAsia="zh-CN"/>
        </w:rPr>
        <w:t>.0 under the common test conditions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_Ref75786612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6A8BDDD" w14:textId="77777777" w:rsidR="00FD182F" w:rsidRDefault="00FD182F" w:rsidP="00FD182F">
      <w:pPr>
        <w:pStyle w:val="Table"/>
        <w:spacing w:before="120"/>
      </w:pPr>
      <w:bookmarkStart w:id="0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D182F" w:rsidRPr="00B50311" w14:paraId="2EA7169B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951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B4F1E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D182F" w:rsidRPr="00B50311" w14:paraId="660D8820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0795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EBFB6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D182F" w:rsidRPr="00B50311" w14:paraId="57320224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19C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CAB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D06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D82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265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ACE8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05D8" w:rsidRPr="00B50311" w14:paraId="2A097B4D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1252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09535" w14:textId="0B8FD09E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B553" w14:textId="2742F080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E4ED" w14:textId="4E1133B1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45A6" w14:textId="04F8FB4D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B93FF" w14:textId="5ECD5EF6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B05D8" w:rsidRPr="00B50311" w14:paraId="0D9782EA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0566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E62" w14:textId="07C0E0BB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D7C2" w14:textId="0D7A25DA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055F" w14:textId="220ACD5A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C376" w14:textId="1374AF2B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95751" w14:textId="7E70C44F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EB05D8" w:rsidRPr="00B50311" w14:paraId="34E923E7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FF3D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D6B6E" w14:textId="62BBF9C1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0B25" w14:textId="42BC3525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360C" w14:textId="103D833C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5F9F" w14:textId="142FB55A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23ADD" w14:textId="738519E3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EB05D8" w:rsidRPr="00B50311" w14:paraId="3094AE79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12E2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84A42" w14:textId="11E87C65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59E05" w14:textId="4C9F0214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E9B3" w14:textId="5524A6F0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16799" w14:textId="7D4F3F46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01DD1" w14:textId="5164E1B9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B05D8" w:rsidRPr="00B50311" w14:paraId="5EC6C004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1FBD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C6FF3" w14:textId="41D5782D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F9266" w14:textId="2B011E1B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13B8" w14:textId="663D0B4D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4A50" w14:textId="20479A66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E269" w14:textId="36CE86E1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B05D8" w:rsidRPr="00B50311" w14:paraId="6147828E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4C9F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52A34" w14:textId="2C1945DF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00CD" w14:textId="609A5793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B89A" w14:textId="1C1E7AE5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EB6CD" w14:textId="585D6A86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9B8E" w14:textId="12CC6D86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B05D8" w:rsidRPr="00B50311" w14:paraId="6F15EAA0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77FA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F64FF" w14:textId="58A58AAC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266CC" w14:textId="7C800784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89FD" w14:textId="53110F34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05559" w14:textId="06D3ABF1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71823" w14:textId="707F76E1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B05D8" w:rsidRPr="00B50311" w14:paraId="57CA5296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FC41" w14:textId="7777777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981477" w14:textId="650076B2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604AE" w14:textId="5DD671B0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4CF9" w14:textId="06D463C7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DBA40D" w14:textId="1D047FEB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17E61" w14:textId="50AC1DCE" w:rsidR="00EB05D8" w:rsidRPr="00B50311" w:rsidRDefault="00EB05D8" w:rsidP="00EB0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7CF2E5F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323298E0" w14:textId="77777777" w:rsidR="00FD182F" w:rsidRPr="00B6759E" w:rsidRDefault="00FD182F" w:rsidP="00FD182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>
        <w:rPr>
          <w:rFonts w:hint="eastAsia"/>
          <w:lang w:val="en-CA" w:eastAsia="zh-CN"/>
        </w:rPr>
        <w:t>introduces IntraTMP to the SGPM design</w:t>
      </w:r>
      <w:r>
        <w:rPr>
          <w:szCs w:val="22"/>
          <w:lang w:val="en-CA" w:eastAsia="zh-CN"/>
        </w:rPr>
        <w:t>. The results show that the proposed method can bring more coding gains.</w:t>
      </w:r>
    </w:p>
    <w:p w14:paraId="5A1FA336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0AC546A8" w14:textId="77777777" w:rsidR="00FD182F" w:rsidRDefault="00FD182F" w:rsidP="00FD182F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" w:name="_Ref116313760"/>
      <w:bookmarkStart w:id="2" w:name="_Ref52389065"/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>
        <w:rPr>
          <w:rFonts w:hint="eastAsia"/>
          <w:szCs w:val="22"/>
          <w:lang w:eastAsia="zh-CN"/>
        </w:rPr>
        <w:t>7</w:t>
      </w:r>
      <w:r>
        <w:rPr>
          <w:szCs w:val="22"/>
          <w:lang w:eastAsia="zh-CN"/>
        </w:rPr>
        <w:t xml:space="preserve">.0, </w:t>
      </w:r>
      <w:hyperlink r:id="rId13" w:history="1">
        <w:r w:rsidRPr="00AB4C64">
          <w:rPr>
            <w:rStyle w:val="a8"/>
            <w:szCs w:val="22"/>
            <w:lang w:eastAsia="zh-CN"/>
          </w:rPr>
          <w:t>https://vcgit.hhi.fraunhofer.de/ecm/ECM/-/tree/ECM-</w:t>
        </w:r>
        <w:r>
          <w:rPr>
            <w:rStyle w:val="a8"/>
            <w:rFonts w:hint="eastAsia"/>
            <w:szCs w:val="22"/>
            <w:lang w:eastAsia="zh-CN"/>
          </w:rPr>
          <w:t>7</w:t>
        </w:r>
        <w:r w:rsidRPr="00AB4C64">
          <w:rPr>
            <w:rStyle w:val="a8"/>
            <w:szCs w:val="22"/>
            <w:lang w:eastAsia="zh-CN"/>
          </w:rPr>
          <w:t>.0</w:t>
        </w:r>
      </w:hyperlink>
      <w:r>
        <w:rPr>
          <w:szCs w:val="22"/>
          <w:lang w:eastAsia="zh-CN"/>
        </w:rPr>
        <w:t>.</w:t>
      </w:r>
      <w:bookmarkEnd w:id="1"/>
    </w:p>
    <w:p w14:paraId="4D344E0F" w14:textId="77777777" w:rsidR="00FD182F" w:rsidRPr="00F601F1" w:rsidRDefault="00FD182F" w:rsidP="00FD182F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3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3"/>
    </w:p>
    <w:bookmarkEnd w:id="2"/>
    <w:p w14:paraId="6AA363AC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lang w:val="en-CA"/>
        </w:rPr>
        <w:lastRenderedPageBreak/>
        <w:t>Patent rights declaration(s)</w:t>
      </w:r>
    </w:p>
    <w:p w14:paraId="1933AF9A" w14:textId="77777777" w:rsidR="00FD182F" w:rsidRPr="00651496" w:rsidRDefault="00FD182F" w:rsidP="00FD182F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80E2D0A" w14:textId="77777777" w:rsidR="00D8662C" w:rsidRPr="00FD182F" w:rsidRDefault="00D8662C">
      <w:pPr>
        <w:rPr>
          <w:lang w:val="en-CA"/>
        </w:rPr>
      </w:pPr>
    </w:p>
    <w:sectPr w:rsidR="00D8662C" w:rsidRPr="00FD182F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1B150" w14:textId="77777777" w:rsidR="00EF19BE" w:rsidRDefault="00EF19BE">
      <w:pPr>
        <w:spacing w:before="0"/>
      </w:pPr>
      <w:r>
        <w:separator/>
      </w:r>
    </w:p>
  </w:endnote>
  <w:endnote w:type="continuationSeparator" w:id="0">
    <w:p w14:paraId="767782C8" w14:textId="77777777" w:rsidR="00EF19BE" w:rsidRDefault="00EF19B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53EC" w14:textId="77777777" w:rsidR="00C010C8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225D" w14:textId="04781698" w:rsidR="005C1BE7" w:rsidRPr="00C00DDE" w:rsidRDefault="00000000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3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DD207C">
      <w:rPr>
        <w:rStyle w:val="a7"/>
        <w:noProof/>
      </w:rPr>
      <w:t>2023-01-11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7C53" w14:textId="77777777" w:rsidR="00C010C8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954A9" w14:textId="77777777" w:rsidR="00EF19BE" w:rsidRDefault="00EF19BE">
      <w:pPr>
        <w:spacing w:before="0"/>
      </w:pPr>
      <w:r>
        <w:separator/>
      </w:r>
    </w:p>
  </w:footnote>
  <w:footnote w:type="continuationSeparator" w:id="0">
    <w:p w14:paraId="4A5A1B61" w14:textId="77777777" w:rsidR="00EF19BE" w:rsidRDefault="00EF19B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F1108" w14:textId="77777777" w:rsidR="00C010C8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77CB" w14:textId="064071F3" w:rsidR="00966281" w:rsidRDefault="00FD182F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D5E6AB" wp14:editId="0B02D20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72465"/>
              <wp:effectExtent l="0" t="2847975" r="0" b="2785110"/>
              <wp:wrapNone/>
              <wp:docPr id="25" name="文本框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72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6EE17FD" w14:textId="77777777" w:rsidR="00FD182F" w:rsidRDefault="00FD182F" w:rsidP="00FD182F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41443  da hua  2023-01-07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5E6AB"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left:0;text-align:left;margin-left:0;margin-top:0;width:661.85pt;height:52.95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" filled="f" stroked="f">
              <v:stroke joinstyle="round"/>
              <o:lock v:ext="edit" aspectratio="t" shapetype="t"/>
              <v:textbox style="mso-fit-shape-to-text:t">
                <w:txbxContent>
                  <w:p w14:paraId="26EE17FD" w14:textId="77777777" w:rsidR="00FD182F" w:rsidRDefault="00FD182F" w:rsidP="00FD182F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41443  da hua  2023-01-07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797D" w14:textId="77777777" w:rsidR="00C010C8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4372928">
    <w:abstractNumId w:val="1"/>
  </w:num>
  <w:num w:numId="2" w16cid:durableId="2045784526">
    <w:abstractNumId w:val="2"/>
  </w:num>
  <w:num w:numId="3" w16cid:durableId="1625235580">
    <w:abstractNumId w:val="0"/>
  </w:num>
  <w:num w:numId="4" w16cid:durableId="1609893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82F"/>
    <w:rsid w:val="00D46278"/>
    <w:rsid w:val="00D8662C"/>
    <w:rsid w:val="00DD207C"/>
    <w:rsid w:val="00EB05D8"/>
    <w:rsid w:val="00EF19BE"/>
    <w:rsid w:val="00FD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21C06"/>
  <w15:chartTrackingRefBased/>
  <w15:docId w15:val="{0ECA6CB0-A035-4E45-976A-B884612E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8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D182F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82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182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182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FD182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FD182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FD182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FD182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D182F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FD182F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FD182F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FD182F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FD182F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FD182F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D182F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FD182F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FD182F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FD182F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FD182F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FD182F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FD182F"/>
  </w:style>
  <w:style w:type="character" w:styleId="a8">
    <w:name w:val="Hyperlink"/>
    <w:rsid w:val="00FD182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D182F"/>
    <w:pPr>
      <w:ind w:firstLineChars="200" w:firstLine="420"/>
    </w:pPr>
  </w:style>
  <w:style w:type="paragraph" w:customStyle="1" w:styleId="FIG">
    <w:name w:val="FIG"/>
    <w:basedOn w:val="a"/>
    <w:next w:val="a"/>
    <w:qFormat/>
    <w:rsid w:val="00FD182F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FD182F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uiPriority w:val="99"/>
    <w:semiHidden/>
    <w:unhideWhenUsed/>
    <w:rsid w:val="00FD182F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FD182F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6.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lin_jucai@dahuatech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3</cp:revision>
  <dcterms:created xsi:type="dcterms:W3CDTF">2023-01-07T09:15:00Z</dcterms:created>
  <dcterms:modified xsi:type="dcterms:W3CDTF">2023-01-11T11:23:00Z</dcterms:modified>
</cp:coreProperties>
</file>