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bookmarkStart w:id="9" w:name="_GoBack"/>
            <w:r>
              <w:rPr>
                <w:b/>
                <w:szCs w:val="22"/>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4445" t="0" r="17145" b="508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bookmarkEnd w:id="9"/>
            <w:r>
              <w:rPr>
                <w:b/>
                <w:szCs w:val="22"/>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11430" b="12065"/>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10160" b="12065"/>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t>28th Meeting</w:t>
            </w:r>
            <w:r>
              <w:rPr>
                <w:lang w:val="en-CA"/>
              </w:rPr>
              <w:t>, Mainz, DE, 20–28 October 2022</w:t>
            </w:r>
          </w:p>
        </w:tc>
        <w:tc>
          <w:tcPr>
            <w:tcW w:w="3060" w:type="dxa"/>
          </w:tcPr>
          <w:p>
            <w:pPr>
              <w:tabs>
                <w:tab w:val="left" w:pos="7200"/>
              </w:tabs>
              <w:rPr>
                <w:u w:val="single"/>
                <w:lang w:val="en-CA"/>
              </w:rPr>
            </w:pPr>
            <w:r>
              <w:rPr>
                <w:lang w:val="en-CA"/>
              </w:rPr>
              <w:t>Document: JVET-</w:t>
            </w:r>
            <w:r>
              <w:rPr>
                <w:rFonts w:hint="eastAsia"/>
                <w:lang w:val="en-US" w:eastAsia="zh-CN"/>
              </w:rPr>
              <w:t>AB0108</w:t>
            </w:r>
            <w:r>
              <w:rPr>
                <w:lang w:val="en-CA"/>
              </w:rPr>
              <w:t>-v1</w:t>
            </w:r>
          </w:p>
        </w:tc>
      </w:tr>
    </w:tbl>
    <w:p>
      <w:pPr>
        <w:spacing w:before="0"/>
        <w:rPr>
          <w:lang w:val="en-CA"/>
        </w:rPr>
      </w:pPr>
    </w:p>
    <w:tbl>
      <w:tblPr>
        <w:tblStyle w:val="9"/>
        <w:tblW w:w="0" w:type="auto"/>
        <w:tblInd w:w="0" w:type="dxa"/>
        <w:tblLayout w:type="fixed"/>
        <w:tblCellMar>
          <w:top w:w="0" w:type="dxa"/>
          <w:left w:w="108" w:type="dxa"/>
          <w:bottom w:w="0" w:type="dxa"/>
          <w:right w:w="108" w:type="dxa"/>
        </w:tblCellMar>
      </w:tblPr>
      <w:tblGrid>
        <w:gridCol w:w="1458"/>
        <w:gridCol w:w="3942"/>
        <w:gridCol w:w="837"/>
        <w:gridCol w:w="3123"/>
      </w:tblGrid>
      <w:tr>
        <w:tblPrEx>
          <w:tblCellMar>
            <w:top w:w="0" w:type="dxa"/>
            <w:left w:w="108" w:type="dxa"/>
            <w:bottom w:w="0" w:type="dxa"/>
            <w:right w:w="108" w:type="dxa"/>
          </w:tblCellMar>
        </w:tblPrEx>
        <w:trPr>
          <w:trHeight w:val="90" w:hRule="atLeast"/>
        </w:trPr>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eastAsia="zh-CN"/>
              </w:rPr>
            </w:pPr>
            <w:r>
              <w:rPr>
                <w:rFonts w:hint="eastAsia"/>
                <w:b/>
                <w:szCs w:val="22"/>
                <w:highlight w:val="none"/>
                <w:lang w:val="en-CA"/>
              </w:rPr>
              <w:t>AHG1</w:t>
            </w:r>
            <w:r>
              <w:rPr>
                <w:b/>
                <w:szCs w:val="22"/>
                <w:highlight w:val="none"/>
                <w:lang w:val="en-CA"/>
              </w:rPr>
              <w:t>1: ALF</w:t>
            </w:r>
            <w:r>
              <w:rPr>
                <w:rFonts w:hint="eastAsia"/>
                <w:b/>
                <w:szCs w:val="22"/>
                <w:highlight w:val="none"/>
                <w:lang w:eastAsia="zh-CN"/>
              </w:rPr>
              <w:t>-</w:t>
            </w:r>
            <w:r>
              <w:rPr>
                <w:rFonts w:hint="eastAsia"/>
                <w:b/>
                <w:szCs w:val="22"/>
                <w:highlight w:val="none"/>
                <w:lang w:val="en-US" w:eastAsia="zh-CN"/>
              </w:rPr>
              <w:t>SPLIT</w:t>
            </w:r>
            <w:r>
              <w:rPr>
                <w:b/>
                <w:szCs w:val="22"/>
                <w:highlight w:val="none"/>
                <w:lang w:val="en-CA"/>
              </w:rPr>
              <w:t xml:space="preserve"> for </w:t>
            </w:r>
            <w:r>
              <w:rPr>
                <w:rFonts w:hint="eastAsia"/>
                <w:b/>
                <w:szCs w:val="22"/>
                <w:highlight w:val="none"/>
                <w:lang w:eastAsia="zh-CN"/>
              </w:rPr>
              <w:t>NCS2.0</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eastAsia="zh-CN"/>
              </w:rPr>
            </w:pPr>
            <w:r>
              <w:rPr>
                <w:i/>
                <w:szCs w:val="22"/>
                <w:lang w:val="en-CA"/>
              </w:rPr>
              <w:t>Author(s) or</w:t>
            </w:r>
          </w:p>
          <w:p>
            <w:pPr>
              <w:spacing w:before="60" w:after="60"/>
              <w:rPr>
                <w:i/>
                <w:szCs w:val="22"/>
                <w:lang w:val="en-CA"/>
              </w:rPr>
            </w:pPr>
            <w:r>
              <w:rPr>
                <w:i/>
                <w:szCs w:val="22"/>
                <w:lang w:val="en-CA"/>
              </w:rPr>
              <w:t>Contact(s):</w:t>
            </w:r>
          </w:p>
        </w:tc>
        <w:tc>
          <w:tcPr>
            <w:tcW w:w="3942" w:type="dxa"/>
          </w:tcPr>
          <w:p>
            <w:pPr>
              <w:spacing w:before="60" w:after="60"/>
              <w:rPr>
                <w:rFonts w:eastAsia="宋体"/>
                <w:szCs w:val="22"/>
                <w:lang w:val="en-CA" w:eastAsia="zh-CN"/>
              </w:rPr>
            </w:pPr>
            <w:r>
              <w:rPr>
                <w:szCs w:val="22"/>
                <w:lang w:val="en-CA" w:eastAsia="zh-CN"/>
              </w:rPr>
              <w:t xml:space="preserve">Wenjie Zou, </w:t>
            </w:r>
          </w:p>
          <w:p>
            <w:pPr>
              <w:spacing w:before="60" w:after="60"/>
              <w:rPr>
                <w:szCs w:val="22"/>
                <w:lang w:eastAsia="zh-CN"/>
              </w:rPr>
            </w:pPr>
            <w:r>
              <w:rPr>
                <w:szCs w:val="22"/>
                <w:lang w:val="en-CA" w:eastAsia="zh-CN"/>
              </w:rPr>
              <w:t xml:space="preserve">Yi Zhou, </w:t>
            </w:r>
          </w:p>
          <w:p>
            <w:pPr>
              <w:spacing w:before="60" w:after="60"/>
              <w:rPr>
                <w:szCs w:val="22"/>
                <w:lang w:eastAsia="zh-CN"/>
              </w:rPr>
            </w:pPr>
            <w:r>
              <w:rPr>
                <w:szCs w:val="22"/>
                <w:lang w:eastAsia="zh-CN"/>
              </w:rPr>
              <w:t>Chengming Gu (</w:t>
            </w:r>
            <w:r>
              <w:rPr>
                <w:szCs w:val="22"/>
                <w:lang w:val="en-CA" w:eastAsia="zh-CN"/>
              </w:rPr>
              <w:t>Xidian University</w:t>
            </w:r>
            <w:r>
              <w:rPr>
                <w:szCs w:val="22"/>
                <w:lang w:eastAsia="zh-CN"/>
              </w:rPr>
              <w:t>)</w:t>
            </w:r>
          </w:p>
          <w:p>
            <w:pPr>
              <w:spacing w:before="60" w:after="60"/>
              <w:rPr>
                <w:szCs w:val="22"/>
                <w:lang w:val="en-CA" w:eastAsia="zh-CN"/>
              </w:rPr>
            </w:pPr>
            <w:r>
              <w:rPr>
                <w:szCs w:val="22"/>
                <w:lang w:val="en-CA" w:eastAsia="zh-CN"/>
              </w:rPr>
              <w:t xml:space="preserve">Cheng Huang, </w:t>
            </w:r>
          </w:p>
          <w:p>
            <w:pPr>
              <w:spacing w:before="60" w:after="60"/>
              <w:rPr>
                <w:rFonts w:hint="default"/>
                <w:szCs w:val="22"/>
                <w:lang w:val="en-US" w:eastAsia="zh-CN"/>
              </w:rPr>
            </w:pPr>
            <w:r>
              <w:rPr>
                <w:szCs w:val="22"/>
                <w:lang w:val="en-CA" w:eastAsia="zh-CN"/>
              </w:rPr>
              <w:t>Yaxian Bai</w:t>
            </w:r>
            <w:r>
              <w:rPr>
                <w:rFonts w:hint="eastAsia"/>
                <w:szCs w:val="22"/>
                <w:lang w:val="en-US" w:eastAsia="zh-CN"/>
              </w:rPr>
              <w:t>,</w:t>
            </w:r>
          </w:p>
          <w:p>
            <w:pPr>
              <w:spacing w:before="60" w:after="60"/>
              <w:rPr>
                <w:szCs w:val="22"/>
                <w:lang w:val="en-CA" w:eastAsia="zh-CN"/>
              </w:rPr>
            </w:pPr>
            <w:r>
              <w:rPr>
                <w:rFonts w:hint="eastAsia"/>
                <w:szCs w:val="22"/>
                <w:lang w:val="en-CA" w:eastAsia="zh-CN"/>
              </w:rPr>
              <w:t>Yuanjian Zhang</w:t>
            </w:r>
            <w:r>
              <w:rPr>
                <w:szCs w:val="22"/>
                <w:lang w:eastAsia="zh-CN"/>
              </w:rPr>
              <w:t>(</w:t>
            </w:r>
            <w:r>
              <w:rPr>
                <w:szCs w:val="22"/>
                <w:lang w:val="en-CA" w:eastAsia="zh-CN"/>
              </w:rPr>
              <w:t>ZTE Corporation</w:t>
            </w:r>
            <w:r>
              <w:rPr>
                <w:szCs w:val="22"/>
                <w:lang w:eastAsia="zh-CN"/>
              </w:rPr>
              <w:t>)</w:t>
            </w:r>
          </w:p>
        </w:tc>
        <w:tc>
          <w:tcPr>
            <w:tcW w:w="837" w:type="dxa"/>
          </w:tcPr>
          <w:p>
            <w:pPr>
              <w:spacing w:before="60" w:after="60"/>
              <w:rPr>
                <w:szCs w:val="22"/>
                <w:lang w:val="en-CA"/>
              </w:rPr>
            </w:pPr>
            <w:r>
              <w:rPr>
                <w:szCs w:val="22"/>
                <w:lang w:val="en-CA"/>
              </w:rPr>
              <w:t>Email:</w:t>
            </w:r>
          </w:p>
        </w:tc>
        <w:tc>
          <w:tcPr>
            <w:tcW w:w="3123" w:type="dxa"/>
          </w:tcPr>
          <w:p>
            <w:pPr>
              <w:spacing w:before="60" w:after="60"/>
              <w:rPr>
                <w:rFonts w:eastAsia="宋体"/>
                <w:szCs w:val="22"/>
                <w:lang w:val="en-CA" w:eastAsia="zh-CN"/>
              </w:rPr>
            </w:pPr>
            <w:r>
              <w:rPr>
                <w:szCs w:val="22"/>
                <w:lang w:val="en-CA" w:eastAsia="zh-CN"/>
              </w:rPr>
              <w:t>wjzou@xidian.edu.cn</w:t>
            </w:r>
          </w:p>
          <w:p>
            <w:pPr>
              <w:spacing w:before="60" w:after="60"/>
              <w:rPr>
                <w:szCs w:val="22"/>
                <w:lang w:val="en-CA" w:eastAsia="zh-CN"/>
              </w:rPr>
            </w:pPr>
            <w:bookmarkStart w:id="0" w:name="OLE_LINK3"/>
            <w:r>
              <w:rPr>
                <w:szCs w:val="22"/>
                <w:lang w:val="en-CA" w:eastAsia="zh-CN"/>
              </w:rPr>
              <w:fldChar w:fldCharType="begin"/>
            </w:r>
            <w:r>
              <w:rPr>
                <w:szCs w:val="22"/>
                <w:lang w:val="en-CA" w:eastAsia="zh-CN"/>
              </w:rPr>
              <w:instrText xml:space="preserve"> HYPERLINK "mailto:yi.zhou@stu.xidian.edu.cn" </w:instrText>
            </w:r>
            <w:r>
              <w:rPr>
                <w:szCs w:val="22"/>
                <w:lang w:val="en-CA" w:eastAsia="zh-CN"/>
              </w:rPr>
              <w:fldChar w:fldCharType="separate"/>
            </w:r>
            <w:r>
              <w:t>yi.zhou@stu.xidian.edu.cn</w:t>
            </w:r>
            <w:bookmarkEnd w:id="0"/>
            <w:r>
              <w:rPr>
                <w:szCs w:val="22"/>
                <w:lang w:val="en-CA" w:eastAsia="zh-CN"/>
              </w:rPr>
              <w:fldChar w:fldCharType="end"/>
            </w:r>
          </w:p>
          <w:p>
            <w:pPr>
              <w:spacing w:before="60" w:after="60"/>
              <w:rPr>
                <w:szCs w:val="22"/>
                <w:lang w:val="en-CA" w:eastAsia="zh-CN"/>
              </w:rPr>
            </w:pPr>
            <w:r>
              <w:rPr>
                <w:szCs w:val="22"/>
                <w:lang w:val="en-CA" w:eastAsia="zh-CN"/>
              </w:rPr>
              <w:t>cmgu@stu.xidian.edu.cn</w:t>
            </w:r>
          </w:p>
          <w:p>
            <w:pPr>
              <w:spacing w:before="60" w:after="60"/>
              <w:rPr>
                <w:szCs w:val="22"/>
                <w:lang w:val="en-CA" w:eastAsia="zh-CN"/>
              </w:rPr>
            </w:pPr>
            <w:r>
              <w:rPr>
                <w:szCs w:val="22"/>
                <w:lang w:val="en-CA" w:eastAsia="zh-CN"/>
              </w:rPr>
              <w:t>huang.cheng5@zte.com.cn</w:t>
            </w:r>
          </w:p>
          <w:p>
            <w:pPr>
              <w:spacing w:before="60" w:after="60"/>
              <w:rPr>
                <w:szCs w:val="22"/>
                <w:lang w:val="en-CA" w:eastAsia="zh-CN"/>
              </w:rPr>
            </w:pPr>
            <w:r>
              <w:fldChar w:fldCharType="begin"/>
            </w:r>
            <w:r>
              <w:instrText xml:space="preserve"> HYPERLINK "mailto:bai.yaxian@zte.com.cn" </w:instrText>
            </w:r>
            <w:r>
              <w:fldChar w:fldCharType="separate"/>
            </w:r>
            <w:r>
              <w:t>bai.yaxian@zte.com.cn</w:t>
            </w:r>
            <w:r>
              <w:fldChar w:fldCharType="end"/>
            </w:r>
          </w:p>
          <w:p>
            <w:pPr>
              <w:spacing w:before="60" w:after="60"/>
              <w:rPr>
                <w:szCs w:val="22"/>
                <w:highlight w:val="yellow"/>
                <w:lang w:val="en-CA" w:eastAsia="zh-CN"/>
              </w:rPr>
            </w:pPr>
            <w:r>
              <w:rPr>
                <w:rFonts w:hint="eastAsia"/>
                <w:szCs w:val="22"/>
                <w:highlight w:val="none"/>
                <w:lang w:val="en-CA" w:eastAsia="zh-CN"/>
              </w:rPr>
              <w:t>zhang.yuanjian@zte.com.cn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eastAsia="zh-CN"/>
              </w:rPr>
            </w:pPr>
            <w:r>
              <w:rPr>
                <w:rFonts w:hint="eastAsia"/>
                <w:szCs w:val="22"/>
                <w:lang w:val="en-CA" w:eastAsia="zh-CN"/>
              </w:rPr>
              <w:t>X</w:t>
            </w:r>
            <w:r>
              <w:rPr>
                <w:szCs w:val="22"/>
                <w:lang w:val="en-CA" w:eastAsia="zh-CN"/>
              </w:rPr>
              <w:t>idian University, 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lang w:val="en-CA" w:eastAsia="zh-CN"/>
        </w:rPr>
      </w:pPr>
      <w:r>
        <w:rPr>
          <w:lang w:val="en-CA" w:eastAsia="zh-CN"/>
        </w:rPr>
        <w:t xml:space="preserve">An ALF split scheme was proposed in JVET-Y0046 which </w:t>
      </w:r>
      <w:r>
        <w:rPr>
          <w:rFonts w:eastAsia="PMingLiU"/>
          <w:bCs/>
          <w:lang w:eastAsia="zh-TW"/>
        </w:rPr>
        <w:t xml:space="preserve">proposed to signal ALF enabled/disable flag separately </w:t>
      </w:r>
      <w:r>
        <w:rPr>
          <w:lang w:val="en-CA" w:eastAsia="zh-CN"/>
        </w:rPr>
        <w:t>for luma and chroma components.</w:t>
      </w:r>
      <w:r>
        <w:rPr>
          <w:rFonts w:hint="eastAsia"/>
          <w:lang w:eastAsia="zh-CN"/>
        </w:rPr>
        <w:t xml:space="preserve"> </w:t>
      </w:r>
      <w:r>
        <w:rPr>
          <w:lang w:val="en-CA" w:eastAsia="zh-CN"/>
        </w:rPr>
        <w:t xml:space="preserve">It is reported that, </w:t>
      </w:r>
      <w:r>
        <w:rPr>
          <w:rFonts w:hint="eastAsia"/>
          <w:lang w:val="en-CA" w:eastAsia="zh-CN"/>
        </w:rPr>
        <w:t>w</w:t>
      </w:r>
      <w:r>
        <w:rPr>
          <w:lang w:val="en-CA" w:eastAsia="zh-CN"/>
        </w:rPr>
        <w:t xml:space="preserve">ith </w:t>
      </w:r>
      <w:r>
        <w:rPr>
          <w:rFonts w:hint="eastAsia"/>
          <w:lang w:val="en-CA" w:eastAsia="zh-CN"/>
        </w:rPr>
        <w:t>NCS</w:t>
      </w:r>
      <w:r>
        <w:rPr>
          <w:lang w:val="en-CA" w:eastAsia="zh-CN"/>
        </w:rPr>
        <w:t>2.0 as anchor and test platform, the overall performance are as follows:</w:t>
      </w:r>
    </w:p>
    <w:p>
      <w:pPr>
        <w:rPr>
          <w:lang w:eastAsia="zh-CN"/>
        </w:rPr>
      </w:pPr>
      <w:r>
        <w:rPr>
          <w:rFonts w:hint="eastAsia"/>
          <w:lang w:val="en-CA" w:eastAsia="zh-CN"/>
        </w:rPr>
        <w:t>NCS</w:t>
      </w:r>
      <w:r>
        <w:rPr>
          <w:lang w:val="en-CA" w:eastAsia="zh-CN"/>
        </w:rPr>
        <w:t>2.0</w:t>
      </w:r>
      <w:r>
        <w:rPr>
          <w:rFonts w:hint="eastAsia"/>
          <w:lang w:eastAsia="zh-CN"/>
        </w:rPr>
        <w:t>(</w:t>
      </w:r>
      <w:r>
        <w:rPr>
          <w:rFonts w:hint="eastAsia"/>
          <w:lang w:val="en-CA" w:eastAsia="zh-CN"/>
        </w:rPr>
        <w:t>m_nnlfoption=</w:t>
      </w:r>
      <w:r>
        <w:rPr>
          <w:rFonts w:hint="eastAsia"/>
          <w:lang w:eastAsia="zh-CN"/>
        </w:rPr>
        <w:t>2)</w:t>
      </w:r>
    </w:p>
    <w:p>
      <w:pPr>
        <w:numPr>
          <w:ilvl w:val="0"/>
          <w:numId w:val="2"/>
        </w:numPr>
        <w:textAlignment w:val="auto"/>
        <w:rPr>
          <w:lang w:val="en-CA"/>
        </w:rPr>
      </w:pPr>
      <w:bookmarkStart w:id="1" w:name="OLE_LINK53"/>
      <w:r>
        <w:rPr>
          <w:rFonts w:hint="eastAsia"/>
          <w:lang w:val="en-CA" w:eastAsia="zh-CN"/>
        </w:rPr>
        <w:t>A</w:t>
      </w:r>
      <w:r>
        <w:rPr>
          <w:lang w:val="en-CA" w:eastAsia="zh-CN"/>
        </w:rPr>
        <w:t>I: 0.0</w:t>
      </w:r>
      <w:r>
        <w:rPr>
          <w:rFonts w:hint="eastAsia"/>
          <w:lang w:eastAsia="zh-CN"/>
        </w:rPr>
        <w:t>2</w:t>
      </w:r>
      <w:r>
        <w:rPr>
          <w:lang w:val="en-CA" w:eastAsia="zh-CN"/>
        </w:rPr>
        <w:t>%/-0.</w:t>
      </w:r>
      <w:r>
        <w:rPr>
          <w:rFonts w:hint="eastAsia"/>
          <w:lang w:eastAsia="zh-CN"/>
        </w:rPr>
        <w:t>71</w:t>
      </w:r>
      <w:r>
        <w:rPr>
          <w:lang w:val="en-CA" w:eastAsia="zh-CN"/>
        </w:rPr>
        <w:t>%/-</w:t>
      </w:r>
      <w:r>
        <w:rPr>
          <w:rFonts w:hint="eastAsia"/>
          <w:lang w:eastAsia="zh-CN"/>
        </w:rPr>
        <w:t>0.87</w:t>
      </w:r>
      <w:r>
        <w:rPr>
          <w:lang w:val="en-CA" w:eastAsia="zh-CN"/>
        </w:rPr>
        <w:t xml:space="preserve">% </w:t>
      </w:r>
    </w:p>
    <w:bookmarkEnd w:id="1"/>
    <w:p>
      <w:pPr>
        <w:rPr>
          <w:lang w:eastAsia="zh-CN"/>
        </w:rPr>
      </w:pPr>
      <w:r>
        <w:rPr>
          <w:rFonts w:hint="eastAsia"/>
          <w:lang w:val="en-CA" w:eastAsia="zh-CN"/>
        </w:rPr>
        <w:t>NCS</w:t>
      </w:r>
      <w:r>
        <w:rPr>
          <w:lang w:val="en-CA" w:eastAsia="zh-CN"/>
        </w:rPr>
        <w:t>2.0</w:t>
      </w:r>
      <w:r>
        <w:rPr>
          <w:rFonts w:hint="eastAsia"/>
          <w:lang w:eastAsia="zh-CN"/>
        </w:rPr>
        <w:t>(</w:t>
      </w:r>
      <w:r>
        <w:rPr>
          <w:rFonts w:hint="eastAsia"/>
          <w:lang w:val="en-CA" w:eastAsia="zh-CN"/>
        </w:rPr>
        <w:t>m_nnlfoption=</w:t>
      </w:r>
      <w:r>
        <w:rPr>
          <w:rFonts w:hint="eastAsia"/>
          <w:lang w:eastAsia="zh-CN"/>
        </w:rPr>
        <w:t>1)</w:t>
      </w:r>
    </w:p>
    <w:p>
      <w:pPr>
        <w:numPr>
          <w:ilvl w:val="0"/>
          <w:numId w:val="2"/>
        </w:numPr>
        <w:textAlignment w:val="auto"/>
        <w:rPr>
          <w:lang w:val="en-CA" w:eastAsia="zh-CN"/>
        </w:rPr>
      </w:pPr>
      <w:r>
        <w:rPr>
          <w:rFonts w:hint="eastAsia"/>
          <w:lang w:val="en-CA" w:eastAsia="zh-CN"/>
        </w:rPr>
        <w:t>AI: 0.0</w:t>
      </w:r>
      <w:r>
        <w:rPr>
          <w:rFonts w:hint="eastAsia"/>
          <w:lang w:eastAsia="zh-CN"/>
        </w:rPr>
        <w:t>1</w:t>
      </w:r>
      <w:r>
        <w:rPr>
          <w:rFonts w:hint="eastAsia"/>
          <w:lang w:val="en-CA" w:eastAsia="zh-CN"/>
        </w:rPr>
        <w:t>%/-0.</w:t>
      </w:r>
      <w:r>
        <w:rPr>
          <w:rFonts w:hint="eastAsia"/>
          <w:lang w:eastAsia="zh-CN"/>
        </w:rPr>
        <w:t>25</w:t>
      </w:r>
      <w:r>
        <w:rPr>
          <w:rFonts w:hint="eastAsia"/>
          <w:lang w:val="en-CA" w:eastAsia="zh-CN"/>
        </w:rPr>
        <w:t>%/-</w:t>
      </w:r>
      <w:r>
        <w:rPr>
          <w:rFonts w:hint="eastAsia"/>
          <w:lang w:eastAsia="zh-CN"/>
        </w:rPr>
        <w:t>0.14</w:t>
      </w:r>
      <w:r>
        <w:rPr>
          <w:rFonts w:hint="eastAsia"/>
          <w:lang w:val="en-CA" w:eastAsia="zh-CN"/>
        </w:rPr>
        <w:t xml:space="preserve">% </w:t>
      </w:r>
    </w:p>
    <w:p>
      <w:pPr>
        <w:rPr>
          <w:lang w:eastAsia="zh-CN"/>
        </w:rPr>
      </w:pPr>
    </w:p>
    <w:p>
      <w:pPr>
        <w:pStyle w:val="2"/>
        <w:rPr>
          <w:lang w:val="en-CA"/>
        </w:rPr>
      </w:pPr>
      <w:r>
        <w:rPr>
          <w:lang w:val="en-CA"/>
        </w:rPr>
        <w:t>Introduction</w:t>
      </w:r>
    </w:p>
    <w:p>
      <w:pPr>
        <w:tabs>
          <w:tab w:val="left" w:pos="794"/>
          <w:tab w:val="left" w:pos="1191"/>
          <w:tab w:val="left" w:pos="1588"/>
          <w:tab w:val="left" w:pos="1985"/>
          <w:tab w:val="clear" w:pos="360"/>
          <w:tab w:val="clear" w:pos="720"/>
          <w:tab w:val="clear" w:pos="1080"/>
          <w:tab w:val="clear" w:pos="1440"/>
          <w:tab w:val="clear" w:pos="1800"/>
        </w:tabs>
        <w:rPr>
          <w:rFonts w:eastAsia="宋体"/>
          <w:bCs/>
          <w:lang w:eastAsia="zh-CN"/>
        </w:rPr>
      </w:pPr>
      <w:r>
        <w:rPr>
          <w:bCs/>
          <w:lang w:eastAsia="zh-CN"/>
        </w:rPr>
        <w:t xml:space="preserve">In VVC [1], as depicted in Figure 1, there is an ALF Flag to indicate whether ALF is enable or disable. When this flag is on, luma ALF is always used, and then the chroma ALF and CCALF, are further be controlled by their own flags. If the ALF flag is off, the chroma ALF and CCALF will be forcibly closed. </w:t>
      </w:r>
    </w:p>
    <w:p>
      <w:pPr>
        <w:jc w:val="center"/>
      </w:pPr>
      <w:r>
        <w:drawing>
          <wp:inline distT="0" distB="0" distL="0" distR="0">
            <wp:extent cx="5912485" cy="1044575"/>
            <wp:effectExtent l="0" t="0" r="0"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12485" cy="1044575"/>
                    </a:xfrm>
                    <a:prstGeom prst="rect">
                      <a:avLst/>
                    </a:prstGeom>
                    <a:noFill/>
                    <a:ln>
                      <a:noFill/>
                    </a:ln>
                  </pic:spPr>
                </pic:pic>
              </a:graphicData>
            </a:graphic>
          </wp:inline>
        </w:drawing>
      </w:r>
    </w:p>
    <w:p>
      <w:pPr>
        <w:jc w:val="center"/>
        <w:rPr>
          <w:lang w:val="en-CA"/>
        </w:rPr>
      </w:pPr>
      <w:r>
        <w:rPr>
          <w:i/>
          <w:iCs/>
          <w:sz w:val="20"/>
        </w:rPr>
        <w:t xml:space="preserve">Figure </w:t>
      </w:r>
      <w:r>
        <w:rPr>
          <w:i/>
          <w:iCs/>
          <w:sz w:val="20"/>
          <w:lang w:eastAsia="zh-CN"/>
        </w:rPr>
        <w:t xml:space="preserve">1: </w:t>
      </w:r>
      <w:r>
        <w:rPr>
          <w:i/>
          <w:sz w:val="20"/>
          <w:lang w:val="en-CA" w:eastAsia="zh-CN"/>
        </w:rPr>
        <w:t>Syntax structure in VVC</w:t>
      </w:r>
    </w:p>
    <w:p>
      <w:pPr>
        <w:rPr>
          <w:lang w:eastAsia="zh-CN"/>
        </w:rPr>
      </w:pPr>
      <w:r>
        <w:rPr>
          <w:lang w:eastAsia="zh-CN"/>
        </w:rPr>
        <w:t xml:space="preserve">A method called ALF-SPLIT was proposed in JVET-Y0046[2] as shown in Figure 2. </w:t>
      </w:r>
      <w:r>
        <w:rPr>
          <w:lang w:val="en-CA"/>
        </w:rPr>
        <w:t>When a neural network-based filter is used as in-loop filter, two separate ALF flags</w:t>
      </w:r>
      <w:r>
        <w:rPr>
          <w:bCs/>
        </w:rPr>
        <w:t xml:space="preserve"> are introduced</w:t>
      </w:r>
      <w:r>
        <w:rPr>
          <w:lang w:val="en-CA"/>
        </w:rPr>
        <w:t xml:space="preserve">, which </w:t>
      </w:r>
      <w:r>
        <w:rPr>
          <w:bCs/>
        </w:rPr>
        <w:t xml:space="preserve">indicate ALF enabled/disable </w:t>
      </w:r>
      <w:r>
        <w:rPr>
          <w:lang w:val="en-CA"/>
        </w:rPr>
        <w:t>for luma and chroma components, respectively.</w:t>
      </w:r>
    </w:p>
    <w:p>
      <w:r>
        <w:drawing>
          <wp:inline distT="0" distB="0" distL="0" distR="0">
            <wp:extent cx="5755640" cy="1057910"/>
            <wp:effectExtent l="0" t="0" r="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55640" cy="1057910"/>
                    </a:xfrm>
                    <a:prstGeom prst="rect">
                      <a:avLst/>
                    </a:prstGeom>
                    <a:noFill/>
                    <a:ln>
                      <a:noFill/>
                    </a:ln>
                  </pic:spPr>
                </pic:pic>
              </a:graphicData>
            </a:graphic>
          </wp:inline>
        </w:drawing>
      </w:r>
    </w:p>
    <w:p>
      <w:pPr>
        <w:jc w:val="center"/>
        <w:rPr>
          <w:i/>
          <w:iCs/>
          <w:sz w:val="20"/>
          <w:lang w:eastAsia="zh-CN"/>
        </w:rPr>
      </w:pPr>
      <w:r>
        <w:rPr>
          <w:i/>
          <w:iCs/>
          <w:sz w:val="20"/>
        </w:rPr>
        <w:t xml:space="preserve">Figure </w:t>
      </w:r>
      <w:r>
        <w:rPr>
          <w:i/>
          <w:iCs/>
          <w:sz w:val="20"/>
          <w:lang w:eastAsia="zh-CN"/>
        </w:rPr>
        <w:t xml:space="preserve">2: Modified </w:t>
      </w:r>
      <w:r>
        <w:rPr>
          <w:i/>
          <w:sz w:val="20"/>
          <w:lang w:val="en-CA" w:eastAsia="zh-CN"/>
        </w:rPr>
        <w:t>Syntax structure</w:t>
      </w:r>
    </w:p>
    <w:p>
      <w:pPr>
        <w:pStyle w:val="2"/>
        <w:rPr>
          <w:lang w:val="en-CA"/>
        </w:rPr>
      </w:pPr>
      <w:r>
        <w:rPr>
          <w:rFonts w:hint="eastAsia"/>
          <w:lang w:val="en-CA"/>
        </w:rPr>
        <w:t>E</w:t>
      </w:r>
      <w:r>
        <w:rPr>
          <w:lang w:val="en-CA"/>
        </w:rPr>
        <w:t>xperimental results</w:t>
      </w:r>
    </w:p>
    <w:p>
      <w:pPr>
        <w:rPr>
          <w:rFonts w:eastAsia="宋体"/>
          <w:lang w:eastAsia="zh-CN"/>
        </w:rPr>
      </w:pPr>
      <w:r>
        <w:rPr>
          <w:lang w:eastAsia="zh-CN"/>
        </w:rPr>
        <w:t>NCS</w:t>
      </w:r>
      <w:r>
        <w:rPr>
          <w:rFonts w:hint="eastAsia"/>
          <w:lang w:eastAsia="zh-CN"/>
        </w:rPr>
        <w:t>2.0</w:t>
      </w:r>
      <w:r>
        <w:rPr>
          <w:lang w:eastAsia="zh-CN"/>
        </w:rPr>
        <w:t xml:space="preserve"> has already been published </w:t>
      </w:r>
      <w:r>
        <w:rPr>
          <w:rFonts w:hint="eastAsia"/>
          <w:lang w:eastAsia="zh-CN"/>
        </w:rPr>
        <w:t xml:space="preserve">[3]. </w:t>
      </w:r>
      <w:r>
        <w:rPr>
          <w:lang w:val="en-CA" w:eastAsia="zh-CN"/>
        </w:rPr>
        <w:t xml:space="preserve">To verify the performance of ALF-SPLIT, extensive tests were conducted based on </w:t>
      </w:r>
      <w:r>
        <w:rPr>
          <w:rFonts w:hAnsi="Cambria Math"/>
          <w:iCs/>
          <w:lang w:eastAsia="zh-CN"/>
        </w:rPr>
        <w:t>NCS2.0 (m_nnlfoption=2)</w:t>
      </w:r>
      <w:r>
        <w:rPr>
          <w:lang w:eastAsia="zh-CN"/>
        </w:rPr>
        <w:t xml:space="preserve"> and </w:t>
      </w:r>
      <w:r>
        <w:rPr>
          <w:rFonts w:hAnsi="Cambria Math"/>
          <w:iCs/>
          <w:lang w:eastAsia="zh-CN"/>
        </w:rPr>
        <w:t>NCS2.0 (m_nnlfoption=1)</w:t>
      </w:r>
      <w:r>
        <w:rPr>
          <w:lang w:eastAsia="zh-CN"/>
        </w:rPr>
        <w:t>.</w:t>
      </w:r>
    </w:p>
    <w:p>
      <w:pPr>
        <w:rPr>
          <w:lang w:eastAsia="zh-CN"/>
        </w:rPr>
      </w:pPr>
      <w:r>
        <w:rPr>
          <w:lang w:eastAsia="zh-CN"/>
        </w:rPr>
        <w:t xml:space="preserve">First, the distribution of the ALF flag in the </w:t>
      </w:r>
      <w:r>
        <w:rPr>
          <w:rFonts w:hint="eastAsia"/>
          <w:lang w:eastAsia="zh-CN"/>
        </w:rPr>
        <w:t>NCS2.0(m_nnlfoption=</w:t>
      </w:r>
      <w:r>
        <w:rPr>
          <w:lang w:eastAsia="zh-CN"/>
        </w:rPr>
        <w:t>2</w:t>
      </w:r>
      <w:r>
        <w:rPr>
          <w:rFonts w:hint="eastAsia"/>
          <w:lang w:eastAsia="zh-CN"/>
        </w:rPr>
        <w:t>)</w:t>
      </w:r>
      <w:r>
        <w:rPr>
          <w:lang w:eastAsia="zh-CN"/>
        </w:rPr>
        <w:t xml:space="preserve"> [4], and </w:t>
      </w:r>
      <w:r>
        <w:rPr>
          <w:rFonts w:hint="eastAsia"/>
          <w:lang w:eastAsia="zh-CN"/>
        </w:rPr>
        <w:t>NCS2.0(m_nnlfoption=</w:t>
      </w:r>
      <w:r>
        <w:rPr>
          <w:lang w:eastAsia="zh-CN"/>
        </w:rPr>
        <w:t>2</w:t>
      </w:r>
      <w:r>
        <w:rPr>
          <w:rFonts w:hint="eastAsia"/>
          <w:lang w:eastAsia="zh-CN"/>
        </w:rPr>
        <w:t>)</w:t>
      </w:r>
      <w:r>
        <w:rPr>
          <w:lang w:eastAsia="zh-CN"/>
        </w:rPr>
        <w:t xml:space="preserve">+AFL-SPLIT for AI configuration </w:t>
      </w:r>
      <w:r>
        <w:rPr>
          <w:lang w:val="en-CA" w:eastAsia="zh-CN"/>
        </w:rPr>
        <w:t>is shown in Table 1.</w:t>
      </w:r>
      <w:r>
        <w:rPr>
          <w:rFonts w:hint="eastAsia"/>
          <w:lang w:eastAsia="zh-CN"/>
        </w:rPr>
        <w:t xml:space="preserve"> </w:t>
      </w:r>
      <w:r>
        <w:rPr>
          <w:rFonts w:hint="eastAsia"/>
          <w:lang w:val="en-CA" w:eastAsia="zh-CN"/>
        </w:rPr>
        <w:t xml:space="preserve">The </w:t>
      </w:r>
      <w:r>
        <w:rPr>
          <w:lang w:val="en-CA" w:eastAsia="zh-CN"/>
        </w:rPr>
        <w:t>percentage of the ALF ON</w:t>
      </w:r>
      <w:r>
        <w:rPr>
          <w:rFonts w:hint="eastAsia"/>
          <w:lang w:val="en-CA" w:eastAsia="zh-CN"/>
        </w:rPr>
        <w:t xml:space="preserve"> is calculated </w:t>
      </w:r>
      <w:r>
        <w:rPr>
          <w:lang w:val="en-CA" w:eastAsia="zh-CN"/>
        </w:rPr>
        <w:t>as</w:t>
      </w:r>
      <w:r>
        <w:rPr>
          <w:lang w:eastAsia="zh-CN"/>
        </w:rPr>
        <w:t>:</w:t>
      </w:r>
    </w:p>
    <w:p>
      <w:pPr>
        <w:spacing w:after="240"/>
        <w:rPr>
          <w:rFonts w:hAnsi="Cambria Math"/>
          <w:iCs/>
          <w:lang w:eastAsia="zh-CN"/>
        </w:rPr>
      </w:pPr>
      <m:oMathPara>
        <m:oMath>
          <m:r>
            <m:rPr/>
            <w:rPr>
              <w:rFonts w:ascii="Cambria Math" w:hAnsi="Cambria Math"/>
              <w:lang w:eastAsia="zh-CN"/>
            </w:rPr>
            <m:t>R=</m:t>
          </m:r>
          <m:sSub>
            <m:sSubPr>
              <m:ctrlPr>
                <w:rPr>
                  <w:rFonts w:ascii="Cambria Math" w:hAnsi="Cambria Math"/>
                  <w:i/>
                  <w:iCs/>
                  <w:lang w:eastAsia="zh-CN"/>
                </w:rPr>
              </m:ctrlPr>
            </m:sSubPr>
            <m:e>
              <m:r>
                <m:rPr/>
                <w:rPr>
                  <w:rFonts w:ascii="Cambria Math" w:hAnsi="Cambria Math"/>
                  <w:lang w:eastAsia="zh-CN"/>
                </w:rPr>
                <m:t>Num</m:t>
              </m:r>
              <m:ctrlPr>
                <w:rPr>
                  <w:rFonts w:ascii="Cambria Math" w:hAnsi="Cambria Math"/>
                  <w:i/>
                  <w:iCs/>
                  <w:lang w:eastAsia="zh-CN"/>
                </w:rPr>
              </m:ctrlPr>
            </m:e>
            <m:sub>
              <m:r>
                <m:rPr/>
                <w:rPr>
                  <w:rFonts w:ascii="Cambria Math" w:hAnsi="Cambria Math"/>
                  <w:lang w:eastAsia="zh-CN"/>
                </w:rPr>
                <m:t>ALFon</m:t>
              </m:r>
              <m:ctrlPr>
                <w:rPr>
                  <w:rFonts w:ascii="Cambria Math" w:hAnsi="Cambria Math"/>
                  <w:i/>
                  <w:iCs/>
                  <w:lang w:eastAsia="zh-CN"/>
                </w:rPr>
              </m:ctrlPr>
            </m:sub>
          </m:sSub>
          <m:r>
            <m:rPr/>
            <w:rPr>
              <w:rFonts w:ascii="Cambria Math" w:hAnsi="Cambria Math"/>
              <w:lang w:eastAsia="zh-CN"/>
            </w:rPr>
            <m:t>/</m:t>
          </m:r>
          <m:sSub>
            <m:sSubPr>
              <m:ctrlPr>
                <w:rPr>
                  <w:rFonts w:ascii="Cambria Math" w:hAnsi="Cambria Math"/>
                  <w:i/>
                  <w:iCs/>
                  <w:lang w:eastAsia="zh-CN"/>
                </w:rPr>
              </m:ctrlPr>
            </m:sSubPr>
            <m:e>
              <m:r>
                <m:rPr/>
                <w:rPr>
                  <w:rFonts w:ascii="Cambria Math" w:hAnsi="Cambria Math"/>
                  <w:lang w:eastAsia="zh-CN"/>
                </w:rPr>
                <m:t>Num</m:t>
              </m:r>
              <m:ctrlPr>
                <w:rPr>
                  <w:rFonts w:ascii="Cambria Math" w:hAnsi="Cambria Math"/>
                  <w:i/>
                  <w:iCs/>
                  <w:lang w:eastAsia="zh-CN"/>
                </w:rPr>
              </m:ctrlPr>
            </m:e>
            <m:sub>
              <m:r>
                <m:rPr/>
                <w:rPr>
                  <w:rFonts w:ascii="Cambria Math" w:hAnsi="Cambria Math"/>
                  <w:lang w:eastAsia="zh-CN"/>
                </w:rPr>
                <m:t>Slice</m:t>
              </m:r>
              <m:ctrlPr>
                <w:rPr>
                  <w:rFonts w:ascii="Cambria Math" w:hAnsi="Cambria Math"/>
                  <w:i/>
                  <w:iCs/>
                  <w:lang w:eastAsia="zh-CN"/>
                </w:rPr>
              </m:ctrlPr>
            </m:sub>
          </m:sSub>
        </m:oMath>
      </m:oMathPara>
    </w:p>
    <w:p>
      <w:pPr>
        <w:spacing w:after="240"/>
        <w:rPr>
          <w:rFonts w:hAnsi="Cambria Math"/>
          <w:iCs/>
          <w:lang w:eastAsia="zh-CN"/>
        </w:rPr>
      </w:pPr>
      <w:r>
        <w:rPr>
          <w:rFonts w:hAnsi="Cambria Math"/>
          <w:iCs/>
          <w:lang w:eastAsia="zh-CN"/>
        </w:rPr>
        <w:t>where</w:t>
      </w:r>
      <w:r>
        <w:rPr>
          <w:rFonts w:hAnsi="Cambria Math"/>
          <w:i/>
          <w:iCs/>
          <w:lang w:eastAsia="zh-CN"/>
        </w:rPr>
        <w:t xml:space="preserve"> </w:t>
      </w:r>
      <m:oMath>
        <m:sSub>
          <m:sSubPr>
            <m:ctrlPr>
              <w:rPr>
                <w:rFonts w:ascii="Cambria Math" w:hAnsi="Cambria Math"/>
                <w:i/>
                <w:iCs/>
                <w:lang w:eastAsia="zh-CN"/>
              </w:rPr>
            </m:ctrlPr>
          </m:sSubPr>
          <m:e>
            <m:r>
              <m:rPr/>
              <w:rPr>
                <w:rFonts w:ascii="Cambria Math" w:hAnsi="Cambria Math"/>
                <w:lang w:eastAsia="zh-CN"/>
              </w:rPr>
              <m:t>Num</m:t>
            </m:r>
            <m:ctrlPr>
              <w:rPr>
                <w:rFonts w:ascii="Cambria Math" w:hAnsi="Cambria Math"/>
                <w:i/>
                <w:iCs/>
                <w:lang w:eastAsia="zh-CN"/>
              </w:rPr>
            </m:ctrlPr>
          </m:e>
          <m:sub>
            <m:r>
              <m:rPr/>
              <w:rPr>
                <w:rFonts w:ascii="Cambria Math" w:hAnsi="Cambria Math"/>
                <w:lang w:eastAsia="zh-CN"/>
              </w:rPr>
              <m:t>ALFon</m:t>
            </m:r>
            <m:ctrlPr>
              <w:rPr>
                <w:rFonts w:ascii="Cambria Math" w:hAnsi="Cambria Math"/>
                <w:i/>
                <w:iCs/>
                <w:lang w:eastAsia="zh-CN"/>
              </w:rPr>
            </m:ctrlPr>
          </m:sub>
        </m:sSub>
      </m:oMath>
      <w:r>
        <w:rPr>
          <w:rFonts w:hAnsi="Cambria Math"/>
          <w:iCs/>
          <w:lang w:eastAsia="zh-CN"/>
        </w:rPr>
        <w:t xml:space="preserve"> represents the number of slices where the ALF flag is set to be ON, </w:t>
      </w:r>
      <m:oMath>
        <m:sSub>
          <m:sSubPr>
            <m:ctrlPr>
              <w:rPr>
                <w:rFonts w:ascii="Cambria Math" w:hAnsi="Cambria Math"/>
                <w:i/>
                <w:iCs/>
                <w:lang w:eastAsia="zh-CN"/>
              </w:rPr>
            </m:ctrlPr>
          </m:sSubPr>
          <m:e>
            <m:r>
              <m:rPr/>
              <w:rPr>
                <w:rFonts w:ascii="Cambria Math" w:hAnsi="Cambria Math"/>
                <w:lang w:eastAsia="zh-CN"/>
              </w:rPr>
              <m:t>Num</m:t>
            </m:r>
            <m:ctrlPr>
              <w:rPr>
                <w:rFonts w:ascii="Cambria Math" w:hAnsi="Cambria Math"/>
                <w:i/>
                <w:iCs/>
                <w:lang w:eastAsia="zh-CN"/>
              </w:rPr>
            </m:ctrlPr>
          </m:e>
          <m:sub>
            <m:r>
              <m:rPr/>
              <w:rPr>
                <w:rFonts w:ascii="Cambria Math" w:hAnsi="Cambria Math"/>
                <w:lang w:eastAsia="zh-CN"/>
              </w:rPr>
              <m:t>Slice</m:t>
            </m:r>
            <m:ctrlPr>
              <w:rPr>
                <w:rFonts w:ascii="Cambria Math" w:hAnsi="Cambria Math"/>
                <w:i/>
                <w:iCs/>
                <w:lang w:eastAsia="zh-CN"/>
              </w:rPr>
            </m:ctrlPr>
          </m:sub>
        </m:sSub>
      </m:oMath>
      <w:r>
        <w:rPr>
          <w:rFonts w:hAnsi="Cambria Math"/>
          <w:iCs/>
          <w:lang w:eastAsia="zh-CN"/>
        </w:rPr>
        <w:t xml:space="preserve"> is the number of slices.</w:t>
      </w:r>
    </w:p>
    <w:p>
      <w:pPr>
        <w:spacing w:after="240"/>
        <w:rPr>
          <w:rFonts w:hAnsi="Cambria Math"/>
          <w:iCs/>
          <w:lang w:eastAsia="zh-CN"/>
        </w:rPr>
      </w:pPr>
      <w:r>
        <w:rPr>
          <w:rFonts w:hAnsi="Cambria Math"/>
          <w:iCs/>
          <w:lang w:eastAsia="zh-CN"/>
        </w:rPr>
        <w:t>With the proposed ALF-SPLIT method, it can be seen that the percentage of chromaALF and CCALF are increased by an average 14% and 8%, compared with NCS2.0</w:t>
      </w:r>
      <w:r>
        <w:rPr>
          <w:rFonts w:hint="eastAsia" w:hAnsi="Cambria Math"/>
          <w:iCs/>
          <w:lang w:eastAsia="zh-CN"/>
        </w:rPr>
        <w:t>(m_nnlfoption=2)</w:t>
      </w:r>
      <w:r>
        <w:rPr>
          <w:rFonts w:hAnsi="Cambria Math"/>
          <w:iCs/>
          <w:lang w:eastAsia="zh-CN"/>
        </w:rPr>
        <w:t xml:space="preserve">. This phenomenon illustrates that the proposed method can let more ALF usage of the chroma components. </w:t>
      </w:r>
    </w:p>
    <w:p>
      <w:pPr>
        <w:tabs>
          <w:tab w:val="left" w:pos="420"/>
          <w:tab w:val="clear" w:pos="360"/>
        </w:tabs>
        <w:overflowPunct/>
        <w:autoSpaceDE/>
        <w:adjustRightInd/>
        <w:spacing w:before="0"/>
        <w:jc w:val="center"/>
        <w:rPr>
          <w:rFonts w:hAnsi="Cambria Math"/>
          <w:iCs/>
          <w:lang w:eastAsia="zh-CN"/>
        </w:rPr>
      </w:pPr>
      <w:r>
        <w:rPr>
          <w:lang w:val="en-CA"/>
        </w:rPr>
        <w:t>Table 1.</w:t>
      </w:r>
      <w:r>
        <w:rPr>
          <w:rFonts w:eastAsia="等线"/>
          <w:lang w:val="en-CA" w:eastAsia="zh-CN"/>
        </w:rPr>
        <w:t xml:space="preserve"> </w:t>
      </w:r>
      <w:r>
        <w:rPr>
          <w:lang w:eastAsia="zh-CN"/>
        </w:rPr>
        <w:t>The ratio of ALF ON</w:t>
      </w:r>
      <w:r>
        <w:rPr>
          <w:rFonts w:eastAsia="等线"/>
          <w:lang w:eastAsia="zh-CN"/>
        </w:rPr>
        <w:t>(</w:t>
      </w:r>
      <w:r>
        <w:rPr>
          <w:rFonts w:hAnsi="Cambria Math"/>
          <w:iCs/>
          <w:lang w:eastAsia="zh-CN"/>
        </w:rPr>
        <w:t>NCS2.0</w:t>
      </w:r>
      <w:r>
        <w:rPr>
          <w:rFonts w:hint="eastAsia" w:hAnsi="Cambria Math"/>
          <w:iCs/>
          <w:lang w:eastAsia="zh-CN"/>
        </w:rPr>
        <w:t xml:space="preserve"> m_nnlfoption=</w:t>
      </w:r>
      <w:r>
        <w:rPr>
          <w:rFonts w:hAnsi="Cambria Math"/>
          <w:iCs/>
          <w:lang w:eastAsia="zh-CN"/>
        </w:rPr>
        <w:t>2</w:t>
      </w:r>
      <w:r>
        <w:rPr>
          <w:rFonts w:hint="eastAsia" w:hAnsi="Cambria Math"/>
          <w:iCs/>
          <w:lang w:eastAsia="zh-CN"/>
        </w:rPr>
        <w:t xml:space="preserve"> </w:t>
      </w:r>
      <w:r>
        <w:rPr>
          <w:rFonts w:eastAsia="等线"/>
          <w:lang w:eastAsia="zh-CN"/>
        </w:rPr>
        <w:t>AI)</w:t>
      </w:r>
    </w:p>
    <w:tbl>
      <w:tblPr>
        <w:tblStyle w:val="9"/>
        <w:tblW w:w="8739" w:type="dxa"/>
        <w:tblInd w:w="98" w:type="dxa"/>
        <w:tblLayout w:type="autofit"/>
        <w:tblCellMar>
          <w:top w:w="0" w:type="dxa"/>
          <w:left w:w="108" w:type="dxa"/>
          <w:bottom w:w="0" w:type="dxa"/>
          <w:right w:w="108" w:type="dxa"/>
        </w:tblCellMar>
      </w:tblPr>
      <w:tblGrid>
        <w:gridCol w:w="1218"/>
        <w:gridCol w:w="1199"/>
        <w:gridCol w:w="1199"/>
        <w:gridCol w:w="1199"/>
        <w:gridCol w:w="1376"/>
        <w:gridCol w:w="1324"/>
        <w:gridCol w:w="1224"/>
      </w:tblGrid>
      <w:tr>
        <w:tblPrEx>
          <w:tblCellMar>
            <w:top w:w="0" w:type="dxa"/>
            <w:left w:w="108" w:type="dxa"/>
            <w:bottom w:w="0" w:type="dxa"/>
            <w:right w:w="108" w:type="dxa"/>
          </w:tblCellMar>
        </w:tblPrEx>
        <w:trPr>
          <w:trHeight w:val="329" w:hRule="atLeast"/>
        </w:trPr>
        <w:tc>
          <w:tcPr>
            <w:tcW w:w="1218" w:type="dxa"/>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7521" w:type="dxa"/>
            <w:gridSpan w:val="6"/>
            <w:tcBorders>
              <w:top w:val="single" w:color="000000" w:sz="8" w:space="0"/>
              <w:left w:val="single" w:color="000000" w:sz="8" w:space="0"/>
              <w:bottom w:val="nil"/>
              <w:right w:val="single" w:color="000000" w:sz="8" w:space="0"/>
            </w:tcBorders>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NCS2.0(</w:t>
            </w:r>
            <w:bookmarkStart w:id="2" w:name="OLE_LINK56"/>
            <w:bookmarkStart w:id="3" w:name="OLE_LINK57"/>
            <w:r>
              <w:rPr>
                <w:rFonts w:eastAsia="Times New Roman"/>
                <w:b/>
                <w:bCs/>
                <w:color w:val="000000"/>
                <w:sz w:val="18"/>
                <w:szCs w:val="18"/>
                <w:lang w:eastAsia="zh-CN"/>
              </w:rPr>
              <w:t>m_nnlfoption</w:t>
            </w:r>
            <w:bookmarkEnd w:id="2"/>
            <w:r>
              <w:rPr>
                <w:rFonts w:eastAsia="Times New Roman"/>
                <w:b/>
                <w:bCs/>
                <w:color w:val="000000"/>
                <w:sz w:val="18"/>
                <w:szCs w:val="18"/>
                <w:lang w:eastAsia="zh-CN"/>
              </w:rPr>
              <w:t>=2</w:t>
            </w:r>
            <w:bookmarkEnd w:id="3"/>
            <w:r>
              <w:rPr>
                <w:rFonts w:eastAsia="Times New Roman"/>
                <w:b/>
                <w:bCs/>
                <w:color w:val="000000"/>
                <w:sz w:val="18"/>
                <w:szCs w:val="18"/>
                <w:lang w:eastAsia="zh-CN"/>
              </w:rPr>
              <w:t>)</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ALF</w:t>
            </w:r>
          </w:p>
        </w:tc>
        <w:tc>
          <w:tcPr>
            <w:tcW w:w="1199"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ALF</w:t>
            </w:r>
          </w:p>
        </w:tc>
        <w:tc>
          <w:tcPr>
            <w:tcW w:w="1376"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ALF</w:t>
            </w:r>
          </w:p>
        </w:tc>
        <w:tc>
          <w:tcPr>
            <w:tcW w:w="1324"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CCALF</w:t>
            </w:r>
          </w:p>
        </w:tc>
        <w:tc>
          <w:tcPr>
            <w:tcW w:w="1224" w:type="dxa"/>
            <w:tcBorders>
              <w:top w:val="single" w:color="000000" w:sz="8" w:space="0"/>
              <w:left w:val="nil"/>
              <w:bottom w:val="nil"/>
              <w:right w:val="single" w:color="000000" w:sz="8" w:space="0"/>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CCALF</w:t>
            </w:r>
          </w:p>
        </w:tc>
      </w:tr>
      <w:tr>
        <w:tblPrEx>
          <w:tblCellMar>
            <w:top w:w="0" w:type="dxa"/>
            <w:left w:w="108" w:type="dxa"/>
            <w:bottom w:w="0" w:type="dxa"/>
            <w:right w:w="108" w:type="dxa"/>
          </w:tblCellMar>
        </w:tblPrEx>
        <w:trPr>
          <w:trHeight w:val="242" w:hRule="atLeast"/>
        </w:trPr>
        <w:tc>
          <w:tcPr>
            <w:tcW w:w="1218"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A1</w:t>
            </w:r>
          </w:p>
        </w:tc>
        <w:tc>
          <w:tcPr>
            <w:tcW w:w="1199" w:type="dxa"/>
            <w:tcBorders>
              <w:top w:val="single" w:color="000000" w:sz="8" w:space="0"/>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77.70%</w:t>
            </w:r>
          </w:p>
        </w:tc>
        <w:tc>
          <w:tcPr>
            <w:tcW w:w="1199"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77.70%</w:t>
            </w:r>
          </w:p>
        </w:tc>
        <w:tc>
          <w:tcPr>
            <w:tcW w:w="1376"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77.70%</w:t>
            </w:r>
          </w:p>
        </w:tc>
        <w:tc>
          <w:tcPr>
            <w:tcW w:w="1324"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41.06%</w:t>
            </w:r>
          </w:p>
        </w:tc>
        <w:tc>
          <w:tcPr>
            <w:tcW w:w="1224" w:type="dxa"/>
            <w:tcBorders>
              <w:top w:val="single" w:color="000000" w:sz="8" w:space="0"/>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43.72%</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A2</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99.65%</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99.65%</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99.65%</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59.65%</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59.65%</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B</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90.31%</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77.38%</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77.38%</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53.11%</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50.77%</w:t>
            </w:r>
          </w:p>
        </w:tc>
      </w:tr>
      <w:tr>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C</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56.82%</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51.05%</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51.05%</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29.37%</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27.03%</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E</w:t>
            </w:r>
          </w:p>
        </w:tc>
        <w:tc>
          <w:tcPr>
            <w:tcW w:w="1199" w:type="dxa"/>
            <w:tcBorders>
              <w:top w:val="nil"/>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76"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24"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c>
          <w:tcPr>
            <w:tcW w:w="1224" w:type="dxa"/>
            <w:tcBorders>
              <w:top w:val="nil"/>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39.29%</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Overall</w:t>
            </w:r>
          </w:p>
        </w:tc>
        <w:tc>
          <w:tcPr>
            <w:tcW w:w="1199" w:type="dxa"/>
            <w:tcBorders>
              <w:top w:val="single" w:color="000000" w:sz="8" w:space="0"/>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79.24%</w:t>
            </w:r>
          </w:p>
        </w:tc>
        <w:tc>
          <w:tcPr>
            <w:tcW w:w="1199"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p>
        </w:tc>
        <w:tc>
          <w:tcPr>
            <w:tcW w:w="1199"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73.28%</w:t>
            </w:r>
          </w:p>
        </w:tc>
        <w:tc>
          <w:tcPr>
            <w:tcW w:w="1376"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73.28%</w:t>
            </w:r>
          </w:p>
        </w:tc>
        <w:tc>
          <w:tcPr>
            <w:tcW w:w="1324"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41.85%</w:t>
            </w:r>
          </w:p>
        </w:tc>
        <w:tc>
          <w:tcPr>
            <w:tcW w:w="1224" w:type="dxa"/>
            <w:tcBorders>
              <w:top w:val="single" w:color="000000" w:sz="8" w:space="0"/>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37.95%</w:t>
            </w:r>
          </w:p>
        </w:tc>
      </w:tr>
      <w:tr>
        <w:tblPrEx>
          <w:tblCellMar>
            <w:top w:w="0" w:type="dxa"/>
            <w:left w:w="108" w:type="dxa"/>
            <w:bottom w:w="0" w:type="dxa"/>
            <w:right w:w="108" w:type="dxa"/>
          </w:tblCellMar>
        </w:tblPrEx>
        <w:trPr>
          <w:trHeight w:val="242"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30.21%</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7.53%</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7.53%</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12.89%</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10.13%</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1199" w:type="dxa"/>
            <w:tcBorders>
              <w:top w:val="nil"/>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376"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324"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36.90%</w:t>
            </w:r>
          </w:p>
        </w:tc>
        <w:tc>
          <w:tcPr>
            <w:tcW w:w="1224" w:type="dxa"/>
            <w:tcBorders>
              <w:top w:val="nil"/>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35.06%</w:t>
            </w:r>
          </w:p>
        </w:tc>
      </w:tr>
      <w:tr>
        <w:tblPrEx>
          <w:tblCellMar>
            <w:top w:w="0" w:type="dxa"/>
            <w:left w:w="108" w:type="dxa"/>
            <w:bottom w:w="0" w:type="dxa"/>
            <w:right w:w="108" w:type="dxa"/>
          </w:tblCellMar>
        </w:tblPrEx>
        <w:trPr>
          <w:trHeight w:val="316" w:hRule="atLeast"/>
        </w:trPr>
        <w:tc>
          <w:tcPr>
            <w:tcW w:w="1218" w:type="dxa"/>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7521" w:type="dxa"/>
            <w:gridSpan w:val="6"/>
            <w:tcBorders>
              <w:top w:val="single" w:color="000000" w:sz="8" w:space="0"/>
              <w:left w:val="single" w:color="000000" w:sz="8" w:space="0"/>
              <w:bottom w:val="nil"/>
              <w:right w:val="single" w:color="000000" w:sz="8" w:space="0"/>
            </w:tcBorders>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NCS2.0</w:t>
            </w:r>
            <w:bookmarkStart w:id="4" w:name="OLE_LINK62"/>
            <w:r>
              <w:rPr>
                <w:rFonts w:eastAsia="Times New Roman"/>
                <w:b/>
                <w:bCs/>
                <w:color w:val="000000"/>
                <w:sz w:val="18"/>
                <w:szCs w:val="18"/>
                <w:lang w:eastAsia="zh-CN"/>
              </w:rPr>
              <w:t>(m_nnlfoption=2)</w:t>
            </w:r>
            <w:bookmarkEnd w:id="4"/>
            <w:r>
              <w:rPr>
                <w:rFonts w:eastAsia="Times New Roman"/>
                <w:b/>
                <w:bCs/>
                <w:color w:val="000000"/>
                <w:sz w:val="18"/>
                <w:szCs w:val="18"/>
                <w:lang w:eastAsia="zh-CN"/>
              </w:rPr>
              <w:t>+ALF-SPLIT</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ALF</w:t>
            </w:r>
          </w:p>
        </w:tc>
        <w:tc>
          <w:tcPr>
            <w:tcW w:w="1199"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Chroma ALF</w:t>
            </w:r>
          </w:p>
        </w:tc>
        <w:tc>
          <w:tcPr>
            <w:tcW w:w="1199"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ALF</w:t>
            </w:r>
          </w:p>
        </w:tc>
        <w:tc>
          <w:tcPr>
            <w:tcW w:w="1376"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ALF</w:t>
            </w:r>
          </w:p>
        </w:tc>
        <w:tc>
          <w:tcPr>
            <w:tcW w:w="1324" w:type="dxa"/>
            <w:tcBorders>
              <w:top w:val="single" w:color="000000" w:sz="8" w:space="0"/>
              <w:left w:val="nil"/>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CCALF</w:t>
            </w:r>
          </w:p>
        </w:tc>
        <w:tc>
          <w:tcPr>
            <w:tcW w:w="1224" w:type="dxa"/>
            <w:tcBorders>
              <w:top w:val="single" w:color="000000" w:sz="8" w:space="0"/>
              <w:left w:val="nil"/>
              <w:bottom w:val="nil"/>
              <w:right w:val="single" w:color="000000" w:sz="8" w:space="0"/>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CCALF</w:t>
            </w:r>
          </w:p>
        </w:tc>
      </w:tr>
      <w:tr>
        <w:tblPrEx>
          <w:tblCellMar>
            <w:top w:w="0" w:type="dxa"/>
            <w:left w:w="108" w:type="dxa"/>
            <w:bottom w:w="0" w:type="dxa"/>
            <w:right w:w="108" w:type="dxa"/>
          </w:tblCellMar>
        </w:tblPrEx>
        <w:trPr>
          <w:trHeight w:val="242" w:hRule="atLeast"/>
        </w:trPr>
        <w:tc>
          <w:tcPr>
            <w:tcW w:w="1218" w:type="dxa"/>
            <w:tcBorders>
              <w:top w:val="single" w:color="000000" w:sz="8" w:space="0"/>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A1</w:t>
            </w:r>
          </w:p>
        </w:tc>
        <w:tc>
          <w:tcPr>
            <w:tcW w:w="1199" w:type="dxa"/>
            <w:tcBorders>
              <w:top w:val="single" w:color="000000" w:sz="8" w:space="0"/>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77.70%</w:t>
            </w:r>
          </w:p>
        </w:tc>
        <w:tc>
          <w:tcPr>
            <w:tcW w:w="1199"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76"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24" w:type="dxa"/>
            <w:tcBorders>
              <w:top w:val="single" w:color="000000" w:sz="8" w:space="0"/>
              <w:left w:val="nil"/>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48.67%</w:t>
            </w:r>
          </w:p>
        </w:tc>
        <w:tc>
          <w:tcPr>
            <w:tcW w:w="1224" w:type="dxa"/>
            <w:tcBorders>
              <w:top w:val="single" w:color="000000" w:sz="8" w:space="0"/>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53.10%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A2</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99.65%</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r>
      <w:tr>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B</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90.31%</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85.19%</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85.07%</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85.07%</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57.61%</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C</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56.82%</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86.44%</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78.49%</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78.49%</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55.90%</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52.55%</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E</w:t>
            </w:r>
          </w:p>
        </w:tc>
        <w:tc>
          <w:tcPr>
            <w:tcW w:w="1199" w:type="dxa"/>
            <w:tcBorders>
              <w:top w:val="nil"/>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76"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324"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60.00%</w:t>
            </w:r>
          </w:p>
        </w:tc>
        <w:tc>
          <w:tcPr>
            <w:tcW w:w="1224" w:type="dxa"/>
            <w:tcBorders>
              <w:top w:val="nil"/>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39.29%</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Overall</w:t>
            </w:r>
          </w:p>
        </w:tc>
        <w:tc>
          <w:tcPr>
            <w:tcW w:w="1199" w:type="dxa"/>
            <w:tcBorders>
              <w:top w:val="single" w:color="000000" w:sz="8" w:space="0"/>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79.24%</w:t>
            </w:r>
          </w:p>
        </w:tc>
        <w:tc>
          <w:tcPr>
            <w:tcW w:w="1199"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90.13%</w:t>
            </w:r>
          </w:p>
        </w:tc>
        <w:tc>
          <w:tcPr>
            <w:tcW w:w="1199"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87.01%</w:t>
            </w:r>
          </w:p>
        </w:tc>
        <w:tc>
          <w:tcPr>
            <w:tcW w:w="1376"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87.01%</w:t>
            </w:r>
          </w:p>
        </w:tc>
        <w:tc>
          <w:tcPr>
            <w:tcW w:w="1324" w:type="dxa"/>
            <w:tcBorders>
              <w:top w:val="single" w:color="000000" w:sz="8" w:space="0"/>
              <w:left w:val="nil"/>
              <w:bottom w:val="single" w:color="000000" w:sz="8" w:space="0"/>
              <w:right w:val="nil"/>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50.56%</w:t>
            </w:r>
          </w:p>
        </w:tc>
        <w:tc>
          <w:tcPr>
            <w:tcW w:w="1224" w:type="dxa"/>
            <w:tcBorders>
              <w:top w:val="single" w:color="000000" w:sz="8" w:space="0"/>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45.24%</w:t>
            </w:r>
          </w:p>
        </w:tc>
      </w:tr>
      <w:tr>
        <w:tblPrEx>
          <w:tblCellMar>
            <w:top w:w="0" w:type="dxa"/>
            <w:left w:w="108" w:type="dxa"/>
            <w:bottom w:w="0" w:type="dxa"/>
            <w:right w:w="108" w:type="dxa"/>
          </w:tblCellMar>
        </w:tblPrEx>
        <w:trPr>
          <w:trHeight w:val="242" w:hRule="atLeast"/>
        </w:trPr>
        <w:tc>
          <w:tcPr>
            <w:tcW w:w="1218" w:type="dxa"/>
            <w:tcBorders>
              <w:top w:val="nil"/>
              <w:left w:val="single" w:color="000000" w:sz="8" w:space="0"/>
              <w:bottom w:val="nil"/>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1199" w:type="dxa"/>
            <w:tcBorders>
              <w:top w:val="nil"/>
              <w:left w:val="single" w:color="000000" w:sz="8" w:space="0"/>
              <w:bottom w:val="nil"/>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30.21%</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59.58%</w:t>
            </w:r>
          </w:p>
        </w:tc>
        <w:tc>
          <w:tcPr>
            <w:tcW w:w="1199"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45.86%</w:t>
            </w:r>
          </w:p>
        </w:tc>
        <w:tc>
          <w:tcPr>
            <w:tcW w:w="1376"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45.86%</w:t>
            </w:r>
          </w:p>
        </w:tc>
        <w:tc>
          <w:tcPr>
            <w:tcW w:w="1324" w:type="dxa"/>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32.47%</w:t>
            </w:r>
          </w:p>
        </w:tc>
        <w:tc>
          <w:tcPr>
            <w:tcW w:w="1224" w:type="dxa"/>
            <w:tcBorders>
              <w:top w:val="nil"/>
              <w:left w:val="nil"/>
              <w:bottom w:val="nil"/>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19.08%</w:t>
            </w:r>
          </w:p>
        </w:tc>
      </w:tr>
      <w:tr>
        <w:tblPrEx>
          <w:tblCellMar>
            <w:top w:w="0" w:type="dxa"/>
            <w:left w:w="108" w:type="dxa"/>
            <w:bottom w:w="0" w:type="dxa"/>
            <w:right w:w="108" w:type="dxa"/>
          </w:tblCellMar>
        </w:tblPrEx>
        <w:trPr>
          <w:trHeight w:val="252" w:hRule="atLeast"/>
        </w:trPr>
        <w:tc>
          <w:tcPr>
            <w:tcW w:w="1218" w:type="dxa"/>
            <w:tcBorders>
              <w:top w:val="nil"/>
              <w:left w:val="single" w:color="000000" w:sz="8" w:space="0"/>
              <w:bottom w:val="single" w:color="000000" w:sz="8" w:space="0"/>
              <w:right w:val="nil"/>
            </w:tcBorders>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1199" w:type="dxa"/>
            <w:tcBorders>
              <w:top w:val="nil"/>
              <w:left w:val="single" w:color="000000" w:sz="8" w:space="0"/>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100.00%</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199"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376"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99.67%</w:t>
            </w:r>
          </w:p>
        </w:tc>
        <w:tc>
          <w:tcPr>
            <w:tcW w:w="1324" w:type="dxa"/>
            <w:tcBorders>
              <w:top w:val="nil"/>
              <w:left w:val="nil"/>
              <w:bottom w:val="single" w:color="000000" w:sz="8" w:space="0"/>
              <w:right w:val="nil"/>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36.90%</w:t>
            </w:r>
          </w:p>
        </w:tc>
        <w:tc>
          <w:tcPr>
            <w:tcW w:w="1224" w:type="dxa"/>
            <w:tcBorders>
              <w:top w:val="nil"/>
              <w:left w:val="nil"/>
              <w:bottom w:val="single" w:color="000000" w:sz="8" w:space="0"/>
              <w:right w:val="single" w:color="000000" w:sz="8" w:space="0"/>
            </w:tcBorders>
            <w:vAlign w:val="bottom"/>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35.06%</w:t>
            </w:r>
          </w:p>
        </w:tc>
      </w:tr>
    </w:tbl>
    <w:p>
      <w:pPr>
        <w:spacing w:after="240"/>
        <w:rPr>
          <w:rFonts w:hAnsi="Cambria Math"/>
          <w:iCs/>
          <w:lang w:eastAsia="zh-CN"/>
        </w:rPr>
      </w:pPr>
    </w:p>
    <w:p>
      <w:pPr>
        <w:spacing w:after="240"/>
        <w:rPr>
          <w:rFonts w:hAnsi="Cambria Math"/>
          <w:iCs/>
          <w:lang w:eastAsia="zh-CN"/>
        </w:rPr>
      </w:pPr>
      <w:r>
        <w:rPr>
          <w:rFonts w:hint="eastAsia" w:hAnsi="Cambria Math"/>
          <w:iCs/>
          <w:lang w:eastAsia="zh-CN"/>
        </w:rPr>
        <w:t xml:space="preserve">In the case of </w:t>
      </w:r>
      <w:r>
        <w:rPr>
          <w:rFonts w:hAnsi="Cambria Math"/>
          <w:iCs/>
          <w:lang w:eastAsia="zh-CN"/>
        </w:rPr>
        <w:t>NCS2.0</w:t>
      </w:r>
      <w:r>
        <w:rPr>
          <w:rFonts w:hint="eastAsia" w:hAnsi="Cambria Math"/>
          <w:iCs/>
          <w:lang w:eastAsia="zh-CN"/>
        </w:rPr>
        <w:t>(m_nnlfoption=1),</w:t>
      </w:r>
      <w:r>
        <w:rPr>
          <w:rFonts w:hAnsi="Cambria Math"/>
          <w:iCs/>
          <w:lang w:eastAsia="zh-CN"/>
        </w:rPr>
        <w:t xml:space="preserve"> the ratio of ALF flag ON for chroma and CCALF increases</w:t>
      </w:r>
      <w:r>
        <w:rPr>
          <w:rFonts w:hint="eastAsia" w:hAnsi="Cambria Math"/>
          <w:iCs/>
          <w:lang w:eastAsia="zh-CN"/>
        </w:rPr>
        <w:t xml:space="preserve"> w</w:t>
      </w:r>
      <w:r>
        <w:rPr>
          <w:rFonts w:hAnsi="Cambria Math"/>
          <w:iCs/>
          <w:lang w:eastAsia="zh-CN"/>
        </w:rPr>
        <w:t>ith the proposed ALF-SPLIT method. And each class presents consistency</w:t>
      </w:r>
      <w:r>
        <w:rPr>
          <w:rFonts w:hint="eastAsia" w:hAnsi="Cambria Math"/>
          <w:iCs/>
          <w:lang w:eastAsia="zh-CN"/>
        </w:rPr>
        <w:t>.</w:t>
      </w:r>
    </w:p>
    <w:p>
      <w:pPr>
        <w:tabs>
          <w:tab w:val="left" w:pos="420"/>
          <w:tab w:val="clear" w:pos="360"/>
        </w:tabs>
        <w:overflowPunct/>
        <w:autoSpaceDE/>
        <w:adjustRightInd/>
        <w:spacing w:before="0"/>
        <w:jc w:val="center"/>
        <w:rPr>
          <w:rFonts w:eastAsia="等线"/>
          <w:lang w:eastAsia="zh-CN"/>
        </w:rPr>
      </w:pPr>
      <w:r>
        <w:rPr>
          <w:lang w:val="en-CA"/>
        </w:rPr>
        <w:t xml:space="preserve">Table </w:t>
      </w:r>
      <w:r>
        <w:rPr>
          <w:rFonts w:hint="eastAsia"/>
          <w:lang w:eastAsia="zh-CN"/>
        </w:rPr>
        <w:t>2</w:t>
      </w:r>
      <w:r>
        <w:rPr>
          <w:lang w:val="en-CA"/>
        </w:rPr>
        <w:t>.</w:t>
      </w:r>
      <w:r>
        <w:rPr>
          <w:rFonts w:eastAsia="等线"/>
          <w:lang w:eastAsia="zh-CN"/>
        </w:rPr>
        <w:t xml:space="preserve"> </w:t>
      </w:r>
      <w:r>
        <w:rPr>
          <w:rFonts w:hint="eastAsia"/>
          <w:lang w:eastAsia="zh-CN"/>
        </w:rPr>
        <w:t>The ratio of ALF ON</w:t>
      </w:r>
      <w:r>
        <w:rPr>
          <w:rFonts w:eastAsia="等线"/>
          <w:lang w:eastAsia="zh-CN"/>
        </w:rPr>
        <w:t>(</w:t>
      </w:r>
      <w:r>
        <w:rPr>
          <w:rFonts w:hAnsi="Cambria Math"/>
          <w:iCs/>
          <w:lang w:eastAsia="zh-CN"/>
        </w:rPr>
        <w:t>NCS2.0</w:t>
      </w:r>
      <w:r>
        <w:rPr>
          <w:rFonts w:hint="eastAsia" w:hAnsi="Cambria Math"/>
          <w:iCs/>
          <w:lang w:eastAsia="zh-CN"/>
        </w:rPr>
        <w:t xml:space="preserve"> m_nnlfoption=1 </w:t>
      </w:r>
      <w:r>
        <w:rPr>
          <w:rFonts w:eastAsia="等线"/>
          <w:lang w:eastAsia="zh-CN"/>
        </w:rPr>
        <w:t>AI)</w:t>
      </w:r>
    </w:p>
    <w:tbl>
      <w:tblPr>
        <w:tblStyle w:val="9"/>
        <w:tblW w:w="8739" w:type="dxa"/>
        <w:tblInd w:w="98" w:type="dxa"/>
        <w:tblLayout w:type="autofit"/>
        <w:tblCellMar>
          <w:top w:w="0" w:type="dxa"/>
          <w:left w:w="108" w:type="dxa"/>
          <w:bottom w:w="0" w:type="dxa"/>
          <w:right w:w="108" w:type="dxa"/>
        </w:tblCellMar>
      </w:tblPr>
      <w:tblGrid>
        <w:gridCol w:w="1218"/>
        <w:gridCol w:w="1199"/>
        <w:gridCol w:w="1199"/>
        <w:gridCol w:w="1199"/>
        <w:gridCol w:w="1376"/>
        <w:gridCol w:w="1324"/>
        <w:gridCol w:w="1224"/>
      </w:tblGrid>
      <w:tr>
        <w:tblPrEx>
          <w:tblCellMar>
            <w:top w:w="0" w:type="dxa"/>
            <w:left w:w="108" w:type="dxa"/>
            <w:bottom w:w="0" w:type="dxa"/>
            <w:right w:w="108" w:type="dxa"/>
          </w:tblCellMar>
        </w:tblPrEx>
        <w:trPr>
          <w:trHeight w:val="329" w:hRule="atLeast"/>
        </w:trPr>
        <w:tc>
          <w:tcPr>
            <w:tcW w:w="1218" w:type="dxa"/>
            <w:tcBorders>
              <w:top w:val="nil"/>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7521" w:type="dxa"/>
            <w:gridSpan w:val="6"/>
            <w:tcBorders>
              <w:top w:val="single" w:color="000000" w:sz="8" w:space="0"/>
              <w:left w:val="single" w:color="000000" w:sz="8" w:space="0"/>
              <w:bottom w:val="nil"/>
              <w:right w:val="single" w:color="000000" w:sz="8" w:space="0"/>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NCS2.0(m_nnlfoption=</w:t>
            </w:r>
            <w:r>
              <w:rPr>
                <w:rFonts w:eastAsia="Times New Roman"/>
                <w:bCs/>
                <w:color w:val="000000"/>
                <w:sz w:val="18"/>
                <w:szCs w:val="18"/>
                <w:lang w:eastAsia="zh-CN"/>
              </w:rPr>
              <w:t>1</w:t>
            </w:r>
            <w:r>
              <w:rPr>
                <w:rFonts w:hint="eastAsia" w:eastAsia="Times New Roman"/>
                <w:bCs/>
                <w:color w:val="000000"/>
                <w:sz w:val="18"/>
                <w:szCs w:val="18"/>
                <w:lang w:eastAsia="zh-CN"/>
              </w:rPr>
              <w:t>)</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ALF</w:t>
            </w:r>
          </w:p>
        </w:tc>
        <w:tc>
          <w:tcPr>
            <w:tcW w:w="1199"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ALF</w:t>
            </w:r>
          </w:p>
        </w:tc>
        <w:tc>
          <w:tcPr>
            <w:tcW w:w="1376"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ALF</w:t>
            </w:r>
          </w:p>
        </w:tc>
        <w:tc>
          <w:tcPr>
            <w:tcW w:w="1324"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CCALF</w:t>
            </w:r>
          </w:p>
        </w:tc>
        <w:tc>
          <w:tcPr>
            <w:tcW w:w="1224" w:type="dxa"/>
            <w:tcBorders>
              <w:top w:val="single" w:color="000000" w:sz="8" w:space="0"/>
              <w:left w:val="nil"/>
              <w:bottom w:val="nil"/>
              <w:right w:val="single" w:color="000000" w:sz="8" w:space="0"/>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CCALF</w:t>
            </w:r>
          </w:p>
        </w:tc>
      </w:tr>
      <w:tr>
        <w:tblPrEx>
          <w:tblCellMar>
            <w:top w:w="0" w:type="dxa"/>
            <w:left w:w="108" w:type="dxa"/>
            <w:bottom w:w="0" w:type="dxa"/>
            <w:right w:w="108" w:type="dxa"/>
          </w:tblCellMar>
        </w:tblPrEx>
        <w:trPr>
          <w:trHeight w:val="242" w:hRule="atLeast"/>
        </w:trPr>
        <w:tc>
          <w:tcPr>
            <w:tcW w:w="1218"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A1</w:t>
            </w:r>
          </w:p>
        </w:tc>
        <w:tc>
          <w:tcPr>
            <w:tcW w:w="1199" w:type="dxa"/>
            <w:tcBorders>
              <w:top w:val="single" w:color="000000" w:sz="8" w:space="0"/>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99.12%</w:t>
            </w:r>
          </w:p>
        </w:tc>
        <w:tc>
          <w:tcPr>
            <w:tcW w:w="1199"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97.70%</w:t>
            </w:r>
          </w:p>
        </w:tc>
        <w:tc>
          <w:tcPr>
            <w:tcW w:w="1376"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97.70%</w:t>
            </w:r>
          </w:p>
        </w:tc>
        <w:tc>
          <w:tcPr>
            <w:tcW w:w="1324"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51.68%</w:t>
            </w:r>
          </w:p>
        </w:tc>
        <w:tc>
          <w:tcPr>
            <w:tcW w:w="1224" w:type="dxa"/>
            <w:tcBorders>
              <w:top w:val="single" w:color="000000" w:sz="8" w:space="0"/>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55.40%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A2</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B</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92.76%</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82.85%</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82.85%</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58.75%</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56.58%</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C</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69.04%</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60.84%</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60.84%</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39.92%</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38.24%</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E</w:t>
            </w:r>
          </w:p>
        </w:tc>
        <w:tc>
          <w:tcPr>
            <w:tcW w:w="1199" w:type="dxa"/>
            <w:tcBorders>
              <w:top w:val="nil"/>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376"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324"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43.29%</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Overall</w:t>
            </w:r>
          </w:p>
        </w:tc>
        <w:tc>
          <w:tcPr>
            <w:tcW w:w="1199" w:type="dxa"/>
            <w:tcBorders>
              <w:top w:val="single" w:color="000000" w:sz="8" w:space="0"/>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88.01%</w:t>
            </w:r>
          </w:p>
        </w:tc>
        <w:tc>
          <w:tcPr>
            <w:tcW w:w="1199"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p>
        </w:tc>
        <w:tc>
          <w:tcPr>
            <w:tcW w:w="1199"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79.89%</w:t>
            </w:r>
          </w:p>
        </w:tc>
        <w:tc>
          <w:tcPr>
            <w:tcW w:w="1376"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79.89%</w:t>
            </w:r>
          </w:p>
        </w:tc>
        <w:tc>
          <w:tcPr>
            <w:tcW w:w="1324"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48.91%</w:t>
            </w:r>
          </w:p>
        </w:tc>
        <w:tc>
          <w:tcPr>
            <w:tcW w:w="1224" w:type="dxa"/>
            <w:tcBorders>
              <w:top w:val="single" w:color="000000" w:sz="8" w:space="0"/>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44.39%</w:t>
            </w:r>
          </w:p>
        </w:tc>
      </w:tr>
      <w:tr>
        <w:tblPrEx>
          <w:tblCellMar>
            <w:top w:w="0" w:type="dxa"/>
            <w:left w:w="108" w:type="dxa"/>
            <w:bottom w:w="0" w:type="dxa"/>
            <w:right w:w="108" w:type="dxa"/>
          </w:tblCellMar>
        </w:tblPrEx>
        <w:trPr>
          <w:trHeight w:val="242"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55.15%</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22.18%</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22.18%</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24.02%</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15.48%</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1199" w:type="dxa"/>
            <w:tcBorders>
              <w:top w:val="nil"/>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376"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324"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48.03%</w:t>
            </w:r>
          </w:p>
        </w:tc>
        <w:tc>
          <w:tcPr>
            <w:tcW w:w="1224" w:type="dxa"/>
            <w:tcBorders>
              <w:top w:val="nil"/>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41.76%</w:t>
            </w:r>
          </w:p>
        </w:tc>
      </w:tr>
      <w:tr>
        <w:tblPrEx>
          <w:tblCellMar>
            <w:top w:w="0" w:type="dxa"/>
            <w:left w:w="108" w:type="dxa"/>
            <w:bottom w:w="0" w:type="dxa"/>
            <w:right w:w="108" w:type="dxa"/>
          </w:tblCellMar>
        </w:tblPrEx>
        <w:trPr>
          <w:trHeight w:val="316" w:hRule="atLeast"/>
        </w:trPr>
        <w:tc>
          <w:tcPr>
            <w:tcW w:w="1218" w:type="dxa"/>
            <w:tcBorders>
              <w:top w:val="nil"/>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7521" w:type="dxa"/>
            <w:gridSpan w:val="6"/>
            <w:tcBorders>
              <w:top w:val="single" w:color="000000" w:sz="8" w:space="0"/>
              <w:left w:val="single" w:color="000000" w:sz="8" w:space="0"/>
              <w:bottom w:val="nil"/>
              <w:right w:val="single" w:color="000000" w:sz="8" w:space="0"/>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NCS2.0(m_nnlfoption=</w:t>
            </w:r>
            <w:r>
              <w:rPr>
                <w:rFonts w:eastAsia="Times New Roman"/>
                <w:bCs/>
                <w:color w:val="000000"/>
                <w:sz w:val="18"/>
                <w:szCs w:val="18"/>
                <w:lang w:eastAsia="zh-CN"/>
              </w:rPr>
              <w:t>1</w:t>
            </w:r>
            <w:r>
              <w:rPr>
                <w:rFonts w:hint="eastAsia" w:eastAsia="Times New Roman"/>
                <w:bCs/>
                <w:color w:val="000000"/>
                <w:sz w:val="18"/>
                <w:szCs w:val="18"/>
                <w:lang w:eastAsia="zh-CN"/>
              </w:rPr>
              <w:t>)</w:t>
            </w:r>
            <w:r>
              <w:rPr>
                <w:rFonts w:eastAsia="Times New Roman"/>
                <w:bCs/>
                <w:color w:val="000000"/>
                <w:sz w:val="18"/>
                <w:szCs w:val="18"/>
                <w:lang w:eastAsia="zh-CN"/>
              </w:rPr>
              <w:t>+ALF-SPLIT</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p>
        </w:tc>
        <w:tc>
          <w:tcPr>
            <w:tcW w:w="1199"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ALF</w:t>
            </w:r>
          </w:p>
        </w:tc>
        <w:tc>
          <w:tcPr>
            <w:tcW w:w="1199"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Chroma ALF</w:t>
            </w:r>
          </w:p>
        </w:tc>
        <w:tc>
          <w:tcPr>
            <w:tcW w:w="1199"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ALF</w:t>
            </w:r>
          </w:p>
        </w:tc>
        <w:tc>
          <w:tcPr>
            <w:tcW w:w="1376"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ALF</w:t>
            </w:r>
          </w:p>
        </w:tc>
        <w:tc>
          <w:tcPr>
            <w:tcW w:w="1324" w:type="dxa"/>
            <w:tcBorders>
              <w:top w:val="single" w:color="000000" w:sz="8" w:space="0"/>
              <w:left w:val="nil"/>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Cb CCALF</w:t>
            </w:r>
          </w:p>
        </w:tc>
        <w:tc>
          <w:tcPr>
            <w:tcW w:w="1224" w:type="dxa"/>
            <w:tcBorders>
              <w:top w:val="single" w:color="000000" w:sz="8" w:space="0"/>
              <w:left w:val="nil"/>
              <w:bottom w:val="nil"/>
              <w:right w:val="single" w:color="000000" w:sz="8" w:space="0"/>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Cr CCALF</w:t>
            </w:r>
          </w:p>
        </w:tc>
      </w:tr>
      <w:tr>
        <w:tblPrEx>
          <w:tblCellMar>
            <w:top w:w="0" w:type="dxa"/>
            <w:left w:w="108" w:type="dxa"/>
            <w:bottom w:w="0" w:type="dxa"/>
            <w:right w:w="108" w:type="dxa"/>
          </w:tblCellMar>
        </w:tblPrEx>
        <w:trPr>
          <w:trHeight w:val="242" w:hRule="atLeast"/>
        </w:trPr>
        <w:tc>
          <w:tcPr>
            <w:tcW w:w="1218" w:type="dxa"/>
            <w:tcBorders>
              <w:top w:val="single" w:color="000000" w:sz="8" w:space="0"/>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A1</w:t>
            </w:r>
          </w:p>
        </w:tc>
        <w:tc>
          <w:tcPr>
            <w:tcW w:w="1199" w:type="dxa"/>
            <w:tcBorders>
              <w:top w:val="single" w:color="000000" w:sz="8" w:space="0"/>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99.12%</w:t>
            </w:r>
          </w:p>
        </w:tc>
        <w:tc>
          <w:tcPr>
            <w:tcW w:w="1199"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98.41%</w:t>
            </w:r>
          </w:p>
        </w:tc>
        <w:tc>
          <w:tcPr>
            <w:tcW w:w="1199"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98.41%</w:t>
            </w:r>
          </w:p>
        </w:tc>
        <w:tc>
          <w:tcPr>
            <w:tcW w:w="1376"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98.41%</w:t>
            </w:r>
          </w:p>
        </w:tc>
        <w:tc>
          <w:tcPr>
            <w:tcW w:w="1324" w:type="dxa"/>
            <w:tcBorders>
              <w:top w:val="single" w:color="000000" w:sz="8" w:space="0"/>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51.68%</w:t>
            </w:r>
          </w:p>
        </w:tc>
        <w:tc>
          <w:tcPr>
            <w:tcW w:w="1224" w:type="dxa"/>
            <w:tcBorders>
              <w:top w:val="single" w:color="000000" w:sz="8" w:space="0"/>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55.40%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A2</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96.49%</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B</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92.76%</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85.53%</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84.96%</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84.96%</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57.83%</w:t>
            </w:r>
          </w:p>
        </w:tc>
      </w:tr>
      <w:tr>
        <w:tblPrEx>
          <w:tblCellMar>
            <w:top w:w="0" w:type="dxa"/>
            <w:left w:w="108" w:type="dxa"/>
            <w:bottom w:w="0" w:type="dxa"/>
            <w:right w:w="108" w:type="dxa"/>
          </w:tblCellMar>
        </w:tblPrEx>
        <w:trPr>
          <w:trHeight w:val="210"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C</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69.04%</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83.77%</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79.33%</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79.33%</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57.57%</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53.14%</w:t>
            </w:r>
          </w:p>
        </w:tc>
      </w:tr>
      <w:tr>
        <w:tblPrEx>
          <w:tblCellMar>
            <w:top w:w="0" w:type="dxa"/>
            <w:left w:w="108" w:type="dxa"/>
            <w:bottom w:w="0" w:type="dxa"/>
            <w:right w:w="108" w:type="dxa"/>
          </w:tblCellMar>
        </w:tblPrEx>
        <w:trPr>
          <w:trHeight w:val="220" w:hRule="atLeast"/>
        </w:trPr>
        <w:tc>
          <w:tcPr>
            <w:tcW w:w="1218" w:type="dxa"/>
            <w:tcBorders>
              <w:top w:val="nil"/>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E</w:t>
            </w:r>
          </w:p>
        </w:tc>
        <w:tc>
          <w:tcPr>
            <w:tcW w:w="1199" w:type="dxa"/>
            <w:tcBorders>
              <w:top w:val="nil"/>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376"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324"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60.00%</w:t>
            </w:r>
          </w:p>
        </w:tc>
        <w:tc>
          <w:tcPr>
            <w:tcW w:w="1224" w:type="dxa"/>
            <w:tcBorders>
              <w:top w:val="nil"/>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43.29%</w:t>
            </w:r>
          </w:p>
        </w:tc>
      </w:tr>
      <w:tr>
        <w:tblPrEx>
          <w:tblCellMar>
            <w:top w:w="0" w:type="dxa"/>
            <w:left w:w="108" w:type="dxa"/>
            <w:bottom w:w="0" w:type="dxa"/>
            <w:right w:w="108" w:type="dxa"/>
          </w:tblCellMar>
        </w:tblPrEx>
        <w:trPr>
          <w:trHeight w:val="245" w:hRule="atLeast"/>
        </w:trPr>
        <w:tc>
          <w:tcPr>
            <w:tcW w:w="1218" w:type="dxa"/>
            <w:tcBorders>
              <w:top w:val="single" w:color="000000" w:sz="8" w:space="0"/>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
                <w:color w:val="000000"/>
                <w:sz w:val="18"/>
                <w:szCs w:val="18"/>
                <w:lang w:eastAsia="zh-CN"/>
              </w:rPr>
            </w:pPr>
            <w:r>
              <w:rPr>
                <w:rFonts w:eastAsia="Times New Roman"/>
                <w:b/>
                <w:color w:val="000000"/>
                <w:sz w:val="18"/>
                <w:szCs w:val="18"/>
                <w:lang w:eastAsia="zh-CN"/>
              </w:rPr>
              <w:t>Overall</w:t>
            </w:r>
          </w:p>
        </w:tc>
        <w:tc>
          <w:tcPr>
            <w:tcW w:w="1199" w:type="dxa"/>
            <w:tcBorders>
              <w:top w:val="single" w:color="000000" w:sz="8" w:space="0"/>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88.01%</w:t>
            </w:r>
          </w:p>
        </w:tc>
        <w:tc>
          <w:tcPr>
            <w:tcW w:w="1199"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89.04%</w:t>
            </w:r>
          </w:p>
        </w:tc>
        <w:tc>
          <w:tcPr>
            <w:tcW w:w="1199"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86.39%</w:t>
            </w:r>
          </w:p>
        </w:tc>
        <w:tc>
          <w:tcPr>
            <w:tcW w:w="1376"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86.39%</w:t>
            </w:r>
          </w:p>
        </w:tc>
        <w:tc>
          <w:tcPr>
            <w:tcW w:w="1324" w:type="dxa"/>
            <w:tcBorders>
              <w:top w:val="single" w:color="000000" w:sz="8" w:space="0"/>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54.20%</w:t>
            </w:r>
          </w:p>
        </w:tc>
        <w:tc>
          <w:tcPr>
            <w:tcW w:w="1224" w:type="dxa"/>
            <w:tcBorders>
              <w:top w:val="single" w:color="000000" w:sz="8" w:space="0"/>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
                <w:color w:val="000000"/>
                <w:sz w:val="18"/>
                <w:szCs w:val="18"/>
                <w:lang w:eastAsia="zh-CN"/>
              </w:rPr>
            </w:pPr>
            <w:r>
              <w:rPr>
                <w:rFonts w:hint="eastAsia" w:eastAsia="Times New Roman"/>
                <w:b/>
                <w:color w:val="000000"/>
                <w:sz w:val="18"/>
                <w:szCs w:val="18"/>
                <w:lang w:eastAsia="zh-CN"/>
              </w:rPr>
              <w:t>47.67%</w:t>
            </w:r>
          </w:p>
        </w:tc>
      </w:tr>
      <w:tr>
        <w:tblPrEx>
          <w:tblCellMar>
            <w:top w:w="0" w:type="dxa"/>
            <w:left w:w="108" w:type="dxa"/>
            <w:bottom w:w="0" w:type="dxa"/>
            <w:right w:w="108" w:type="dxa"/>
          </w:tblCellMar>
        </w:tblPrEx>
        <w:trPr>
          <w:trHeight w:val="242" w:hRule="atLeast"/>
        </w:trPr>
        <w:tc>
          <w:tcPr>
            <w:tcW w:w="1218" w:type="dxa"/>
            <w:tcBorders>
              <w:top w:val="nil"/>
              <w:left w:val="single" w:color="000000" w:sz="8" w:space="0"/>
              <w:bottom w:val="nil"/>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1199" w:type="dxa"/>
            <w:tcBorders>
              <w:top w:val="nil"/>
              <w:left w:val="single" w:color="000000" w:sz="8" w:space="0"/>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55.15%</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59.92%</w:t>
            </w:r>
          </w:p>
        </w:tc>
        <w:tc>
          <w:tcPr>
            <w:tcW w:w="1199"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46.36%</w:t>
            </w:r>
          </w:p>
        </w:tc>
        <w:tc>
          <w:tcPr>
            <w:tcW w:w="1376"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46.36%</w:t>
            </w:r>
          </w:p>
        </w:tc>
        <w:tc>
          <w:tcPr>
            <w:tcW w:w="1324" w:type="dxa"/>
            <w:tcBorders>
              <w:top w:val="nil"/>
              <w:left w:val="nil"/>
              <w:bottom w:val="nil"/>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42.09%</w:t>
            </w:r>
          </w:p>
        </w:tc>
        <w:tc>
          <w:tcPr>
            <w:tcW w:w="1224" w:type="dxa"/>
            <w:tcBorders>
              <w:top w:val="nil"/>
              <w:left w:val="nil"/>
              <w:bottom w:val="nil"/>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22.26%</w:t>
            </w:r>
          </w:p>
        </w:tc>
      </w:tr>
      <w:tr>
        <w:tblPrEx>
          <w:tblCellMar>
            <w:top w:w="0" w:type="dxa"/>
            <w:left w:w="108" w:type="dxa"/>
            <w:bottom w:w="0" w:type="dxa"/>
            <w:right w:w="108" w:type="dxa"/>
          </w:tblCellMar>
        </w:tblPrEx>
        <w:trPr>
          <w:trHeight w:val="252" w:hRule="atLeast"/>
        </w:trPr>
        <w:tc>
          <w:tcPr>
            <w:tcW w:w="1218" w:type="dxa"/>
            <w:tcBorders>
              <w:top w:val="nil"/>
              <w:left w:val="single" w:color="000000" w:sz="8" w:space="0"/>
              <w:bottom w:val="single" w:color="000000" w:sz="8" w:space="0"/>
              <w:right w:val="nil"/>
            </w:tcBorders>
            <w:shd w:val="clear" w:color="auto" w:fill="auto"/>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1199" w:type="dxa"/>
            <w:tcBorders>
              <w:top w:val="nil"/>
              <w:left w:val="single" w:color="000000" w:sz="8" w:space="0"/>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100.00%</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199"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376"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99.16%</w:t>
            </w:r>
          </w:p>
        </w:tc>
        <w:tc>
          <w:tcPr>
            <w:tcW w:w="1324" w:type="dxa"/>
            <w:tcBorders>
              <w:top w:val="nil"/>
              <w:left w:val="nil"/>
              <w:bottom w:val="single" w:color="000000" w:sz="8" w:space="0"/>
              <w:right w:val="nil"/>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48.03%</w:t>
            </w:r>
          </w:p>
        </w:tc>
        <w:tc>
          <w:tcPr>
            <w:tcW w:w="1224" w:type="dxa"/>
            <w:tcBorders>
              <w:top w:val="nil"/>
              <w:left w:val="nil"/>
              <w:bottom w:val="single" w:color="000000" w:sz="8" w:space="0"/>
              <w:right w:val="single" w:color="000000" w:sz="8" w:space="0"/>
            </w:tcBorders>
            <w:shd w:val="clear" w:color="auto" w:fill="auto"/>
            <w:vAlign w:val="bottom"/>
          </w:tcPr>
          <w:p>
            <w:pPr>
              <w:tabs>
                <w:tab w:val="clear" w:pos="360"/>
              </w:tabs>
              <w:overflowPunct/>
              <w:autoSpaceDE/>
              <w:adjustRightInd/>
              <w:spacing w:before="0"/>
              <w:jc w:val="center"/>
              <w:rPr>
                <w:rFonts w:eastAsia="Times New Roman"/>
                <w:bCs/>
                <w:color w:val="000000"/>
                <w:sz w:val="18"/>
                <w:szCs w:val="18"/>
                <w:lang w:eastAsia="zh-CN"/>
              </w:rPr>
            </w:pPr>
            <w:r>
              <w:rPr>
                <w:rFonts w:hint="eastAsia" w:eastAsia="Times New Roman"/>
                <w:bCs/>
                <w:color w:val="000000"/>
                <w:sz w:val="18"/>
                <w:szCs w:val="18"/>
                <w:lang w:eastAsia="zh-CN"/>
              </w:rPr>
              <w:t>41.76%</w:t>
            </w:r>
          </w:p>
        </w:tc>
      </w:tr>
    </w:tbl>
    <w:p>
      <w:pPr>
        <w:tabs>
          <w:tab w:val="left" w:pos="1490"/>
          <w:tab w:val="clear" w:pos="1440"/>
          <w:tab w:val="clear" w:pos="1800"/>
        </w:tabs>
        <w:rPr>
          <w:lang w:eastAsia="zh-CN"/>
        </w:rPr>
      </w:pPr>
    </w:p>
    <w:p>
      <w:pPr>
        <w:tabs>
          <w:tab w:val="left" w:pos="1490"/>
          <w:tab w:val="clear" w:pos="1440"/>
          <w:tab w:val="clear" w:pos="1800"/>
        </w:tabs>
        <w:rPr>
          <w:lang w:eastAsia="zh-CN"/>
        </w:rPr>
      </w:pPr>
      <w:r>
        <w:rPr>
          <w:rFonts w:hint="eastAsia"/>
          <w:lang w:eastAsia="zh-CN"/>
        </w:rPr>
        <w:t>Based on</w:t>
      </w:r>
      <w:r>
        <w:rPr>
          <w:lang w:eastAsia="zh-CN"/>
        </w:rPr>
        <w:t xml:space="preserve"> the platform in </w:t>
      </w:r>
      <w:bookmarkStart w:id="5" w:name="OLE_LINK63"/>
      <w:r>
        <w:rPr>
          <w:lang w:eastAsia="zh-CN"/>
        </w:rPr>
        <w:t>NCS2.0(m_nnlfoption=2)</w:t>
      </w:r>
      <w:r>
        <w:rPr>
          <w:rFonts w:hint="eastAsia"/>
          <w:lang w:eastAsia="zh-CN"/>
        </w:rPr>
        <w:t>,</w:t>
      </w:r>
      <w:bookmarkEnd w:id="5"/>
      <w:r>
        <w:rPr>
          <w:rFonts w:hint="eastAsia"/>
          <w:lang w:eastAsia="zh-CN"/>
        </w:rPr>
        <w:t xml:space="preserve"> coding</w:t>
      </w:r>
      <w:r>
        <w:rPr>
          <w:lang w:eastAsia="zh-CN"/>
        </w:rPr>
        <w:t xml:space="preserve"> </w:t>
      </w:r>
      <w:r>
        <w:rPr>
          <w:rFonts w:hint="eastAsia"/>
          <w:lang w:eastAsia="zh-CN"/>
        </w:rPr>
        <w:t>performance</w:t>
      </w:r>
      <w:r>
        <w:rPr>
          <w:lang w:eastAsia="zh-CN"/>
        </w:rPr>
        <w:t xml:space="preserve"> experiment was conducted following the common test conditions defined in </w:t>
      </w:r>
      <w:r>
        <w:rPr>
          <w:lang w:eastAsia="zh-CN"/>
        </w:rPr>
        <w:fldChar w:fldCharType="begin"/>
      </w:r>
      <w:r>
        <w:rPr>
          <w:lang w:eastAsia="zh-CN"/>
        </w:rPr>
        <w:instrText xml:space="preserve"> REF _Ref60061878 \r \h </w:instrText>
      </w:r>
      <w:r>
        <w:rPr>
          <w:lang w:eastAsia="zh-CN"/>
        </w:rPr>
        <w:fldChar w:fldCharType="separate"/>
      </w:r>
      <w:r>
        <w:rPr>
          <w:lang w:eastAsia="zh-CN"/>
        </w:rPr>
        <w:t>[</w:t>
      </w:r>
      <w:r>
        <w:rPr>
          <w:rFonts w:hint="eastAsia"/>
          <w:lang w:eastAsia="zh-CN"/>
        </w:rPr>
        <w:t>4</w:t>
      </w:r>
      <w:r>
        <w:rPr>
          <w:lang w:eastAsia="zh-CN"/>
        </w:rPr>
        <w:t>]</w:t>
      </w:r>
      <w:r>
        <w:rPr>
          <w:lang w:eastAsia="zh-CN"/>
        </w:rPr>
        <w:fldChar w:fldCharType="end"/>
      </w:r>
      <w:r>
        <w:rPr>
          <w:lang w:eastAsia="zh-CN"/>
        </w:rPr>
        <w:t xml:space="preserve">. Experimental results are shown in Table </w:t>
      </w:r>
      <w:r>
        <w:rPr>
          <w:rFonts w:hint="eastAsia"/>
          <w:lang w:eastAsia="zh-CN"/>
        </w:rPr>
        <w:t>3</w:t>
      </w:r>
      <w:r>
        <w:rPr>
          <w:lang w:eastAsia="zh-CN"/>
        </w:rPr>
        <w:t xml:space="preserve"> </w:t>
      </w:r>
      <w:r>
        <w:rPr>
          <w:rFonts w:hint="eastAsia"/>
          <w:lang w:eastAsia="zh-CN"/>
        </w:rPr>
        <w:t>and</w:t>
      </w:r>
      <w:r>
        <w:rPr>
          <w:lang w:eastAsia="zh-CN"/>
        </w:rPr>
        <w:t xml:space="preserve"> Table </w:t>
      </w:r>
      <w:r>
        <w:rPr>
          <w:rFonts w:hint="eastAsia"/>
          <w:lang w:eastAsia="zh-CN"/>
        </w:rPr>
        <w:t>4</w:t>
      </w:r>
      <w:r>
        <w:rPr>
          <w:lang w:eastAsia="zh-CN"/>
        </w:rPr>
        <w:t>. The proposed method obtains 0.0</w:t>
      </w:r>
      <w:r>
        <w:rPr>
          <w:rFonts w:hint="eastAsia"/>
          <w:lang w:eastAsia="zh-CN"/>
        </w:rPr>
        <w:t>2</w:t>
      </w:r>
      <w:r>
        <w:rPr>
          <w:lang w:eastAsia="zh-CN"/>
        </w:rPr>
        <w:t>%, -0.</w:t>
      </w:r>
      <w:r>
        <w:rPr>
          <w:rFonts w:hint="eastAsia"/>
          <w:lang w:eastAsia="zh-CN"/>
        </w:rPr>
        <w:t>71</w:t>
      </w:r>
      <w:r>
        <w:rPr>
          <w:lang w:eastAsia="zh-CN"/>
        </w:rPr>
        <w:t>%, and -</w:t>
      </w:r>
      <w:r>
        <w:rPr>
          <w:rFonts w:hint="eastAsia"/>
          <w:lang w:eastAsia="zh-CN"/>
        </w:rPr>
        <w:t>0.87</w:t>
      </w:r>
      <w:r>
        <w:rPr>
          <w:lang w:eastAsia="zh-CN"/>
        </w:rPr>
        <w:t xml:space="preserve">% BD-rate for AI configuration on average for Y, </w:t>
      </w:r>
      <w:r>
        <w:rPr>
          <w:rFonts w:hint="eastAsia"/>
          <w:lang w:eastAsia="zh-CN"/>
        </w:rPr>
        <w:t>C</w:t>
      </w:r>
      <w:r>
        <w:rPr>
          <w:lang w:eastAsia="zh-CN"/>
        </w:rPr>
        <w:t>b, and Cr components, respectively.</w:t>
      </w:r>
    </w:p>
    <w:p>
      <w:pPr>
        <w:tabs>
          <w:tab w:val="left" w:pos="1490"/>
          <w:tab w:val="clear" w:pos="1440"/>
          <w:tab w:val="clear" w:pos="180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3</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the proposed method on top of </w:t>
      </w:r>
      <w:r>
        <w:rPr>
          <w:rFonts w:hAnsi="Cambria Math"/>
          <w:iCs/>
          <w:lang w:eastAsia="zh-CN"/>
        </w:rPr>
        <w:t>NCS2.0</w:t>
      </w:r>
      <w:r>
        <w:rPr>
          <w:rFonts w:hint="eastAsia" w:hAnsi="Cambria Math"/>
          <w:iCs/>
          <w:lang w:eastAsia="zh-CN"/>
        </w:rPr>
        <w:t xml:space="preserve"> (m_nnlfoption=2)(AI)</w:t>
      </w:r>
    </w:p>
    <w:tbl>
      <w:tblPr>
        <w:tblStyle w:val="9"/>
        <w:tblW w:w="5125"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774"/>
        <w:gridCol w:w="774"/>
        <w:gridCol w:w="774"/>
        <w:gridCol w:w="774"/>
        <w:gridCol w:w="776"/>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99</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-2.7</w:t>
            </w:r>
            <w:r>
              <w:rPr>
                <w:rFonts w:hint="eastAsia"/>
                <w:color w:val="000000"/>
                <w:sz w:val="18"/>
                <w:szCs w:val="18"/>
                <w:lang w:eastAsia="zh-CN"/>
              </w:rPr>
              <w:t>0</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04</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02</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1</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0.57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0.57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5</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w:t>
            </w:r>
            <w:r>
              <w:rPr>
                <w:rFonts w:hint="eastAsia"/>
                <w:color w:val="000000"/>
                <w:sz w:val="18"/>
                <w:szCs w:val="18"/>
                <w:lang w:eastAsia="zh-CN"/>
              </w:rPr>
              <w:t>73</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w:t>
            </w:r>
            <w:r>
              <w:rPr>
                <w:rFonts w:hint="eastAsia"/>
                <w:color w:val="000000"/>
                <w:sz w:val="18"/>
                <w:szCs w:val="18"/>
                <w:lang w:eastAsia="zh-CN"/>
              </w:rPr>
              <w:t>6</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0</w:t>
            </w:r>
            <w:r>
              <w:rPr>
                <w:color w:val="000000"/>
                <w:sz w:val="18"/>
                <w:szCs w:val="18"/>
              </w:rPr>
              <w:t>%</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w:t>
            </w:r>
            <w:r>
              <w:rPr>
                <w:rFonts w:hint="eastAsia"/>
                <w:b/>
                <w:bCs/>
                <w:color w:val="000000"/>
                <w:sz w:val="18"/>
                <w:szCs w:val="18"/>
                <w:lang w:eastAsia="zh-CN"/>
              </w:rPr>
              <w:t>2</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w:t>
            </w:r>
            <w:r>
              <w:rPr>
                <w:rFonts w:hint="eastAsia"/>
                <w:b/>
                <w:bCs/>
                <w:color w:val="000000"/>
                <w:sz w:val="18"/>
                <w:szCs w:val="18"/>
                <w:lang w:eastAsia="zh-CN"/>
              </w:rPr>
              <w:t>71</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w:t>
            </w:r>
            <w:r>
              <w:rPr>
                <w:rFonts w:hint="eastAsia"/>
                <w:b/>
                <w:bCs/>
                <w:color w:val="000000"/>
                <w:sz w:val="18"/>
                <w:szCs w:val="18"/>
                <w:lang w:eastAsia="zh-CN"/>
              </w:rPr>
              <w:t>0.87</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w:t>
            </w:r>
            <w:r>
              <w:rPr>
                <w:rFonts w:hint="eastAsia"/>
                <w:color w:val="000000"/>
                <w:sz w:val="18"/>
                <w:szCs w:val="18"/>
                <w:lang w:eastAsia="zh-CN"/>
              </w:rPr>
              <w:t>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w:t>
            </w:r>
            <w:r>
              <w:rPr>
                <w:rFonts w:hint="eastAsia"/>
                <w:color w:val="000000"/>
                <w:sz w:val="18"/>
                <w:szCs w:val="18"/>
                <w:lang w:eastAsia="zh-CN"/>
              </w:rPr>
              <w:t>64</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w:t>
            </w:r>
            <w:r>
              <w:rPr>
                <w:rFonts w:hint="eastAsia"/>
                <w:color w:val="000000"/>
                <w:sz w:val="18"/>
                <w:szCs w:val="18"/>
                <w:lang w:eastAsia="zh-CN"/>
              </w:rPr>
              <w:t>51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r>
    </w:tbl>
    <w:p>
      <w:pPr>
        <w:tabs>
          <w:tab w:val="left" w:pos="1490"/>
          <w:tab w:val="clear" w:pos="1440"/>
          <w:tab w:val="clear" w:pos="180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4</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the proposed method on top of </w:t>
      </w:r>
      <w:r>
        <w:rPr>
          <w:rFonts w:hAnsi="Cambria Math"/>
          <w:iCs/>
          <w:lang w:eastAsia="zh-CN"/>
        </w:rPr>
        <w:t>NCS2.0</w:t>
      </w:r>
      <w:r>
        <w:rPr>
          <w:rFonts w:hint="eastAsia" w:hAnsi="Cambria Math"/>
          <w:iCs/>
          <w:lang w:eastAsia="zh-CN"/>
        </w:rPr>
        <w:t xml:space="preserve"> (m_nnlfoption=2)(RA)</w:t>
      </w:r>
    </w:p>
    <w:tbl>
      <w:tblPr>
        <w:tblStyle w:val="9"/>
        <w:tblW w:w="5125"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774"/>
        <w:gridCol w:w="774"/>
        <w:gridCol w:w="774"/>
        <w:gridCol w:w="774"/>
        <w:gridCol w:w="776"/>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-0.28%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-0.06%</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-0.15%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-0.15%</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6"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0.02%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-0.48%</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default"/>
                <w:color w:val="000000"/>
                <w:sz w:val="18"/>
                <w:szCs w:val="18"/>
                <w:lang w:val="en-US" w:eastAsia="zh-CN"/>
              </w:rPr>
              <w:t>-0.28%</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default"/>
                <w:color w:val="000000"/>
                <w:sz w:val="18"/>
                <w:szCs w:val="18"/>
                <w:lang w:val="en-US" w:eastAsia="zh-CN"/>
              </w:rPr>
              <w:t>0.01%</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default"/>
                <w:color w:val="000000"/>
                <w:sz w:val="18"/>
                <w:szCs w:val="18"/>
                <w:lang w:val="en-US" w:eastAsia="zh-CN"/>
              </w:rPr>
              <w:t>-0.06%</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default"/>
                <w:color w:val="000000"/>
                <w:sz w:val="18"/>
                <w:szCs w:val="18"/>
                <w:lang w:val="en-US" w:eastAsia="zh-CN"/>
              </w:rPr>
              <w:t>-0.07%</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c>
          <w:tcPr>
            <w:tcW w:w="776"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r>
    </w:tbl>
    <w:p>
      <w:pPr>
        <w:tabs>
          <w:tab w:val="left" w:pos="420"/>
          <w:tab w:val="clear" w:pos="360"/>
        </w:tabs>
        <w:overflowPunct/>
        <w:autoSpaceDE/>
        <w:adjustRightInd/>
        <w:spacing w:before="0"/>
        <w:rPr>
          <w:lang w:val="en-CA"/>
        </w:rPr>
      </w:pPr>
    </w:p>
    <w:p>
      <w:pPr>
        <w:tabs>
          <w:tab w:val="left" w:pos="1490"/>
          <w:tab w:val="clear" w:pos="1440"/>
          <w:tab w:val="clear" w:pos="1800"/>
        </w:tabs>
        <w:rPr>
          <w:lang w:eastAsia="zh-CN"/>
        </w:rPr>
      </w:pPr>
      <w:r>
        <w:rPr>
          <w:lang w:eastAsia="zh-CN"/>
        </w:rPr>
        <w:t>Based on the platform in NCS2.0(m_nnlfoption=1),</w:t>
      </w:r>
      <w:r>
        <w:rPr>
          <w:lang w:eastAsia="zh-CN"/>
        </w:rPr>
        <w:fldChar w:fldCharType="begin"/>
      </w:r>
      <w:r>
        <w:rPr>
          <w:lang w:eastAsia="zh-CN"/>
        </w:rPr>
        <w:instrText xml:space="preserve"> REF _Ref83763317 \n \h </w:instrText>
      </w:r>
      <w:r>
        <w:rPr>
          <w:lang w:eastAsia="zh-CN"/>
        </w:rPr>
        <w:fldChar w:fldCharType="end"/>
      </w:r>
      <w:r>
        <w:rPr>
          <w:lang w:eastAsia="zh-CN"/>
        </w:rPr>
        <w:t xml:space="preserve"> coding performance experiment was conducted following the common test conditions defined in </w:t>
      </w:r>
      <w:r>
        <w:rPr>
          <w:lang w:eastAsia="zh-CN"/>
        </w:rPr>
        <w:fldChar w:fldCharType="begin"/>
      </w:r>
      <w:r>
        <w:rPr>
          <w:lang w:eastAsia="zh-CN"/>
        </w:rPr>
        <w:instrText xml:space="preserve"> REF _Ref60061878 \r \h </w:instrText>
      </w:r>
      <w:r>
        <w:rPr>
          <w:lang w:eastAsia="zh-CN"/>
        </w:rPr>
        <w:fldChar w:fldCharType="separate"/>
      </w:r>
      <w:r>
        <w:rPr>
          <w:lang w:eastAsia="zh-CN"/>
        </w:rPr>
        <w:t>[</w:t>
      </w:r>
      <w:r>
        <w:rPr>
          <w:rFonts w:hint="eastAsia"/>
          <w:lang w:eastAsia="zh-CN"/>
        </w:rPr>
        <w:t>4</w:t>
      </w:r>
      <w:r>
        <w:rPr>
          <w:lang w:eastAsia="zh-CN"/>
        </w:rPr>
        <w:t>]</w:t>
      </w:r>
      <w:r>
        <w:rPr>
          <w:lang w:eastAsia="zh-CN"/>
        </w:rPr>
        <w:fldChar w:fldCharType="end"/>
      </w:r>
      <w:r>
        <w:rPr>
          <w:lang w:eastAsia="zh-CN"/>
        </w:rPr>
        <w:t xml:space="preserve">. Experimental results are shown in Table </w:t>
      </w:r>
      <w:r>
        <w:rPr>
          <w:rFonts w:hint="eastAsia"/>
          <w:lang w:eastAsia="zh-CN"/>
        </w:rPr>
        <w:t>5 and Table 6</w:t>
      </w:r>
      <w:r>
        <w:rPr>
          <w:lang w:eastAsia="zh-CN"/>
        </w:rPr>
        <w:t>. The proposed method obtains 0.0</w:t>
      </w:r>
      <w:r>
        <w:rPr>
          <w:rFonts w:hint="eastAsia"/>
          <w:lang w:eastAsia="zh-CN"/>
        </w:rPr>
        <w:t>1</w:t>
      </w:r>
      <w:r>
        <w:rPr>
          <w:lang w:eastAsia="zh-CN"/>
        </w:rPr>
        <w:t>%, -0.</w:t>
      </w:r>
      <w:r>
        <w:rPr>
          <w:rFonts w:hint="eastAsia"/>
          <w:lang w:eastAsia="zh-CN"/>
        </w:rPr>
        <w:t>25</w:t>
      </w:r>
      <w:r>
        <w:rPr>
          <w:lang w:eastAsia="zh-CN"/>
        </w:rPr>
        <w:t>%, and -0.</w:t>
      </w:r>
      <w:r>
        <w:rPr>
          <w:rFonts w:hint="eastAsia"/>
          <w:lang w:eastAsia="zh-CN"/>
        </w:rPr>
        <w:t>14</w:t>
      </w:r>
      <w:r>
        <w:rPr>
          <w:lang w:eastAsia="zh-CN"/>
        </w:rPr>
        <w:t>%</w:t>
      </w:r>
      <w:r>
        <w:rPr>
          <w:rFonts w:hint="eastAsia"/>
          <w:lang w:eastAsia="zh-CN"/>
        </w:rPr>
        <w:t xml:space="preserve">( </w:t>
      </w:r>
      <w:r>
        <w:rPr>
          <w:lang w:eastAsia="zh-CN"/>
        </w:rPr>
        <w:t>BD-rate for AI configuration on average for Y, Cb, and Cr components, respectively.</w:t>
      </w:r>
    </w:p>
    <w:p>
      <w:pPr>
        <w:rPr>
          <w:rFonts w:eastAsia="宋体"/>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5</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the proposed method on top of </w:t>
      </w:r>
      <w:r>
        <w:rPr>
          <w:rFonts w:hAnsi="Cambria Math"/>
          <w:iCs/>
          <w:lang w:eastAsia="zh-CN"/>
        </w:rPr>
        <w:t>NCS2.0</w:t>
      </w:r>
      <w:r>
        <w:rPr>
          <w:rFonts w:hint="eastAsia" w:hAnsi="Cambria Math"/>
          <w:iCs/>
          <w:lang w:eastAsia="zh-CN"/>
        </w:rPr>
        <w:t xml:space="preserve"> (m_nnlfoption=1)(AI)</w:t>
      </w:r>
    </w:p>
    <w:tbl>
      <w:tblPr>
        <w:tblStyle w:val="9"/>
        <w:tblW w:w="5125"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774"/>
        <w:gridCol w:w="774"/>
        <w:gridCol w:w="774"/>
        <w:gridCol w:w="774"/>
        <w:gridCol w:w="776"/>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0</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eastAsia"/>
                <w:color w:val="000000"/>
                <w:sz w:val="18"/>
                <w:szCs w:val="18"/>
                <w:lang w:eastAsia="zh-CN"/>
              </w:rPr>
              <w:t>0.00</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0.01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eastAsia"/>
                <w:color w:val="000000"/>
                <w:sz w:val="18"/>
                <w:szCs w:val="18"/>
                <w:lang w:eastAsia="zh-CN"/>
              </w:rPr>
              <w:t>0.00</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eastAsia"/>
                <w:color w:val="000000"/>
                <w:sz w:val="18"/>
                <w:szCs w:val="18"/>
                <w:lang w:eastAsia="zh-CN"/>
              </w:rPr>
              <w:t>0.00</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0</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0.11</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0.17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3</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0.98</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0.61</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1</w:t>
            </w:r>
            <w:r>
              <w:rPr>
                <w:color w:val="000000"/>
                <w:sz w:val="18"/>
                <w:szCs w:val="18"/>
              </w:rPr>
              <w:t>%</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w:t>
            </w:r>
            <w:r>
              <w:rPr>
                <w:rFonts w:hint="eastAsia"/>
                <w:b/>
                <w:bCs/>
                <w:color w:val="000000"/>
                <w:sz w:val="18"/>
                <w:szCs w:val="18"/>
                <w:lang w:eastAsia="zh-CN"/>
              </w:rPr>
              <w:t>1</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w:t>
            </w:r>
            <w:r>
              <w:rPr>
                <w:rFonts w:hint="eastAsia"/>
                <w:b/>
                <w:bCs/>
                <w:color w:val="000000"/>
                <w:sz w:val="18"/>
                <w:szCs w:val="18"/>
                <w:lang w:eastAsia="zh-CN"/>
              </w:rPr>
              <w:t>25</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w:t>
            </w:r>
            <w:r>
              <w:rPr>
                <w:rFonts w:hint="eastAsia"/>
                <w:b/>
                <w:bCs/>
                <w:color w:val="000000"/>
                <w:sz w:val="18"/>
                <w:szCs w:val="18"/>
                <w:lang w:eastAsia="zh-CN"/>
              </w:rPr>
              <w:t>0.14</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6"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08</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w:t>
            </w:r>
            <w:r>
              <w:rPr>
                <w:rFonts w:hint="eastAsia"/>
                <w:color w:val="000000"/>
                <w:sz w:val="18"/>
                <w:szCs w:val="18"/>
                <w:lang w:eastAsia="zh-CN"/>
              </w:rPr>
              <w:t>37</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0.65</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c>
          <w:tcPr>
            <w:tcW w:w="776"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r>
    </w:tbl>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6</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the proposed method on top of </w:t>
      </w:r>
      <w:r>
        <w:rPr>
          <w:rFonts w:hAnsi="Cambria Math"/>
          <w:iCs/>
          <w:lang w:eastAsia="zh-CN"/>
        </w:rPr>
        <w:t>NCS2.0</w:t>
      </w:r>
      <w:r>
        <w:rPr>
          <w:rFonts w:hint="eastAsia" w:hAnsi="Cambria Math"/>
          <w:iCs/>
          <w:lang w:eastAsia="zh-CN"/>
        </w:rPr>
        <w:t xml:space="preserve"> (m_nnlfoption=1)(RA)</w:t>
      </w:r>
    </w:p>
    <w:tbl>
      <w:tblPr>
        <w:tblStyle w:val="9"/>
        <w:tblW w:w="5125"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774"/>
        <w:gridCol w:w="774"/>
        <w:gridCol w:w="774"/>
        <w:gridCol w:w="774"/>
        <w:gridCol w:w="776"/>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hint="default" w:eastAsia="Times New Roman"/>
                <w:b/>
                <w:bCs/>
                <w:color w:val="000000"/>
                <w:sz w:val="18"/>
                <w:szCs w:val="18"/>
                <w:lang w:val="en-US" w:eastAsia="zh-CN"/>
              </w:rPr>
            </w:pPr>
            <w:r>
              <w:rPr>
                <w:rFonts w:hint="eastAsia" w:eastAsia="Times New Roman"/>
                <w:b/>
                <w:bCs/>
                <w:color w:val="000000"/>
                <w:sz w:val="18"/>
                <w:szCs w:val="18"/>
                <w:lang w:val="en-US"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ascii="Times New Roman" w:hAnsi="Times New Roman" w:cs="Times New Roman" w:eastAsiaTheme="minorEastAsia"/>
                <w:color w:val="000000"/>
                <w:sz w:val="18"/>
                <w:szCs w:val="18"/>
                <w:lang w:val="en-US" w:eastAsia="en-US" w:bidi="ar-SA"/>
              </w:rPr>
            </w:pPr>
            <w:r>
              <w:rPr>
                <w:color w:val="000000"/>
                <w:sz w:val="18"/>
                <w:szCs w:val="18"/>
              </w:rPr>
              <w:t>0.0</w:t>
            </w:r>
            <w:r>
              <w:rPr>
                <w:rFonts w:hint="eastAsia"/>
                <w:color w:val="000000"/>
                <w:sz w:val="18"/>
                <w:szCs w:val="18"/>
                <w:lang w:val="en-US" w:eastAsia="zh-CN"/>
              </w:rPr>
              <w:t>2</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ascii="Times New Roman" w:hAnsi="Times New Roman" w:cs="Times New Roman" w:eastAsiaTheme="minorEastAsia"/>
                <w:color w:val="000000"/>
                <w:sz w:val="18"/>
                <w:szCs w:val="18"/>
                <w:lang w:val="en-US" w:eastAsia="en-US" w:bidi="ar-SA"/>
              </w:rPr>
            </w:pPr>
            <w:r>
              <w:rPr>
                <w:color w:val="000000"/>
                <w:sz w:val="18"/>
                <w:szCs w:val="18"/>
              </w:rPr>
              <w:t>-</w:t>
            </w:r>
            <w:r>
              <w:rPr>
                <w:rFonts w:hint="eastAsia"/>
                <w:color w:val="000000"/>
                <w:sz w:val="18"/>
                <w:szCs w:val="18"/>
                <w:lang w:eastAsia="zh-CN"/>
              </w:rPr>
              <w:t>0.</w:t>
            </w:r>
            <w:r>
              <w:rPr>
                <w:rFonts w:hint="eastAsia"/>
                <w:color w:val="000000"/>
                <w:sz w:val="18"/>
                <w:szCs w:val="18"/>
                <w:lang w:val="en-US" w:eastAsia="zh-CN"/>
              </w:rPr>
              <w:t>15</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ascii="Times New Roman" w:hAnsi="Times New Roman" w:cs="Times New Roman" w:eastAsiaTheme="minorEastAsia"/>
                <w:color w:val="000000"/>
                <w:sz w:val="18"/>
                <w:szCs w:val="18"/>
                <w:lang w:val="en-US" w:eastAsia="en-US" w:bidi="ar-SA"/>
              </w:rPr>
            </w:pPr>
            <w:r>
              <w:rPr>
                <w:color w:val="000000"/>
                <w:sz w:val="18"/>
                <w:szCs w:val="18"/>
              </w:rPr>
              <w:t>-</w:t>
            </w:r>
            <w:r>
              <w:rPr>
                <w:rFonts w:hint="eastAsia"/>
                <w:color w:val="000000"/>
                <w:sz w:val="18"/>
                <w:szCs w:val="18"/>
                <w:lang w:eastAsia="zh-CN"/>
              </w:rPr>
              <w:t>0.</w:t>
            </w:r>
            <w:r>
              <w:rPr>
                <w:rFonts w:hint="eastAsia"/>
                <w:color w:val="000000"/>
                <w:sz w:val="18"/>
                <w:szCs w:val="18"/>
                <w:lang w:val="en-US" w:eastAsia="zh-CN"/>
              </w:rPr>
              <w:t>19</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c>
          <w:tcPr>
            <w:tcW w:w="776"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rPr>
            </w:pPr>
            <w:r>
              <w:rPr>
                <w:rFonts w:hint="default"/>
                <w:color w:val="000000"/>
                <w:sz w:val="18"/>
                <w:szCs w:val="18"/>
                <w:highlight w:val="none"/>
                <w:lang w:val="en-US" w:eastAsia="zh-CN"/>
              </w:rPr>
              <w:t>0.02%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rPr>
            </w:pPr>
            <w:r>
              <w:rPr>
                <w:rFonts w:hint="default"/>
                <w:color w:val="000000"/>
                <w:sz w:val="18"/>
                <w:szCs w:val="18"/>
                <w:highlight w:val="none"/>
                <w:lang w:val="en-US" w:eastAsia="zh-CN"/>
              </w:rPr>
              <w:t>-0.58%</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rPr>
            </w:pPr>
            <w:r>
              <w:rPr>
                <w:rFonts w:hint="default"/>
                <w:color w:val="000000"/>
                <w:sz w:val="18"/>
                <w:szCs w:val="18"/>
                <w:highlight w:val="none"/>
                <w:lang w:val="en-US" w:eastAsia="zh-CN"/>
              </w:rPr>
              <w:t>-0.59%</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c>
          <w:tcPr>
            <w:tcW w:w="776"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lang w:eastAsia="zh-CN"/>
              </w:rPr>
            </w:pPr>
            <w:r>
              <w:rPr>
                <w:rFonts w:hint="default"/>
                <w:color w:val="000000"/>
                <w:sz w:val="18"/>
                <w:szCs w:val="18"/>
                <w:highlight w:val="none"/>
                <w:lang w:val="en-US" w:eastAsia="zh-CN"/>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lang w:eastAsia="zh-CN"/>
              </w:rPr>
            </w:pPr>
            <w:r>
              <w:rPr>
                <w:rFonts w:hint="default"/>
                <w:color w:val="000000"/>
                <w:sz w:val="18"/>
                <w:szCs w:val="18"/>
                <w:highlight w:val="none"/>
                <w:lang w:val="en-US" w:eastAsia="zh-CN"/>
              </w:rPr>
              <w:t>-0.02%</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none"/>
                <w:lang w:eastAsia="zh-CN"/>
              </w:rPr>
            </w:pPr>
            <w:r>
              <w:rPr>
                <w:rFonts w:hint="default"/>
                <w:color w:val="000000"/>
                <w:sz w:val="18"/>
                <w:szCs w:val="18"/>
                <w:highlight w:val="none"/>
                <w:lang w:val="en-US" w:eastAsia="zh-CN"/>
              </w:rPr>
              <w:t>-0.05%</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c>
          <w:tcPr>
            <w:tcW w:w="776"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highlight w:val="yellow"/>
                <w:lang w:eastAsia="zh-CN"/>
              </w:rPr>
            </w:pPr>
          </w:p>
        </w:tc>
      </w:tr>
    </w:tbl>
    <w:p>
      <w:pPr>
        <w:tabs>
          <w:tab w:val="left" w:pos="1490"/>
          <w:tab w:val="clear" w:pos="1440"/>
          <w:tab w:val="clear" w:pos="1800"/>
        </w:tabs>
        <w:rPr>
          <w:lang w:eastAsia="zh-CN"/>
        </w:rPr>
      </w:pPr>
    </w:p>
    <w:p>
      <w:pPr>
        <w:pStyle w:val="2"/>
        <w:numPr>
          <w:ilvl w:val="0"/>
          <w:numId w:val="0"/>
        </w:numPr>
        <w:rPr>
          <w:szCs w:val="22"/>
          <w:lang w:val="en-CA" w:eastAsia="zh-TW"/>
        </w:rPr>
      </w:pPr>
      <w:r>
        <w:rPr>
          <w:rFonts w:hint="eastAsia"/>
          <w:lang w:eastAsia="zh-CN"/>
        </w:rPr>
        <w:t xml:space="preserve">4 </w:t>
      </w:r>
      <w:r>
        <w:rPr>
          <w:rFonts w:hint="eastAsia"/>
          <w:lang w:val="en-CA"/>
        </w:rPr>
        <w:t>Conclusions</w:t>
      </w:r>
    </w:p>
    <w:p>
      <w:pPr>
        <w:rPr>
          <w:rFonts w:eastAsia="PMingLiU"/>
          <w:szCs w:val="22"/>
          <w:lang w:eastAsia="zh-TW"/>
        </w:rPr>
      </w:pPr>
      <w:r>
        <w:rPr>
          <w:lang w:val="en-CA"/>
        </w:rPr>
        <w:t>This contribution</w:t>
      </w:r>
      <w:r>
        <w:rPr>
          <w:lang w:val="en-CA" w:eastAsia="zh-CN"/>
        </w:rPr>
        <w:t xml:space="preserve"> </w:t>
      </w:r>
      <w:r>
        <w:rPr>
          <w:szCs w:val="22"/>
          <w:lang w:val="en-CA" w:eastAsia="zh-TW"/>
        </w:rPr>
        <w:t>provides more flexibility</w:t>
      </w:r>
      <w:r>
        <w:rPr>
          <w:szCs w:val="22"/>
          <w:lang w:eastAsia="zh-CN"/>
        </w:rPr>
        <w:t xml:space="preserve"> for l</w:t>
      </w:r>
      <w:r>
        <w:rPr>
          <w:szCs w:val="22"/>
          <w:lang w:val="en-CA" w:eastAsia="zh-TW"/>
        </w:rPr>
        <w:t>uma ALF and chroma ALF.</w:t>
      </w:r>
      <w:r>
        <w:rPr>
          <w:szCs w:val="22"/>
          <w:lang w:val="en-CA" w:eastAsia="zh-CN"/>
        </w:rPr>
        <w:t xml:space="preserve"> </w:t>
      </w:r>
      <w:r>
        <w:rPr>
          <w:szCs w:val="22"/>
          <w:lang w:val="en-CA" w:eastAsia="zh-TW"/>
        </w:rPr>
        <w:t xml:space="preserve">The results from this contribution demonstrated that </w:t>
      </w:r>
      <w:bookmarkStart w:id="6" w:name="_Hlk100308476"/>
      <w:r>
        <w:rPr>
          <w:szCs w:val="22"/>
          <w:lang w:val="en-CA" w:eastAsia="zh-TW"/>
        </w:rPr>
        <w:t>the proposed</w:t>
      </w:r>
      <w:bookmarkEnd w:id="6"/>
      <w:r>
        <w:rPr>
          <w:szCs w:val="22"/>
          <w:lang w:val="en-CA" w:eastAsia="zh-TW"/>
        </w:rPr>
        <w:t xml:space="preserve"> ALF-SPLIT </w:t>
      </w:r>
      <w:r>
        <w:rPr>
          <w:lang w:val="en-CA"/>
        </w:rPr>
        <w:t>shows coding gains</w:t>
      </w:r>
      <w:r>
        <w:rPr>
          <w:szCs w:val="22"/>
          <w:lang w:val="en-CA" w:eastAsia="zh-TW"/>
        </w:rPr>
        <w:t xml:space="preserve"> on BD-Rate </w:t>
      </w:r>
      <w:bookmarkStart w:id="7" w:name="_Hlk100058392"/>
      <w:r>
        <w:rPr>
          <w:szCs w:val="22"/>
          <w:lang w:val="en-CA" w:eastAsia="zh-TW"/>
        </w:rPr>
        <w:t>compare with NCS2.0.</w:t>
      </w:r>
      <w:bookmarkEnd w:id="7"/>
      <w:r>
        <w:rPr>
          <w:szCs w:val="22"/>
          <w:lang w:val="en-CA" w:eastAsia="zh-TW"/>
        </w:rPr>
        <w:t xml:space="preserve"> </w:t>
      </w:r>
      <w:r>
        <w:rPr>
          <w:rFonts w:hint="eastAsia"/>
          <w:lang w:val="en-CA" w:eastAsia="zh-CN"/>
        </w:rPr>
        <w:t>It</w:t>
      </w:r>
      <w:r>
        <w:rPr>
          <w:lang w:val="en-CA"/>
        </w:rPr>
        <w:t xml:space="preserve"> is suggested to investigate in EE based on NCS2.0.</w:t>
      </w:r>
    </w:p>
    <w:p>
      <w:pPr>
        <w:pStyle w:val="2"/>
        <w:numPr>
          <w:ilvl w:val="0"/>
          <w:numId w:val="0"/>
        </w:numPr>
        <w:rPr>
          <w:lang w:val="en-CA"/>
        </w:rPr>
      </w:pPr>
      <w:r>
        <w:rPr>
          <w:rFonts w:hint="eastAsia"/>
          <w:lang w:eastAsia="zh-CN"/>
        </w:rPr>
        <w:t xml:space="preserve">5 </w:t>
      </w:r>
      <w:r>
        <w:rPr>
          <w:rFonts w:hint="eastAsia"/>
          <w:lang w:val="en-CA"/>
        </w:rPr>
        <w:t xml:space="preserve">References </w:t>
      </w:r>
    </w:p>
    <w:p>
      <w:pPr>
        <w:numPr>
          <w:ilvl w:val="0"/>
          <w:numId w:val="3"/>
        </w:numPr>
        <w:spacing w:before="60" w:after="60"/>
        <w:rPr>
          <w:rFonts w:eastAsia="宋体"/>
          <w:szCs w:val="22"/>
          <w:lang w:eastAsia="zh-CN"/>
        </w:rPr>
      </w:pPr>
      <w:bookmarkStart w:id="8" w:name="_Ref52389065"/>
      <w:r>
        <w:rPr>
          <w:szCs w:val="22"/>
          <w:lang w:eastAsia="zh-CN"/>
        </w:rPr>
        <w:t>ITU-T Study Group, Series H: Audiovisual and multimedia systems: Infrastructure of audiovisual services–coding of moving video-versatile video coding, in General Secretariat and Telecom Radiocommunication (ITU-R) Standardization (ITU-T), sec. H 266, 2020.</w:t>
      </w:r>
    </w:p>
    <w:p>
      <w:pPr>
        <w:numPr>
          <w:ilvl w:val="0"/>
          <w:numId w:val="3"/>
        </w:numPr>
        <w:spacing w:before="60" w:after="60"/>
        <w:rPr>
          <w:szCs w:val="22"/>
          <w:lang w:eastAsia="zh-CN"/>
        </w:rPr>
      </w:pPr>
      <w:r>
        <w:rPr>
          <w:szCs w:val="22"/>
          <w:lang w:val="en-CA" w:eastAsia="zh-CN"/>
        </w:rPr>
        <w:t>Wenjie Zou, Yi Zhou, AHG11: ALF improvement for NNVC</w:t>
      </w:r>
      <w:r>
        <w:rPr>
          <w:szCs w:val="22"/>
          <w:lang w:eastAsia="zh-CN"/>
        </w:rPr>
        <w:t xml:space="preserve">, Document JVET-Y0046, online, </w:t>
      </w:r>
      <w:r>
        <w:rPr>
          <w:szCs w:val="22"/>
          <w:lang w:val="en-CA" w:eastAsia="zh-CN"/>
        </w:rPr>
        <w:t>January</w:t>
      </w:r>
      <w:r>
        <w:rPr>
          <w:szCs w:val="22"/>
          <w:lang w:eastAsia="zh-CN"/>
        </w:rPr>
        <w:t xml:space="preserve"> 2022.</w:t>
      </w:r>
    </w:p>
    <w:p>
      <w:pPr>
        <w:numPr>
          <w:ilvl w:val="0"/>
          <w:numId w:val="3"/>
        </w:numPr>
        <w:spacing w:before="60" w:after="60"/>
        <w:rPr>
          <w:szCs w:val="22"/>
          <w:lang w:eastAsia="zh-CN"/>
        </w:rPr>
      </w:pPr>
      <w:r>
        <w:rPr>
          <w:rFonts w:eastAsia="宋体"/>
        </w:rPr>
        <w:t>Elena Alshina</w:t>
      </w:r>
      <w:r>
        <w:rPr>
          <w:rFonts w:hint="eastAsia" w:eastAsia="宋体"/>
          <w:lang w:eastAsia="zh-CN"/>
        </w:rPr>
        <w:t xml:space="preserve">, </w:t>
      </w:r>
      <w:r>
        <w:t xml:space="preserve">Ru-Ling </w:t>
      </w:r>
      <w:r>
        <w:rPr>
          <w:szCs w:val="22"/>
          <w:lang w:eastAsia="zh-CN"/>
        </w:rPr>
        <w:t>Liao</w:t>
      </w:r>
      <w:r>
        <w:rPr>
          <w:rFonts w:hint="eastAsia"/>
          <w:szCs w:val="22"/>
          <w:lang w:eastAsia="zh-CN"/>
        </w:rPr>
        <w:t xml:space="preserve">, </w:t>
      </w:r>
      <w:r>
        <w:rPr>
          <w:szCs w:val="22"/>
          <w:lang w:val="en-CA" w:eastAsia="zh-CN"/>
        </w:rPr>
        <w:t>JVET common test conditions and evaluation procedures for neural network-based video coding technology</w:t>
      </w:r>
      <w:r>
        <w:rPr>
          <w:rFonts w:hint="eastAsia"/>
          <w:szCs w:val="22"/>
          <w:lang w:eastAsia="zh-CN"/>
        </w:rPr>
        <w:t xml:space="preserve"> </w:t>
      </w:r>
      <w:r>
        <w:rPr>
          <w:szCs w:val="22"/>
          <w:lang w:eastAsia="zh-CN"/>
        </w:rPr>
        <w:t>, Document JVET-</w:t>
      </w:r>
      <w:r>
        <w:rPr>
          <w:rFonts w:hint="eastAsia"/>
          <w:szCs w:val="22"/>
          <w:lang w:eastAsia="zh-CN"/>
        </w:rPr>
        <w:t>AA2016</w:t>
      </w:r>
      <w:r>
        <w:rPr>
          <w:szCs w:val="22"/>
          <w:lang w:eastAsia="zh-CN"/>
        </w:rPr>
        <w:t xml:space="preserve">, online, </w:t>
      </w:r>
      <w:r>
        <w:t>July</w:t>
      </w:r>
      <w:r>
        <w:rPr>
          <w:rFonts w:hint="eastAsia"/>
          <w:lang w:eastAsia="zh-CN"/>
        </w:rPr>
        <w:t xml:space="preserve"> </w:t>
      </w:r>
      <w:r>
        <w:rPr>
          <w:szCs w:val="22"/>
          <w:lang w:eastAsia="zh-CN"/>
        </w:rPr>
        <w:t>2022.</w:t>
      </w:r>
    </w:p>
    <w:bookmarkEnd w:id="8"/>
    <w:p>
      <w:pPr>
        <w:numPr>
          <w:ilvl w:val="0"/>
          <w:numId w:val="3"/>
        </w:numPr>
        <w:spacing w:before="60" w:after="60"/>
        <w:rPr>
          <w:rStyle w:val="12"/>
          <w:color w:val="auto"/>
          <w:szCs w:val="22"/>
          <w:u w:val="none"/>
          <w:lang w:eastAsia="zh-CN"/>
        </w:rPr>
      </w:pPr>
      <w:r>
        <w:rPr>
          <w:rStyle w:val="12"/>
          <w:szCs w:val="22"/>
          <w:shd w:val="clear" w:color="auto" w:fill="FFFFFF"/>
        </w:rPr>
        <w:fldChar w:fldCharType="begin"/>
      </w:r>
      <w:r>
        <w:rPr>
          <w:rStyle w:val="12"/>
          <w:szCs w:val="22"/>
          <w:shd w:val="clear" w:color="auto" w:fill="FFFFFF"/>
        </w:rPr>
        <w:instrText xml:space="preserve"> HYPERLINK "https://vcgit.hhi.fraunhofer.de/jvet-ahg-nnvc/VVCSoftware_VTM" </w:instrText>
      </w:r>
      <w:r>
        <w:rPr>
          <w:rStyle w:val="12"/>
          <w:szCs w:val="22"/>
          <w:shd w:val="clear" w:color="auto" w:fill="FFFFFF"/>
        </w:rPr>
        <w:fldChar w:fldCharType="separate"/>
      </w:r>
      <w:r>
        <w:rPr>
          <w:rStyle w:val="12"/>
          <w:szCs w:val="22"/>
          <w:shd w:val="clear" w:color="auto" w:fill="FFFFFF"/>
        </w:rPr>
        <w:t>https://vcgit.hhi.fraunhofer.de/jvet-ahg-nnvc/VVCSoftware_VTM</w:t>
      </w:r>
      <w:r>
        <w:rPr>
          <w:rStyle w:val="12"/>
          <w:szCs w:val="22"/>
          <w:shd w:val="clear" w:color="auto" w:fill="FFFFFF"/>
        </w:rPr>
        <w:fldChar w:fldCharType="end"/>
      </w:r>
    </w:p>
    <w:p>
      <w:pPr>
        <w:spacing w:before="60" w:after="60"/>
        <w:rPr>
          <w:szCs w:val="22"/>
          <w:lang w:eastAsia="zh-CN"/>
        </w:rPr>
      </w:pPr>
    </w:p>
    <w:p>
      <w:pPr>
        <w:pStyle w:val="2"/>
        <w:numPr>
          <w:ilvl w:val="0"/>
          <w:numId w:val="0"/>
        </w:numPr>
        <w:rPr>
          <w:lang w:val="en-CA" w:eastAsia="zh-CN"/>
        </w:rPr>
      </w:pPr>
      <w:r>
        <w:rPr>
          <w:rFonts w:hint="eastAsia"/>
          <w:lang w:eastAsia="zh-CN"/>
        </w:rPr>
        <w:t xml:space="preserve">6 </w:t>
      </w:r>
      <w:r>
        <w:rPr>
          <w:rFonts w:hint="eastAsia"/>
          <w:lang w:val="en-CA" w:eastAsia="zh-CN"/>
        </w:rPr>
        <w:t>Patent rights declaration(s)</w:t>
      </w:r>
    </w:p>
    <w:p>
      <w:pPr>
        <w:rPr>
          <w:lang w:val="en-CA"/>
        </w:rPr>
      </w:pPr>
      <w:r>
        <w:rPr>
          <w:rFonts w:hint="eastAsia"/>
          <w:b/>
          <w:szCs w:val="22"/>
          <w:lang w:val="en-CA" w:eastAsia="zh-CN"/>
        </w:rPr>
        <w:t>Xidian</w:t>
      </w:r>
      <w:r>
        <w:rPr>
          <w:b/>
          <w:szCs w:val="22"/>
          <w:lang w:val="en-CA"/>
        </w:rPr>
        <w:t xml:space="preserve"> </w:t>
      </w:r>
      <w:r>
        <w:rPr>
          <w:rFonts w:hint="eastAsia"/>
          <w:b/>
          <w:szCs w:val="22"/>
          <w:lang w:val="en-CA" w:eastAsia="zh-CN"/>
        </w:rPr>
        <w:t>University</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lang w:val="en-CA" w:eastAsia="zh-CN"/>
        </w:rPr>
      </w:pPr>
    </w:p>
    <w:p>
      <w:pPr>
        <w:rPr>
          <w:b/>
          <w:szCs w:val="22"/>
          <w:lang w:val="en-CA"/>
        </w:rPr>
      </w:pPr>
      <w:r>
        <w:rPr>
          <w:rFonts w:hint="eastAsia"/>
          <w:b/>
          <w:szCs w:val="22"/>
          <w:lang w:eastAsia="zh-CN"/>
        </w:rPr>
        <w:t>ZTE</w:t>
      </w:r>
      <w:r>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1"/>
      </w:rPr>
      <w:fldChar w:fldCharType="begin"/>
    </w:r>
    <w:r>
      <w:rPr>
        <w:rStyle w:val="11"/>
      </w:rPr>
      <w:instrText xml:space="preserve"> PAGE </w:instrText>
    </w:r>
    <w:r>
      <w:rPr>
        <w:rStyle w:val="11"/>
      </w:rPr>
      <w:fldChar w:fldCharType="separate"/>
    </w:r>
    <w:r>
      <w:rPr>
        <w:rStyle w:val="11"/>
      </w:rPr>
      <w:t>2</w:t>
    </w:r>
    <w:r>
      <w:rPr>
        <w:rStyle w:val="11"/>
      </w:rPr>
      <w:fldChar w:fldCharType="end"/>
    </w:r>
    <w:r>
      <w:rPr>
        <w:rStyle w:val="11"/>
      </w:rPr>
      <w:tab/>
    </w:r>
    <w:r>
      <w:rPr>
        <w:rStyle w:val="11"/>
      </w:rPr>
      <w:t xml:space="preserve">Date Saved: </w:t>
    </w:r>
    <w:r>
      <w:rPr>
        <w:rStyle w:val="11"/>
      </w:rPr>
      <w:fldChar w:fldCharType="begin"/>
    </w:r>
    <w:r>
      <w:rPr>
        <w:rStyle w:val="11"/>
      </w:rPr>
      <w:instrText xml:space="preserve"> SAVEDATE  \@ "yyyy-MM-dd"  \* MERGEFORMAT </w:instrText>
    </w:r>
    <w:r>
      <w:rPr>
        <w:rStyle w:val="11"/>
      </w:rPr>
      <w:fldChar w:fldCharType="separate"/>
    </w:r>
    <w:r>
      <w:rPr>
        <w:rStyle w:val="11"/>
      </w:rPr>
      <w:t>2022-10-14</w:t>
    </w:r>
    <w:r>
      <w:rPr>
        <w:rStyle w:val="1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43306"/>
    <w:multiLevelType w:val="multilevel"/>
    <w:tmpl w:val="0EB4330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
    <w:nsid w:val="5063F677"/>
    <w:multiLevelType w:val="singleLevel"/>
    <w:tmpl w:val="5063F677"/>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0Yzc2OWQ5NTBhMDY0YjJjNDBkMzU4M2JhMGEyMWIifQ=="/>
  </w:docVars>
  <w:rsids>
    <w:rsidRoot w:val="707C7279"/>
    <w:rsid w:val="00001838"/>
    <w:rsid w:val="00005DB5"/>
    <w:rsid w:val="000132FC"/>
    <w:rsid w:val="000524F2"/>
    <w:rsid w:val="00073C28"/>
    <w:rsid w:val="000B1294"/>
    <w:rsid w:val="000C1E00"/>
    <w:rsid w:val="000E27AD"/>
    <w:rsid w:val="000E2CC1"/>
    <w:rsid w:val="000E4E1D"/>
    <w:rsid w:val="00112A50"/>
    <w:rsid w:val="00115F8C"/>
    <w:rsid w:val="001336DD"/>
    <w:rsid w:val="00143767"/>
    <w:rsid w:val="00160E7C"/>
    <w:rsid w:val="0017207E"/>
    <w:rsid w:val="00172381"/>
    <w:rsid w:val="0017344D"/>
    <w:rsid w:val="00194B13"/>
    <w:rsid w:val="001B241D"/>
    <w:rsid w:val="001B4ABD"/>
    <w:rsid w:val="001E11F9"/>
    <w:rsid w:val="001E1F77"/>
    <w:rsid w:val="001E66C0"/>
    <w:rsid w:val="00250435"/>
    <w:rsid w:val="00257F6D"/>
    <w:rsid w:val="002628A5"/>
    <w:rsid w:val="00273B59"/>
    <w:rsid w:val="00277D7B"/>
    <w:rsid w:val="00287C51"/>
    <w:rsid w:val="00293EA7"/>
    <w:rsid w:val="002A3C40"/>
    <w:rsid w:val="002C0E0B"/>
    <w:rsid w:val="002D37C6"/>
    <w:rsid w:val="002F0B7D"/>
    <w:rsid w:val="00305714"/>
    <w:rsid w:val="00313F7A"/>
    <w:rsid w:val="0034196C"/>
    <w:rsid w:val="0034458C"/>
    <w:rsid w:val="00353E42"/>
    <w:rsid w:val="00365D71"/>
    <w:rsid w:val="003D4EC6"/>
    <w:rsid w:val="003E3785"/>
    <w:rsid w:val="003E56C0"/>
    <w:rsid w:val="003F08FF"/>
    <w:rsid w:val="003F6BB4"/>
    <w:rsid w:val="00407978"/>
    <w:rsid w:val="004216DD"/>
    <w:rsid w:val="004300C9"/>
    <w:rsid w:val="00431DCA"/>
    <w:rsid w:val="0044136E"/>
    <w:rsid w:val="004446D0"/>
    <w:rsid w:val="0046768E"/>
    <w:rsid w:val="0047502F"/>
    <w:rsid w:val="004751DA"/>
    <w:rsid w:val="00483E5C"/>
    <w:rsid w:val="00486025"/>
    <w:rsid w:val="004B1551"/>
    <w:rsid w:val="00514496"/>
    <w:rsid w:val="00580DEC"/>
    <w:rsid w:val="005A0D36"/>
    <w:rsid w:val="005A21BA"/>
    <w:rsid w:val="005B53D4"/>
    <w:rsid w:val="005C4632"/>
    <w:rsid w:val="005E5A24"/>
    <w:rsid w:val="00604A0E"/>
    <w:rsid w:val="00621816"/>
    <w:rsid w:val="00621F1C"/>
    <w:rsid w:val="0062414E"/>
    <w:rsid w:val="006345E7"/>
    <w:rsid w:val="006375C8"/>
    <w:rsid w:val="0065429C"/>
    <w:rsid w:val="00655F2A"/>
    <w:rsid w:val="0067032A"/>
    <w:rsid w:val="00672A9A"/>
    <w:rsid w:val="0068403C"/>
    <w:rsid w:val="006B444B"/>
    <w:rsid w:val="006B71D6"/>
    <w:rsid w:val="006B748F"/>
    <w:rsid w:val="006C6FC5"/>
    <w:rsid w:val="006E2FB0"/>
    <w:rsid w:val="006F4A4C"/>
    <w:rsid w:val="00702A26"/>
    <w:rsid w:val="007079EB"/>
    <w:rsid w:val="00712928"/>
    <w:rsid w:val="00713BA4"/>
    <w:rsid w:val="00731826"/>
    <w:rsid w:val="007333C4"/>
    <w:rsid w:val="0075101D"/>
    <w:rsid w:val="00755159"/>
    <w:rsid w:val="00766E1A"/>
    <w:rsid w:val="007918A0"/>
    <w:rsid w:val="007A7F62"/>
    <w:rsid w:val="007C6806"/>
    <w:rsid w:val="007E00D5"/>
    <w:rsid w:val="007E09F5"/>
    <w:rsid w:val="0081313B"/>
    <w:rsid w:val="00814314"/>
    <w:rsid w:val="008178E2"/>
    <w:rsid w:val="008320BA"/>
    <w:rsid w:val="008777BA"/>
    <w:rsid w:val="008809EE"/>
    <w:rsid w:val="008870B0"/>
    <w:rsid w:val="008904B4"/>
    <w:rsid w:val="008923BB"/>
    <w:rsid w:val="008A1E37"/>
    <w:rsid w:val="008A489A"/>
    <w:rsid w:val="008B25A6"/>
    <w:rsid w:val="008D0653"/>
    <w:rsid w:val="008E0881"/>
    <w:rsid w:val="00916D42"/>
    <w:rsid w:val="009233C8"/>
    <w:rsid w:val="00931230"/>
    <w:rsid w:val="0093344C"/>
    <w:rsid w:val="00940473"/>
    <w:rsid w:val="009963DF"/>
    <w:rsid w:val="009A2415"/>
    <w:rsid w:val="009C0180"/>
    <w:rsid w:val="009C518C"/>
    <w:rsid w:val="009F5DB2"/>
    <w:rsid w:val="00A13CA1"/>
    <w:rsid w:val="00A566D5"/>
    <w:rsid w:val="00A75538"/>
    <w:rsid w:val="00A91F99"/>
    <w:rsid w:val="00AA60EF"/>
    <w:rsid w:val="00AD1D59"/>
    <w:rsid w:val="00AF2B86"/>
    <w:rsid w:val="00B02A02"/>
    <w:rsid w:val="00B1743F"/>
    <w:rsid w:val="00B70F6A"/>
    <w:rsid w:val="00B77507"/>
    <w:rsid w:val="00B85361"/>
    <w:rsid w:val="00B863B1"/>
    <w:rsid w:val="00BA051B"/>
    <w:rsid w:val="00BA44FF"/>
    <w:rsid w:val="00BB42A8"/>
    <w:rsid w:val="00BC4C22"/>
    <w:rsid w:val="00BE7892"/>
    <w:rsid w:val="00BF2616"/>
    <w:rsid w:val="00C034F3"/>
    <w:rsid w:val="00C1292A"/>
    <w:rsid w:val="00C3759C"/>
    <w:rsid w:val="00C404F6"/>
    <w:rsid w:val="00C5416E"/>
    <w:rsid w:val="00C678ED"/>
    <w:rsid w:val="00C735DE"/>
    <w:rsid w:val="00C95D5C"/>
    <w:rsid w:val="00CA17C6"/>
    <w:rsid w:val="00CA5759"/>
    <w:rsid w:val="00CB46F9"/>
    <w:rsid w:val="00CC29EF"/>
    <w:rsid w:val="00CD393F"/>
    <w:rsid w:val="00CE00EE"/>
    <w:rsid w:val="00CE5DC6"/>
    <w:rsid w:val="00CF1290"/>
    <w:rsid w:val="00CF3EEC"/>
    <w:rsid w:val="00D11D7F"/>
    <w:rsid w:val="00D21CB1"/>
    <w:rsid w:val="00D27017"/>
    <w:rsid w:val="00D55D5A"/>
    <w:rsid w:val="00D626EA"/>
    <w:rsid w:val="00D733D2"/>
    <w:rsid w:val="00DA5967"/>
    <w:rsid w:val="00DA5FD6"/>
    <w:rsid w:val="00DC2E8E"/>
    <w:rsid w:val="00DD5596"/>
    <w:rsid w:val="00DE7D03"/>
    <w:rsid w:val="00DF1458"/>
    <w:rsid w:val="00DF4ABD"/>
    <w:rsid w:val="00E27B3A"/>
    <w:rsid w:val="00E32777"/>
    <w:rsid w:val="00E35793"/>
    <w:rsid w:val="00E3695E"/>
    <w:rsid w:val="00E45DFE"/>
    <w:rsid w:val="00E55419"/>
    <w:rsid w:val="00E7084B"/>
    <w:rsid w:val="00E77DA2"/>
    <w:rsid w:val="00E827F2"/>
    <w:rsid w:val="00E85EEC"/>
    <w:rsid w:val="00EA6110"/>
    <w:rsid w:val="00EB2452"/>
    <w:rsid w:val="00EC12D9"/>
    <w:rsid w:val="00ED62A3"/>
    <w:rsid w:val="00F063E3"/>
    <w:rsid w:val="00F54112"/>
    <w:rsid w:val="00F667B3"/>
    <w:rsid w:val="00F957DD"/>
    <w:rsid w:val="00FA2437"/>
    <w:rsid w:val="00FA602D"/>
    <w:rsid w:val="00FD28D2"/>
    <w:rsid w:val="00FE210F"/>
    <w:rsid w:val="00FE67BF"/>
    <w:rsid w:val="010D6029"/>
    <w:rsid w:val="011D4783"/>
    <w:rsid w:val="021D04ED"/>
    <w:rsid w:val="02785724"/>
    <w:rsid w:val="03BD5772"/>
    <w:rsid w:val="047474E5"/>
    <w:rsid w:val="04DD5D12"/>
    <w:rsid w:val="050B6D23"/>
    <w:rsid w:val="053D39CE"/>
    <w:rsid w:val="05476E5D"/>
    <w:rsid w:val="0592040D"/>
    <w:rsid w:val="05A97997"/>
    <w:rsid w:val="05B958B6"/>
    <w:rsid w:val="05FE0636"/>
    <w:rsid w:val="062F716F"/>
    <w:rsid w:val="06AE3154"/>
    <w:rsid w:val="06EC66E0"/>
    <w:rsid w:val="08FB3898"/>
    <w:rsid w:val="09364C2E"/>
    <w:rsid w:val="0A043EBA"/>
    <w:rsid w:val="0AD4123E"/>
    <w:rsid w:val="0B780557"/>
    <w:rsid w:val="0B8B64C8"/>
    <w:rsid w:val="0B925AA8"/>
    <w:rsid w:val="0BA56A3C"/>
    <w:rsid w:val="0D042F29"/>
    <w:rsid w:val="0E042561"/>
    <w:rsid w:val="0E9A356B"/>
    <w:rsid w:val="0EE53CAA"/>
    <w:rsid w:val="0F10536F"/>
    <w:rsid w:val="0F827BE2"/>
    <w:rsid w:val="103A226A"/>
    <w:rsid w:val="11403CD7"/>
    <w:rsid w:val="117B789E"/>
    <w:rsid w:val="12617D7B"/>
    <w:rsid w:val="12D043DA"/>
    <w:rsid w:val="12EC1F42"/>
    <w:rsid w:val="155E2E9F"/>
    <w:rsid w:val="16571C2C"/>
    <w:rsid w:val="1716303E"/>
    <w:rsid w:val="1935546D"/>
    <w:rsid w:val="1941466A"/>
    <w:rsid w:val="19422106"/>
    <w:rsid w:val="1964410D"/>
    <w:rsid w:val="1A4A7FCF"/>
    <w:rsid w:val="1AC76DF0"/>
    <w:rsid w:val="1ADE4F3D"/>
    <w:rsid w:val="1B1B71CE"/>
    <w:rsid w:val="1B4C1CDB"/>
    <w:rsid w:val="1D6B6159"/>
    <w:rsid w:val="1FC73179"/>
    <w:rsid w:val="20407429"/>
    <w:rsid w:val="2077692C"/>
    <w:rsid w:val="21447C5E"/>
    <w:rsid w:val="21AF1670"/>
    <w:rsid w:val="21CF4F08"/>
    <w:rsid w:val="22715FC0"/>
    <w:rsid w:val="22F83FEB"/>
    <w:rsid w:val="233A2E3A"/>
    <w:rsid w:val="233F2E50"/>
    <w:rsid w:val="238B4E5F"/>
    <w:rsid w:val="23D81F20"/>
    <w:rsid w:val="25B6018D"/>
    <w:rsid w:val="26C74DB3"/>
    <w:rsid w:val="26CD39E1"/>
    <w:rsid w:val="27F94C2A"/>
    <w:rsid w:val="28023C0A"/>
    <w:rsid w:val="292F1E8E"/>
    <w:rsid w:val="29CE3CF8"/>
    <w:rsid w:val="2A766447"/>
    <w:rsid w:val="2B4E6E2C"/>
    <w:rsid w:val="2C2E0A7D"/>
    <w:rsid w:val="2C6B1CD2"/>
    <w:rsid w:val="2CA406AA"/>
    <w:rsid w:val="2D144117"/>
    <w:rsid w:val="2D3557B3"/>
    <w:rsid w:val="2D3C366E"/>
    <w:rsid w:val="2DA030CC"/>
    <w:rsid w:val="2DDD4EF3"/>
    <w:rsid w:val="2E6A76B2"/>
    <w:rsid w:val="2EB405ED"/>
    <w:rsid w:val="2FDA1557"/>
    <w:rsid w:val="2FFD70E5"/>
    <w:rsid w:val="30933CBF"/>
    <w:rsid w:val="30DD6F16"/>
    <w:rsid w:val="317A3384"/>
    <w:rsid w:val="31837ABD"/>
    <w:rsid w:val="328A20DC"/>
    <w:rsid w:val="32A61B14"/>
    <w:rsid w:val="330B2634"/>
    <w:rsid w:val="33532FF1"/>
    <w:rsid w:val="35DF1DC3"/>
    <w:rsid w:val="36032F7B"/>
    <w:rsid w:val="36232BFD"/>
    <w:rsid w:val="36350803"/>
    <w:rsid w:val="36BD75CE"/>
    <w:rsid w:val="36EA5EE9"/>
    <w:rsid w:val="37DC7F27"/>
    <w:rsid w:val="386D6DD1"/>
    <w:rsid w:val="38E5315D"/>
    <w:rsid w:val="39783C80"/>
    <w:rsid w:val="397A3554"/>
    <w:rsid w:val="3A2B14D8"/>
    <w:rsid w:val="3AEB7631"/>
    <w:rsid w:val="3BC17B6B"/>
    <w:rsid w:val="3C265D45"/>
    <w:rsid w:val="3CE84C78"/>
    <w:rsid w:val="3D250A29"/>
    <w:rsid w:val="3DB86D41"/>
    <w:rsid w:val="3EF73899"/>
    <w:rsid w:val="3F102691"/>
    <w:rsid w:val="3F874C1D"/>
    <w:rsid w:val="3F98690E"/>
    <w:rsid w:val="4004626D"/>
    <w:rsid w:val="4098074A"/>
    <w:rsid w:val="40BA30BD"/>
    <w:rsid w:val="40F64598"/>
    <w:rsid w:val="4274258B"/>
    <w:rsid w:val="42A60D98"/>
    <w:rsid w:val="42CD30C7"/>
    <w:rsid w:val="43296A9E"/>
    <w:rsid w:val="436D0BFB"/>
    <w:rsid w:val="436D5ED7"/>
    <w:rsid w:val="4559032F"/>
    <w:rsid w:val="45EF0E26"/>
    <w:rsid w:val="467C75FD"/>
    <w:rsid w:val="469043B7"/>
    <w:rsid w:val="47121270"/>
    <w:rsid w:val="493978AA"/>
    <w:rsid w:val="49ED53D0"/>
    <w:rsid w:val="4A050C18"/>
    <w:rsid w:val="4A070E34"/>
    <w:rsid w:val="4A1913A8"/>
    <w:rsid w:val="4BC220E1"/>
    <w:rsid w:val="4BDF60EB"/>
    <w:rsid w:val="4C3C28EB"/>
    <w:rsid w:val="4C5943DA"/>
    <w:rsid w:val="4CC474EE"/>
    <w:rsid w:val="4DA67CFD"/>
    <w:rsid w:val="4E150B85"/>
    <w:rsid w:val="4E977924"/>
    <w:rsid w:val="4FE86580"/>
    <w:rsid w:val="516A534F"/>
    <w:rsid w:val="519A71B0"/>
    <w:rsid w:val="51D23796"/>
    <w:rsid w:val="534939CE"/>
    <w:rsid w:val="536C2E2D"/>
    <w:rsid w:val="54396FFA"/>
    <w:rsid w:val="54EF7DED"/>
    <w:rsid w:val="55294EFB"/>
    <w:rsid w:val="55F67FAE"/>
    <w:rsid w:val="56230A7B"/>
    <w:rsid w:val="56272149"/>
    <w:rsid w:val="56B75015"/>
    <w:rsid w:val="57233025"/>
    <w:rsid w:val="58156440"/>
    <w:rsid w:val="585316E8"/>
    <w:rsid w:val="585C5C69"/>
    <w:rsid w:val="5A971D60"/>
    <w:rsid w:val="5A9F29C3"/>
    <w:rsid w:val="5B21454D"/>
    <w:rsid w:val="5B707F5D"/>
    <w:rsid w:val="5BFE0E08"/>
    <w:rsid w:val="5C1C479A"/>
    <w:rsid w:val="5C404D21"/>
    <w:rsid w:val="5CB5416A"/>
    <w:rsid w:val="5D9430D6"/>
    <w:rsid w:val="5DA33F6C"/>
    <w:rsid w:val="5E3E6EF1"/>
    <w:rsid w:val="5E4349D5"/>
    <w:rsid w:val="5F434264"/>
    <w:rsid w:val="5F9D3198"/>
    <w:rsid w:val="60323A6D"/>
    <w:rsid w:val="605B6376"/>
    <w:rsid w:val="61B2747F"/>
    <w:rsid w:val="61CB6E5A"/>
    <w:rsid w:val="62006EB8"/>
    <w:rsid w:val="62992D43"/>
    <w:rsid w:val="62E73D88"/>
    <w:rsid w:val="63CA2744"/>
    <w:rsid w:val="6460191F"/>
    <w:rsid w:val="64AB1D46"/>
    <w:rsid w:val="65312874"/>
    <w:rsid w:val="655F16CC"/>
    <w:rsid w:val="656F18CA"/>
    <w:rsid w:val="65C60872"/>
    <w:rsid w:val="65F3493E"/>
    <w:rsid w:val="663F6849"/>
    <w:rsid w:val="669C4076"/>
    <w:rsid w:val="678621C2"/>
    <w:rsid w:val="67B22D5C"/>
    <w:rsid w:val="67F71584"/>
    <w:rsid w:val="68447B8A"/>
    <w:rsid w:val="686D5118"/>
    <w:rsid w:val="6CFC23B5"/>
    <w:rsid w:val="6D3D0850"/>
    <w:rsid w:val="6DE035C6"/>
    <w:rsid w:val="6E9A12BD"/>
    <w:rsid w:val="70455D70"/>
    <w:rsid w:val="70693EAD"/>
    <w:rsid w:val="707A11F3"/>
    <w:rsid w:val="707C7279"/>
    <w:rsid w:val="71494FDF"/>
    <w:rsid w:val="73034496"/>
    <w:rsid w:val="73694096"/>
    <w:rsid w:val="738E4832"/>
    <w:rsid w:val="75045DEC"/>
    <w:rsid w:val="756058FE"/>
    <w:rsid w:val="759A405B"/>
    <w:rsid w:val="75B5035D"/>
    <w:rsid w:val="760140DA"/>
    <w:rsid w:val="76556EFF"/>
    <w:rsid w:val="76AF436C"/>
    <w:rsid w:val="78851646"/>
    <w:rsid w:val="790A1D26"/>
    <w:rsid w:val="79621333"/>
    <w:rsid w:val="79C2046E"/>
    <w:rsid w:val="79DB4A73"/>
    <w:rsid w:val="7A6A04A0"/>
    <w:rsid w:val="7A94551C"/>
    <w:rsid w:val="7ACD6C80"/>
    <w:rsid w:val="7B2F6871"/>
    <w:rsid w:val="7B445194"/>
    <w:rsid w:val="7B876261"/>
    <w:rsid w:val="7C195AFF"/>
    <w:rsid w:val="7CED53B8"/>
    <w:rsid w:val="7D377647"/>
    <w:rsid w:val="7D392153"/>
    <w:rsid w:val="7DA23185"/>
    <w:rsid w:val="7DAE2EC5"/>
    <w:rsid w:val="7F7C40BF"/>
    <w:rsid w:val="7F8F0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eastAsiaTheme="minorEastAsia"/>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qFormat/>
    <w:uiPriority w:val="0"/>
    <w:pPr>
      <w:jc w:val="left"/>
    </w:pPr>
  </w:style>
  <w:style w:type="paragraph" w:styleId="4">
    <w:name w:val="Balloon Text"/>
    <w:basedOn w:val="1"/>
    <w:link w:val="19"/>
    <w:qFormat/>
    <w:uiPriority w:val="0"/>
    <w:pPr>
      <w:spacing w:before="0"/>
    </w:pPr>
    <w:rPr>
      <w:sz w:val="18"/>
      <w:szCs w:val="18"/>
    </w:rPr>
  </w:style>
  <w:style w:type="paragraph" w:styleId="5">
    <w:name w:val="footer"/>
    <w:basedOn w:val="1"/>
    <w:qFormat/>
    <w:uiPriority w:val="0"/>
    <w:pPr>
      <w:tabs>
        <w:tab w:val="center" w:pos="4320"/>
        <w:tab w:val="right" w:pos="8640"/>
      </w:tabs>
    </w:pPr>
  </w:style>
  <w:style w:type="paragraph" w:styleId="6">
    <w:name w:val="header"/>
    <w:basedOn w:val="1"/>
    <w:link w:val="15"/>
    <w:qFormat/>
    <w:uiPriority w:val="0"/>
    <w:pPr>
      <w:pBdr>
        <w:bottom w:val="single" w:color="auto" w:sz="6" w:space="1"/>
      </w:pBdr>
      <w:tabs>
        <w:tab w:val="center" w:pos="4153"/>
        <w:tab w:val="right" w:pos="830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jc w:val="center"/>
    </w:pPr>
    <w:rPr>
      <w:sz w:val="18"/>
      <w:szCs w:val="18"/>
    </w:rPr>
  </w:style>
  <w:style w:type="paragraph" w:styleId="7">
    <w:name w:val="Normal (Web)"/>
    <w:basedOn w:val="1"/>
    <w:qFormat/>
    <w:uiPriority w:val="0"/>
    <w:pPr>
      <w:spacing w:before="0" w:beforeAutospacing="1" w:afterAutospacing="1"/>
      <w:jc w:val="left"/>
    </w:pPr>
    <w:rPr>
      <w:sz w:val="24"/>
      <w:lang w:eastAsia="zh-CN"/>
    </w:rPr>
  </w:style>
  <w:style w:type="paragraph" w:styleId="8">
    <w:name w:val="annotation subject"/>
    <w:basedOn w:val="3"/>
    <w:next w:val="3"/>
    <w:link w:val="18"/>
    <w:qFormat/>
    <w:uiPriority w:val="0"/>
    <w:rPr>
      <w:b/>
      <w:bCs/>
    </w:rPr>
  </w:style>
  <w:style w:type="character" w:styleId="11">
    <w:name w:val="page number"/>
    <w:basedOn w:val="10"/>
    <w:qFormat/>
    <w:uiPriority w:val="0"/>
  </w:style>
  <w:style w:type="character" w:styleId="12">
    <w:name w:val="Hyperlink"/>
    <w:qFormat/>
    <w:uiPriority w:val="0"/>
    <w:rPr>
      <w:color w:val="0000FF"/>
      <w:u w:val="single"/>
    </w:rPr>
  </w:style>
  <w:style w:type="character" w:styleId="13">
    <w:name w:val="annotation reference"/>
    <w:basedOn w:val="10"/>
    <w:qFormat/>
    <w:uiPriority w:val="0"/>
    <w:rPr>
      <w:sz w:val="21"/>
      <w:szCs w:val="21"/>
    </w:rPr>
  </w:style>
  <w:style w:type="paragraph" w:styleId="14">
    <w:name w:val="List Paragraph"/>
    <w:basedOn w:val="1"/>
    <w:qFormat/>
    <w:uiPriority w:val="34"/>
    <w:pPr>
      <w:ind w:firstLine="420" w:firstLineChars="200"/>
    </w:pPr>
  </w:style>
  <w:style w:type="character" w:customStyle="1" w:styleId="15">
    <w:name w:val="页眉 字符"/>
    <w:basedOn w:val="10"/>
    <w:link w:val="6"/>
    <w:qFormat/>
    <w:uiPriority w:val="0"/>
    <w:rPr>
      <w:rFonts w:eastAsiaTheme="minorEastAsia"/>
      <w:sz w:val="18"/>
      <w:szCs w:val="18"/>
      <w:lang w:eastAsia="en-US"/>
    </w:rPr>
  </w:style>
  <w:style w:type="character" w:customStyle="1" w:styleId="16">
    <w:name w:val="未处理的提及1"/>
    <w:basedOn w:val="10"/>
    <w:semiHidden/>
    <w:unhideWhenUsed/>
    <w:qFormat/>
    <w:uiPriority w:val="99"/>
    <w:rPr>
      <w:color w:val="605E5C"/>
      <w:shd w:val="clear" w:color="auto" w:fill="E1DFDD"/>
    </w:rPr>
  </w:style>
  <w:style w:type="character" w:customStyle="1" w:styleId="17">
    <w:name w:val="批注文字 字符"/>
    <w:basedOn w:val="10"/>
    <w:link w:val="3"/>
    <w:qFormat/>
    <w:uiPriority w:val="0"/>
    <w:rPr>
      <w:rFonts w:eastAsiaTheme="minorEastAsia"/>
      <w:sz w:val="22"/>
      <w:lang w:eastAsia="en-US"/>
    </w:rPr>
  </w:style>
  <w:style w:type="character" w:customStyle="1" w:styleId="18">
    <w:name w:val="批注主题 字符"/>
    <w:basedOn w:val="17"/>
    <w:link w:val="8"/>
    <w:qFormat/>
    <w:uiPriority w:val="0"/>
    <w:rPr>
      <w:rFonts w:eastAsiaTheme="minorEastAsia"/>
      <w:b/>
      <w:bCs/>
      <w:sz w:val="22"/>
      <w:lang w:eastAsia="en-US"/>
    </w:rPr>
  </w:style>
  <w:style w:type="character" w:customStyle="1" w:styleId="19">
    <w:name w:val="批注框文本 字符"/>
    <w:basedOn w:val="10"/>
    <w:link w:val="4"/>
    <w:qFormat/>
    <w:uiPriority w:val="0"/>
    <w:rPr>
      <w:rFonts w:eastAsiaTheme="minorEastAsia"/>
      <w:sz w:val="18"/>
      <w:szCs w:val="18"/>
      <w:lang w:eastAsia="en-US"/>
    </w:rPr>
  </w:style>
  <w:style w:type="character" w:customStyle="1" w:styleId="20">
    <w:name w:val="未处理的提及2"/>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1264</Words>
  <Characters>6839</Characters>
  <Lines>64</Lines>
  <Paragraphs>18</Paragraphs>
  <TotalTime>1</TotalTime>
  <ScaleCrop>false</ScaleCrop>
  <LinksUpToDate>false</LinksUpToDate>
  <CharactersWithSpaces>7623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2021-12-20T01:36:00Z</dcterms:created>
  <dc:creator>神遁克里苏</dc:creator>
  <cp:lastModifiedBy>神遁克里苏</cp:lastModifiedBy>
  <dcterms:modified xsi:type="dcterms:W3CDTF">2022-10-14T10:31:05Z</dcterms:modified>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38C703385FE340199D63200022BAC20B</vt:lpwstr>
  </property>
</Properties>
</file>