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E39C2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B50D92">
              <w:rPr>
                <w:lang w:val="en-CA"/>
              </w:rPr>
              <w:t>0218-v1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5A34CA" w:rsidR="00E61DAC" w:rsidRPr="005B217D" w:rsidRDefault="009039EF" w:rsidP="009D7CE6">
            <w:pPr>
              <w:spacing w:before="60" w:after="60"/>
              <w:rPr>
                <w:b/>
                <w:szCs w:val="22"/>
                <w:lang w:val="en-CA"/>
              </w:rPr>
            </w:pPr>
            <w:r w:rsidRPr="009039EF">
              <w:rPr>
                <w:b/>
                <w:szCs w:val="22"/>
                <w:lang w:val="en-CA"/>
              </w:rPr>
              <w:t xml:space="preserve">Cross-check of JVET-Y0089 </w:t>
            </w:r>
            <w:r w:rsidR="00F5689A">
              <w:rPr>
                <w:b/>
                <w:szCs w:val="22"/>
                <w:lang w:val="en-CA"/>
              </w:rPr>
              <w:t>“</w:t>
            </w:r>
            <w:r w:rsidRPr="009039EF">
              <w:rPr>
                <w:b/>
                <w:szCs w:val="22"/>
                <w:lang w:val="en-CA"/>
              </w:rPr>
              <w:t>Non-EE2: DMVR with BCW enabled</w:t>
            </w:r>
            <w:r w:rsidR="00F5689A">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1124F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71749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1AE971" w:rsidR="00E61DAC" w:rsidRPr="005B217D" w:rsidRDefault="00A94D93">
            <w:pPr>
              <w:spacing w:before="60" w:after="60"/>
              <w:rPr>
                <w:szCs w:val="22"/>
                <w:lang w:val="en-CA"/>
              </w:rPr>
            </w:pPr>
            <w:r>
              <w:rPr>
                <w:szCs w:val="22"/>
                <w:lang w:val="en-CA"/>
              </w:rPr>
              <w:t>Z. Zhang</w:t>
            </w:r>
          </w:p>
        </w:tc>
        <w:tc>
          <w:tcPr>
            <w:tcW w:w="900" w:type="dxa"/>
          </w:tcPr>
          <w:p w14:paraId="0140ECA2" w14:textId="54B0BAD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B535F60" w:rsidR="000418D2" w:rsidRPr="005B217D" w:rsidRDefault="004E377E" w:rsidP="005952A5">
            <w:pPr>
              <w:spacing w:before="60" w:after="60"/>
              <w:rPr>
                <w:szCs w:val="22"/>
                <w:lang w:val="en-CA"/>
              </w:rPr>
            </w:pPr>
            <w:hyperlink r:id="rId9" w:history="1">
              <w:r w:rsidR="000418D2" w:rsidRPr="00D17667">
                <w:rPr>
                  <w:rStyle w:val="Hyperlink"/>
                  <w:szCs w:val="22"/>
                  <w:lang w:val="en-CA"/>
                </w:rPr>
                <w:t>zhizhang@qti.qualcomm.com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5D8D40" w:rsidR="00E61DAC" w:rsidRPr="005B217D" w:rsidRDefault="00463AE9">
            <w:pPr>
              <w:spacing w:before="60" w:after="60"/>
              <w:rPr>
                <w:szCs w:val="22"/>
                <w:lang w:val="en-CA"/>
              </w:rPr>
            </w:pPr>
            <w:r w:rsidRPr="00162763">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96DA7B" w14:textId="2B4ED33D" w:rsidR="00E0629D" w:rsidRDefault="00E0629D" w:rsidP="00C97D78">
      <w:pPr>
        <w:rPr>
          <w:lang w:val="en-CA"/>
        </w:rPr>
      </w:pPr>
      <w:r>
        <w:rPr>
          <w:lang w:val="en-CA"/>
        </w:rPr>
        <w:t>This contribution reports the results of crosschecking JVET-Y0089 proposed by InterDigital. JVET-Y0089 proposes to enable BCW with DMVR. The BCW weights is inherited from merge candidate. The DMVR process applies mean removal (MR) to cost function when the BCW weight is not equal to BCW_DEFAULT.</w:t>
      </w:r>
    </w:p>
    <w:p w14:paraId="0A0A8D2D" w14:textId="3340E67F" w:rsidR="00E0629D" w:rsidRDefault="00E0629D" w:rsidP="00C97D78">
      <w:pPr>
        <w:rPr>
          <w:szCs w:val="22"/>
          <w:lang w:val="en-CA"/>
        </w:rPr>
      </w:pPr>
      <w:r>
        <w:rPr>
          <w:szCs w:val="22"/>
          <w:lang w:val="en-CA"/>
        </w:rPr>
        <w:t>The update of the code had been reviewed and confirmed consistent with the proposal description.</w:t>
      </w:r>
    </w:p>
    <w:p w14:paraId="723883F2" w14:textId="28845B59" w:rsidR="00263398" w:rsidRPr="005B217D" w:rsidRDefault="00E0629D" w:rsidP="009234A5">
      <w:pPr>
        <w:rPr>
          <w:szCs w:val="22"/>
          <w:lang w:val="en-CA"/>
        </w:rPr>
      </w:pPr>
      <w:r>
        <w:rPr>
          <w:szCs w:val="22"/>
          <w:lang w:val="en-CA"/>
        </w:rPr>
        <w:t xml:space="preserve">The verification simulation was run for RA configuration. The verification simulation results matched the results in JVET-Y0089 in term of BD-rate. The </w:t>
      </w:r>
      <w:r w:rsidR="00B540D7">
        <w:rPr>
          <w:szCs w:val="22"/>
          <w:lang w:val="en-CA"/>
        </w:rPr>
        <w:t xml:space="preserve">overall </w:t>
      </w:r>
      <w:r>
        <w:rPr>
          <w:szCs w:val="22"/>
          <w:lang w:val="en-CA"/>
        </w:rPr>
        <w:t>encoding / decoding time</w:t>
      </w:r>
      <w:r w:rsidR="003438A8">
        <w:rPr>
          <w:szCs w:val="22"/>
          <w:lang w:val="en-CA"/>
        </w:rPr>
        <w:t>s</w:t>
      </w:r>
      <w:r w:rsidR="00755B24">
        <w:rPr>
          <w:szCs w:val="22"/>
          <w:lang w:val="en-CA"/>
        </w:rPr>
        <w:t xml:space="preserve"> </w:t>
      </w:r>
      <w:r w:rsidR="0051141A">
        <w:rPr>
          <w:szCs w:val="22"/>
          <w:lang w:val="en-CA"/>
        </w:rPr>
        <w:t>are</w:t>
      </w:r>
      <w:r w:rsidR="00755B24">
        <w:rPr>
          <w:szCs w:val="22"/>
          <w:lang w:val="en-CA"/>
        </w:rPr>
        <w:t xml:space="preserve"> </w:t>
      </w:r>
      <w:r w:rsidR="00B540D7">
        <w:rPr>
          <w:szCs w:val="22"/>
          <w:lang w:val="en-CA"/>
        </w:rPr>
        <w:t xml:space="preserve">{100%, 99%} compared to </w:t>
      </w:r>
      <w:r w:rsidR="00755B24">
        <w:rPr>
          <w:szCs w:val="22"/>
          <w:lang w:val="en-CA"/>
        </w:rPr>
        <w:t>anchor.</w:t>
      </w:r>
    </w:p>
    <w:p w14:paraId="7D2AC1F0" w14:textId="0D85E444" w:rsidR="00745F6B" w:rsidRPr="005B217D" w:rsidRDefault="00E0629D" w:rsidP="00E11923">
      <w:pPr>
        <w:pStyle w:val="Heading1"/>
        <w:rPr>
          <w:lang w:val="en-CA"/>
        </w:rPr>
      </w:pPr>
      <w:r>
        <w:rPr>
          <w:lang w:val="en-CA"/>
        </w:rPr>
        <w:t>Verification</w:t>
      </w:r>
    </w:p>
    <w:p w14:paraId="6C5F0B19" w14:textId="09DCBA24" w:rsidR="00E61DAC" w:rsidRDefault="00755B24" w:rsidP="004234F0">
      <w:pPr>
        <w:rPr>
          <w:szCs w:val="22"/>
          <w:lang w:val="en-CA"/>
        </w:rPr>
      </w:pPr>
      <w:r>
        <w:rPr>
          <w:szCs w:val="22"/>
          <w:lang w:val="en-CA"/>
        </w:rPr>
        <w:t>InterDigital had provided the software and results of their proposed methods in JVET-Y0089[1]. The code was updated according to the description in JVET-Y0089.</w:t>
      </w:r>
    </w:p>
    <w:p w14:paraId="73DDBC4F" w14:textId="08340254" w:rsidR="00755B24" w:rsidRDefault="00755B24" w:rsidP="004234F0">
      <w:pPr>
        <w:rPr>
          <w:lang w:val="en-CA"/>
        </w:rPr>
      </w:pPr>
      <w:r>
        <w:rPr>
          <w:szCs w:val="22"/>
        </w:rPr>
        <w:t xml:space="preserve">The simulation was conducted under the common test conditions </w:t>
      </w:r>
      <w:r w:rsidR="0087016C">
        <w:rPr>
          <w:lang w:val="en-CA"/>
        </w:rPr>
        <w:t>as defined in [</w:t>
      </w:r>
      <w:r w:rsidR="00474DD5">
        <w:rPr>
          <w:lang w:val="en-CA"/>
        </w:rPr>
        <w:t>2</w:t>
      </w:r>
      <w:r w:rsidR="0087016C">
        <w:rPr>
          <w:lang w:val="en-CA"/>
        </w:rPr>
        <w:t>]</w:t>
      </w:r>
      <w:r w:rsidR="00474DD5">
        <w:rPr>
          <w:lang w:val="en-CA"/>
        </w:rPr>
        <w:t>.</w:t>
      </w:r>
      <w:r w:rsidR="008055DD">
        <w:rPr>
          <w:lang w:val="en-CA"/>
        </w:rPr>
        <w:t xml:space="preserve"> </w:t>
      </w:r>
      <w:r w:rsidR="00606C03">
        <w:rPr>
          <w:lang w:val="en-CA"/>
        </w:rPr>
        <w:t xml:space="preserve">The BD-rate results match the results reported in JVET-Y0089. </w:t>
      </w:r>
      <w:r w:rsidR="008055DD">
        <w:rPr>
          <w:lang w:val="en-CA"/>
        </w:rPr>
        <w:t>The simulation results for random access configuration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87"/>
        <w:gridCol w:w="787"/>
        <w:gridCol w:w="787"/>
        <w:gridCol w:w="677"/>
        <w:gridCol w:w="677"/>
      </w:tblGrid>
      <w:tr w:rsidR="008055DD" w14:paraId="19ECB51E"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B8E75" w14:textId="77777777" w:rsidR="008055DD" w:rsidRDefault="008055DD">
            <w:pPr>
              <w:rPr>
                <w:lang w:val="en-CA"/>
              </w:rPr>
            </w:pPr>
          </w:p>
        </w:tc>
        <w:tc>
          <w:tcPr>
            <w:tcW w:w="0" w:type="auto"/>
            <w:gridSpan w:val="5"/>
            <w:tcBorders>
              <w:top w:val="single" w:sz="4" w:space="0" w:color="auto"/>
              <w:left w:val="single" w:sz="4" w:space="0" w:color="auto"/>
              <w:bottom w:val="single" w:sz="4" w:space="0" w:color="auto"/>
              <w:right w:val="single" w:sz="4" w:space="0" w:color="auto"/>
            </w:tcBorders>
            <w:noWrap/>
            <w:vAlign w:val="center"/>
            <w:hideMark/>
          </w:tcPr>
          <w:p w14:paraId="2214FAF8" w14:textId="77777777" w:rsidR="008055DD" w:rsidRDefault="008055DD">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Random Access Main 10</w:t>
            </w:r>
          </w:p>
        </w:tc>
      </w:tr>
      <w:tr w:rsidR="008055DD" w14:paraId="425BE875"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CFC24" w14:textId="77777777" w:rsidR="008055DD" w:rsidRDefault="008055DD">
            <w:pPr>
              <w:rPr>
                <w:rFonts w:ascii="Arial" w:hAnsi="Arial" w:cs="Arial"/>
                <w:b/>
                <w:bCs/>
                <w:color w:val="000000"/>
                <w:sz w:val="18"/>
                <w:szCs w:val="18"/>
                <w:lang w:eastAsia="zh-CN"/>
              </w:rPr>
            </w:pPr>
          </w:p>
        </w:tc>
        <w:tc>
          <w:tcPr>
            <w:tcW w:w="0" w:type="auto"/>
            <w:gridSpan w:val="5"/>
            <w:tcBorders>
              <w:top w:val="single" w:sz="4" w:space="0" w:color="auto"/>
              <w:left w:val="single" w:sz="4" w:space="0" w:color="auto"/>
              <w:bottom w:val="single" w:sz="4" w:space="0" w:color="auto"/>
              <w:right w:val="single" w:sz="4" w:space="0" w:color="auto"/>
            </w:tcBorders>
            <w:noWrap/>
            <w:vAlign w:val="center"/>
            <w:hideMark/>
          </w:tcPr>
          <w:p w14:paraId="2691CC6B" w14:textId="77777777" w:rsidR="008055DD" w:rsidRDefault="008055DD">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Over ECM3.1</w:t>
            </w:r>
          </w:p>
        </w:tc>
      </w:tr>
      <w:tr w:rsidR="008055DD" w14:paraId="59579A9B"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F1A433" w14:textId="77777777" w:rsidR="008055DD" w:rsidRDefault="008055DD">
            <w:pPr>
              <w:rPr>
                <w:rFonts w:ascii="Arial" w:hAnsi="Arial" w:cs="Arial"/>
                <w:b/>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50E40"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58EF"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U</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09EB1"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V</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4E34A"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EncT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05270"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DecT</w:t>
            </w:r>
          </w:p>
        </w:tc>
      </w:tr>
      <w:tr w:rsidR="008C3668" w14:paraId="53EBA97F"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D31955" w14:textId="77777777" w:rsidR="008C3668" w:rsidRDefault="008C3668" w:rsidP="008C3668">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7F905F" w14:textId="66CCB5A3" w:rsidR="008C3668" w:rsidRDefault="008C3668" w:rsidP="008C3668">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252B8" w14:textId="6824DD37" w:rsidR="008C3668" w:rsidRDefault="008C3668" w:rsidP="008C3668">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C3E41" w14:textId="755107D1" w:rsidR="008C3668" w:rsidRDefault="008C3668" w:rsidP="008C3668">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CFC2F" w14:textId="33FEE54F" w:rsidR="008C3668" w:rsidRDefault="008C3668" w:rsidP="008C3668">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3763C" w14:textId="7802389B" w:rsidR="008C3668" w:rsidRDefault="008C3668" w:rsidP="008C3668">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97%</w:t>
            </w:r>
          </w:p>
        </w:tc>
      </w:tr>
      <w:tr w:rsidR="00E77682" w14:paraId="65E7F33B" w14:textId="77777777" w:rsidTr="00141AAB">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D254D7" w14:textId="77777777" w:rsidR="00E77682" w:rsidRDefault="00E77682" w:rsidP="00E7768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A2</w:t>
            </w:r>
          </w:p>
        </w:tc>
        <w:tc>
          <w:tcPr>
            <w:tcW w:w="0" w:type="auto"/>
            <w:tcBorders>
              <w:top w:val="single" w:sz="4" w:space="0" w:color="auto"/>
              <w:left w:val="single" w:sz="4" w:space="0" w:color="auto"/>
              <w:bottom w:val="single" w:sz="4" w:space="0" w:color="auto"/>
              <w:right w:val="single" w:sz="4" w:space="0" w:color="auto"/>
            </w:tcBorders>
            <w:noWrap/>
            <w:vAlign w:val="center"/>
          </w:tcPr>
          <w:p w14:paraId="2A0D7E92" w14:textId="04776BAA" w:rsidR="00E77682" w:rsidRDefault="00E77682" w:rsidP="00E7768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single" w:sz="4" w:space="0" w:color="auto"/>
              <w:left w:val="single" w:sz="4" w:space="0" w:color="auto"/>
              <w:bottom w:val="single" w:sz="4" w:space="0" w:color="auto"/>
              <w:right w:val="single" w:sz="4" w:space="0" w:color="auto"/>
            </w:tcBorders>
            <w:noWrap/>
            <w:vAlign w:val="center"/>
          </w:tcPr>
          <w:p w14:paraId="62BD5EEF" w14:textId="746A0CD5" w:rsidR="00E77682" w:rsidRDefault="00E77682" w:rsidP="00E7768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4" w:space="0" w:color="auto"/>
              <w:left w:val="single" w:sz="4" w:space="0" w:color="auto"/>
              <w:bottom w:val="single" w:sz="4" w:space="0" w:color="auto"/>
              <w:right w:val="single" w:sz="4" w:space="0" w:color="auto"/>
            </w:tcBorders>
            <w:noWrap/>
            <w:vAlign w:val="center"/>
          </w:tcPr>
          <w:p w14:paraId="15EFE3FF" w14:textId="237B2A70" w:rsidR="00E77682" w:rsidRDefault="00E77682" w:rsidP="00E7768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single" w:sz="4" w:space="0" w:color="auto"/>
              <w:left w:val="single" w:sz="4" w:space="0" w:color="auto"/>
              <w:bottom w:val="single" w:sz="4" w:space="0" w:color="auto"/>
              <w:right w:val="single" w:sz="4" w:space="0" w:color="auto"/>
            </w:tcBorders>
            <w:noWrap/>
            <w:vAlign w:val="center"/>
          </w:tcPr>
          <w:p w14:paraId="2F0A7A11" w14:textId="4717C342" w:rsidR="00E77682" w:rsidRDefault="00E77682" w:rsidP="00E7768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98%</w:t>
            </w:r>
          </w:p>
        </w:tc>
        <w:tc>
          <w:tcPr>
            <w:tcW w:w="0" w:type="auto"/>
            <w:tcBorders>
              <w:top w:val="single" w:sz="4" w:space="0" w:color="auto"/>
              <w:left w:val="single" w:sz="4" w:space="0" w:color="auto"/>
              <w:bottom w:val="single" w:sz="4" w:space="0" w:color="auto"/>
              <w:right w:val="single" w:sz="4" w:space="0" w:color="auto"/>
            </w:tcBorders>
            <w:noWrap/>
            <w:vAlign w:val="center"/>
          </w:tcPr>
          <w:p w14:paraId="3FF99C24" w14:textId="75AA9A22" w:rsidR="00E77682" w:rsidRDefault="00E77682" w:rsidP="00E7768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98%</w:t>
            </w:r>
          </w:p>
        </w:tc>
      </w:tr>
      <w:tr w:rsidR="00141AAB" w14:paraId="6BC0F225"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6B1CB1" w14:textId="77777777"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86840" w14:textId="455D5279"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430B3" w14:textId="18B49254"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D0783" w14:textId="577B6C70"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6072E" w14:textId="3CF0DA16"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E3A57" w14:textId="263930AE"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100%</w:t>
            </w:r>
          </w:p>
        </w:tc>
      </w:tr>
      <w:tr w:rsidR="00141AAB" w14:paraId="619D4AF4"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166DC6" w14:textId="77777777"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C</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E3A58" w14:textId="49F41630"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10DA5" w14:textId="1B99A6CF"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55E51" w14:textId="705580CE"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00811" w14:textId="4DE26997"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24852" w14:textId="5F36EF6E" w:rsidR="00141AAB" w:rsidRDefault="00141AAB" w:rsidP="00141AAB">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101%</w:t>
            </w:r>
          </w:p>
        </w:tc>
      </w:tr>
      <w:tr w:rsidR="008055DD" w14:paraId="5C20FC4E"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515252"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01244"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9ABEB" w14:textId="77777777" w:rsidR="008055DD" w:rsidRDefault="008055DD">
            <w:pPr>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541D2"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ADAE5" w14:textId="77777777" w:rsidR="008055DD" w:rsidRDefault="008055DD">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C7994" w14:textId="77777777" w:rsidR="008055DD" w:rsidRDefault="008055DD">
            <w:pPr>
              <w:rPr>
                <w:rFonts w:ascii="Arial" w:hAnsi="Arial" w:cs="Arial"/>
                <w:color w:val="000000"/>
                <w:sz w:val="18"/>
                <w:szCs w:val="18"/>
                <w:lang w:eastAsia="zh-CN"/>
              </w:rPr>
            </w:pPr>
          </w:p>
        </w:tc>
      </w:tr>
      <w:tr w:rsidR="0075650B" w14:paraId="117DBEAC" w14:textId="77777777" w:rsidTr="00141AAB">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C187F" w14:textId="77777777" w:rsidR="0075650B" w:rsidRDefault="0075650B" w:rsidP="0075650B">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0" w:type="auto"/>
            <w:tcBorders>
              <w:top w:val="single" w:sz="4" w:space="0" w:color="auto"/>
              <w:left w:val="single" w:sz="4" w:space="0" w:color="auto"/>
              <w:bottom w:val="single" w:sz="4" w:space="0" w:color="auto"/>
              <w:right w:val="single" w:sz="4" w:space="0" w:color="auto"/>
            </w:tcBorders>
            <w:noWrap/>
            <w:vAlign w:val="center"/>
          </w:tcPr>
          <w:p w14:paraId="4BC4AA03" w14:textId="49E616E9" w:rsidR="0075650B" w:rsidRPr="0075650B" w:rsidRDefault="0075650B" w:rsidP="0075650B">
            <w:pPr>
              <w:tabs>
                <w:tab w:val="clear" w:pos="360"/>
              </w:tabs>
              <w:overflowPunct/>
              <w:autoSpaceDE/>
              <w:adjustRightInd/>
              <w:spacing w:before="0"/>
              <w:jc w:val="center"/>
              <w:rPr>
                <w:rFonts w:ascii="Arial" w:hAnsi="Arial" w:cs="Arial"/>
                <w:b/>
                <w:bCs/>
                <w:color w:val="000000"/>
                <w:sz w:val="18"/>
                <w:szCs w:val="18"/>
                <w:lang w:eastAsia="zh-CN"/>
              </w:rPr>
            </w:pPr>
            <w:r w:rsidRPr="0075650B">
              <w:rPr>
                <w:rFonts w:ascii="Arial" w:hAnsi="Arial" w:cs="Arial"/>
                <w:b/>
                <w:bCs/>
                <w:color w:val="000000"/>
                <w:sz w:val="18"/>
                <w:szCs w:val="18"/>
              </w:rPr>
              <w:t>-0.03%</w:t>
            </w:r>
          </w:p>
        </w:tc>
        <w:tc>
          <w:tcPr>
            <w:tcW w:w="0" w:type="auto"/>
            <w:tcBorders>
              <w:top w:val="single" w:sz="4" w:space="0" w:color="auto"/>
              <w:left w:val="single" w:sz="4" w:space="0" w:color="auto"/>
              <w:bottom w:val="single" w:sz="4" w:space="0" w:color="auto"/>
              <w:right w:val="single" w:sz="4" w:space="0" w:color="auto"/>
            </w:tcBorders>
            <w:noWrap/>
            <w:vAlign w:val="center"/>
          </w:tcPr>
          <w:p w14:paraId="52BB01E4" w14:textId="1B09D2D2" w:rsidR="0075650B" w:rsidRPr="0075650B" w:rsidRDefault="0075650B" w:rsidP="0075650B">
            <w:pPr>
              <w:tabs>
                <w:tab w:val="clear" w:pos="360"/>
              </w:tabs>
              <w:overflowPunct/>
              <w:autoSpaceDE/>
              <w:adjustRightInd/>
              <w:spacing w:before="0"/>
              <w:jc w:val="center"/>
              <w:rPr>
                <w:rFonts w:ascii="Arial" w:hAnsi="Arial" w:cs="Arial"/>
                <w:b/>
                <w:bCs/>
                <w:color w:val="000000"/>
                <w:sz w:val="18"/>
                <w:szCs w:val="18"/>
                <w:lang w:eastAsia="zh-CN"/>
              </w:rPr>
            </w:pPr>
            <w:r w:rsidRPr="0075650B">
              <w:rPr>
                <w:rFonts w:ascii="Arial" w:hAnsi="Arial" w:cs="Arial"/>
                <w:b/>
                <w:bCs/>
                <w:color w:val="000000"/>
                <w:sz w:val="18"/>
                <w:szCs w:val="18"/>
              </w:rPr>
              <w:t>-0.01%</w:t>
            </w:r>
          </w:p>
        </w:tc>
        <w:tc>
          <w:tcPr>
            <w:tcW w:w="0" w:type="auto"/>
            <w:tcBorders>
              <w:top w:val="single" w:sz="4" w:space="0" w:color="auto"/>
              <w:left w:val="single" w:sz="4" w:space="0" w:color="auto"/>
              <w:bottom w:val="single" w:sz="4" w:space="0" w:color="auto"/>
              <w:right w:val="single" w:sz="4" w:space="0" w:color="auto"/>
            </w:tcBorders>
            <w:noWrap/>
            <w:vAlign w:val="center"/>
          </w:tcPr>
          <w:p w14:paraId="6B4468A2" w14:textId="62E98486" w:rsidR="0075650B" w:rsidRPr="0075650B" w:rsidRDefault="0075650B" w:rsidP="0075650B">
            <w:pPr>
              <w:tabs>
                <w:tab w:val="clear" w:pos="360"/>
              </w:tabs>
              <w:overflowPunct/>
              <w:autoSpaceDE/>
              <w:adjustRightInd/>
              <w:spacing w:before="0"/>
              <w:jc w:val="center"/>
              <w:rPr>
                <w:rFonts w:ascii="Arial" w:hAnsi="Arial" w:cs="Arial"/>
                <w:b/>
                <w:bCs/>
                <w:color w:val="000000"/>
                <w:sz w:val="18"/>
                <w:szCs w:val="18"/>
                <w:lang w:eastAsia="zh-CN"/>
              </w:rPr>
            </w:pPr>
            <w:r w:rsidRPr="0075650B">
              <w:rPr>
                <w:rFonts w:ascii="Arial" w:hAnsi="Arial" w:cs="Arial"/>
                <w:b/>
                <w:bCs/>
                <w:color w:val="000000"/>
                <w:sz w:val="18"/>
                <w:szCs w:val="18"/>
              </w:rPr>
              <w:t>-0.04%</w:t>
            </w:r>
          </w:p>
        </w:tc>
        <w:tc>
          <w:tcPr>
            <w:tcW w:w="0" w:type="auto"/>
            <w:tcBorders>
              <w:top w:val="single" w:sz="4" w:space="0" w:color="auto"/>
              <w:left w:val="single" w:sz="4" w:space="0" w:color="auto"/>
              <w:bottom w:val="single" w:sz="4" w:space="0" w:color="auto"/>
              <w:right w:val="single" w:sz="4" w:space="0" w:color="auto"/>
            </w:tcBorders>
            <w:noWrap/>
            <w:vAlign w:val="center"/>
          </w:tcPr>
          <w:p w14:paraId="3A6F02C4" w14:textId="338DF866" w:rsidR="0075650B" w:rsidRPr="0075650B" w:rsidRDefault="0075650B" w:rsidP="0075650B">
            <w:pPr>
              <w:tabs>
                <w:tab w:val="clear" w:pos="360"/>
              </w:tabs>
              <w:overflowPunct/>
              <w:autoSpaceDE/>
              <w:adjustRightInd/>
              <w:spacing w:before="0"/>
              <w:jc w:val="center"/>
              <w:rPr>
                <w:rFonts w:ascii="Arial" w:hAnsi="Arial" w:cs="Arial"/>
                <w:b/>
                <w:bCs/>
                <w:color w:val="000000"/>
                <w:sz w:val="18"/>
                <w:szCs w:val="18"/>
                <w:lang w:eastAsia="zh-CN"/>
              </w:rPr>
            </w:pPr>
            <w:r w:rsidRPr="0075650B">
              <w:rPr>
                <w:rFonts w:ascii="Arial" w:hAnsi="Arial" w:cs="Arial"/>
                <w:b/>
                <w:b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FC9F30B" w14:textId="687F3439" w:rsidR="0075650B" w:rsidRPr="0075650B" w:rsidRDefault="0075650B" w:rsidP="0075650B">
            <w:pPr>
              <w:tabs>
                <w:tab w:val="clear" w:pos="360"/>
              </w:tabs>
              <w:overflowPunct/>
              <w:autoSpaceDE/>
              <w:adjustRightInd/>
              <w:spacing w:before="0"/>
              <w:jc w:val="center"/>
              <w:rPr>
                <w:rFonts w:ascii="Arial" w:hAnsi="Arial" w:cs="Arial"/>
                <w:b/>
                <w:bCs/>
                <w:color w:val="000000"/>
                <w:sz w:val="18"/>
                <w:szCs w:val="18"/>
                <w:lang w:eastAsia="zh-CN"/>
              </w:rPr>
            </w:pPr>
            <w:r w:rsidRPr="0075650B">
              <w:rPr>
                <w:rFonts w:ascii="Arial" w:hAnsi="Arial" w:cs="Arial"/>
                <w:b/>
                <w:bCs/>
                <w:color w:val="000000"/>
                <w:sz w:val="18"/>
                <w:szCs w:val="18"/>
              </w:rPr>
              <w:t>99%</w:t>
            </w:r>
          </w:p>
        </w:tc>
      </w:tr>
      <w:tr w:rsidR="00560B72" w14:paraId="2B4C9982"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087F83" w14:textId="77777777"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92D2" w14:textId="7A94E85B"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D27AD" w14:textId="2B56BB79"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80A31" w14:textId="228E8904"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BBFDD" w14:textId="003B5C85"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C2E65" w14:textId="73089B34"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101%</w:t>
            </w:r>
          </w:p>
        </w:tc>
      </w:tr>
      <w:tr w:rsidR="00560B72" w14:paraId="05CDBABB" w14:textId="77777777" w:rsidTr="008055DD">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A9C847" w14:textId="77777777"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F (optional)</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75112D" w14:textId="5521EF99"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0CCD4" w14:textId="7C87555C"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EC6FE" w14:textId="08E3AC03"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4E048" w14:textId="45CFF76B"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CF41D" w14:textId="61CD55AA" w:rsidR="00560B72" w:rsidRDefault="00560B72" w:rsidP="00560B72">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101%</w:t>
            </w:r>
          </w:p>
        </w:tc>
      </w:tr>
    </w:tbl>
    <w:p w14:paraId="36898211" w14:textId="185DAFA7" w:rsidR="009A79E1" w:rsidRDefault="009A79E1" w:rsidP="00E11923">
      <w:pPr>
        <w:pStyle w:val="Heading1"/>
        <w:rPr>
          <w:lang w:val="en-CA"/>
        </w:rPr>
      </w:pPr>
      <w:r>
        <w:rPr>
          <w:lang w:val="en-CA"/>
        </w:rPr>
        <w:t>Reference</w:t>
      </w:r>
    </w:p>
    <w:p w14:paraId="5D285CBA" w14:textId="53A8CC16" w:rsidR="009A79E1" w:rsidRDefault="009A79E1" w:rsidP="009A79E1">
      <w:pPr>
        <w:rPr>
          <w:lang w:val="en-CA"/>
        </w:rPr>
      </w:pPr>
      <w:r>
        <w:rPr>
          <w:lang w:val="en-CA"/>
        </w:rPr>
        <w:t xml:space="preserve">[1] </w:t>
      </w:r>
      <w:r w:rsidRPr="009A79E1">
        <w:rPr>
          <w:lang w:val="en-CA"/>
        </w:rPr>
        <w:t>P. Bordes, A. Robert, Y. Chen, F. Galpin,</w:t>
      </w:r>
      <w:r>
        <w:rPr>
          <w:lang w:val="en-CA"/>
        </w:rPr>
        <w:t xml:space="preserve"> “</w:t>
      </w:r>
      <w:r w:rsidRPr="009A79E1">
        <w:rPr>
          <w:lang w:val="en-CA"/>
        </w:rPr>
        <w:t>Non-EE2: DMVR with BCW enabled</w:t>
      </w:r>
      <w:r>
        <w:rPr>
          <w:lang w:val="en-CA"/>
        </w:rPr>
        <w:t>”, JVET-Y0089, Jan. 2022.</w:t>
      </w:r>
    </w:p>
    <w:p w14:paraId="0DAA56D1" w14:textId="346E4E65" w:rsidR="00755B24" w:rsidRPr="00755B24" w:rsidRDefault="00755B24" w:rsidP="00755B24">
      <w:pPr>
        <w:pStyle w:val="paragraph"/>
        <w:spacing w:before="0" w:beforeAutospacing="0" w:after="0" w:afterAutospacing="0"/>
        <w:jc w:val="both"/>
        <w:textAlignment w:val="baseline"/>
        <w:rPr>
          <w:rFonts w:eastAsia="Times New Roman Bold"/>
          <w:sz w:val="22"/>
          <w:szCs w:val="22"/>
          <w:lang w:val="en-CA"/>
        </w:rPr>
      </w:pPr>
      <w:r w:rsidRPr="00FF3BAB">
        <w:rPr>
          <w:rStyle w:val="normaltextrun"/>
          <w:rFonts w:eastAsia="Times New Roman Bold"/>
          <w:sz w:val="22"/>
          <w:szCs w:val="22"/>
          <w:lang w:val="en-CA"/>
        </w:rPr>
        <w:t>[</w:t>
      </w:r>
      <w:r>
        <w:rPr>
          <w:rStyle w:val="normaltextrun"/>
          <w:rFonts w:eastAsia="Times New Roman Bold"/>
          <w:sz w:val="22"/>
          <w:szCs w:val="22"/>
          <w:lang w:val="en-CA"/>
        </w:rPr>
        <w:t>2</w:t>
      </w:r>
      <w:r w:rsidRPr="00FF3BAB">
        <w:rPr>
          <w:rStyle w:val="normaltextrun"/>
          <w:rFonts w:eastAsia="Times New Roman Bold"/>
          <w:sz w:val="22"/>
          <w:szCs w:val="22"/>
          <w:lang w:val="en-CA"/>
        </w:rPr>
        <w:t>] M. Karczewicz, Y. Ye, “Common Test Conditions and evaluation procedures for enhanced compression tool testing”</w:t>
      </w:r>
      <w:r w:rsidRPr="00FF3BAB">
        <w:rPr>
          <w:rStyle w:val="normaltextrun"/>
          <w:rFonts w:eastAsia="Times New Roman Bold" w:hint="eastAsia"/>
          <w:sz w:val="22"/>
          <w:szCs w:val="22"/>
        </w:rPr>
        <w:t>,</w:t>
      </w:r>
      <w:r w:rsidRPr="00FF3BAB">
        <w:rPr>
          <w:rStyle w:val="normaltextrun"/>
          <w:rFonts w:eastAsia="Times New Roman Bold"/>
          <w:sz w:val="22"/>
          <w:szCs w:val="22"/>
          <w:lang w:val="en-CA"/>
        </w:rPr>
        <w:t> JVET-V2017, Apr. 2021.</w:t>
      </w:r>
    </w:p>
    <w:p w14:paraId="5F0CF8E4" w14:textId="5C474E08"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9610FEC" w:rsidR="00342FF4" w:rsidRPr="005B217D" w:rsidRDefault="004A383D" w:rsidP="009234A5">
      <w:pPr>
        <w:rPr>
          <w:szCs w:val="22"/>
          <w:lang w:val="en-CA"/>
        </w:rPr>
      </w:pPr>
      <w:r w:rsidRPr="00162763">
        <w:rPr>
          <w:b/>
          <w:szCs w:val="22"/>
          <w:lang w:val="en-CA"/>
        </w:rPr>
        <w:t>Qualcomm Incorporated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EC23" w14:textId="77777777" w:rsidR="004E377E" w:rsidRDefault="004E377E">
      <w:r>
        <w:separator/>
      </w:r>
    </w:p>
  </w:endnote>
  <w:endnote w:type="continuationSeparator" w:id="0">
    <w:p w14:paraId="1FCAA0D3" w14:textId="77777777" w:rsidR="004E377E" w:rsidRDefault="004E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C38CC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1475">
      <w:rPr>
        <w:rStyle w:val="PageNumber"/>
        <w:noProof/>
      </w:rPr>
      <w:t>2022-01-13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FD2B" w14:textId="77777777" w:rsidR="004E377E" w:rsidRDefault="004E377E">
      <w:r>
        <w:separator/>
      </w:r>
    </w:p>
  </w:footnote>
  <w:footnote w:type="continuationSeparator" w:id="0">
    <w:p w14:paraId="2FE57B3F" w14:textId="77777777" w:rsidR="004E377E" w:rsidRDefault="004E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75"/>
    <w:rsid w:val="000308A3"/>
    <w:rsid w:val="000418D2"/>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0F1AA7"/>
    <w:rsid w:val="00102F3D"/>
    <w:rsid w:val="00124E38"/>
    <w:rsid w:val="0012580B"/>
    <w:rsid w:val="00131F90"/>
    <w:rsid w:val="0013458C"/>
    <w:rsid w:val="0013526E"/>
    <w:rsid w:val="00141AAB"/>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DA2"/>
    <w:rsid w:val="00291E36"/>
    <w:rsid w:val="00292257"/>
    <w:rsid w:val="002A54E0"/>
    <w:rsid w:val="002B1595"/>
    <w:rsid w:val="002B191D"/>
    <w:rsid w:val="002B2E83"/>
    <w:rsid w:val="002D0AF6"/>
    <w:rsid w:val="002F164D"/>
    <w:rsid w:val="003021BC"/>
    <w:rsid w:val="00306206"/>
    <w:rsid w:val="00317D85"/>
    <w:rsid w:val="003248F9"/>
    <w:rsid w:val="00327C56"/>
    <w:rsid w:val="003315A1"/>
    <w:rsid w:val="003373EC"/>
    <w:rsid w:val="00342FF4"/>
    <w:rsid w:val="003438A8"/>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AE9"/>
    <w:rsid w:val="00465A1E"/>
    <w:rsid w:val="00474DD5"/>
    <w:rsid w:val="0049445A"/>
    <w:rsid w:val="004957D9"/>
    <w:rsid w:val="004A2A63"/>
    <w:rsid w:val="004A383D"/>
    <w:rsid w:val="004B210C"/>
    <w:rsid w:val="004B6170"/>
    <w:rsid w:val="004D405F"/>
    <w:rsid w:val="004E377E"/>
    <w:rsid w:val="004E4F4F"/>
    <w:rsid w:val="004E6789"/>
    <w:rsid w:val="004F61E3"/>
    <w:rsid w:val="00502E10"/>
    <w:rsid w:val="0050354E"/>
    <w:rsid w:val="0051015C"/>
    <w:rsid w:val="0051141A"/>
    <w:rsid w:val="00516CF1"/>
    <w:rsid w:val="00531AE9"/>
    <w:rsid w:val="00536188"/>
    <w:rsid w:val="00550A66"/>
    <w:rsid w:val="00560B72"/>
    <w:rsid w:val="00567EC7"/>
    <w:rsid w:val="00570013"/>
    <w:rsid w:val="005753EC"/>
    <w:rsid w:val="005801A2"/>
    <w:rsid w:val="005952A5"/>
    <w:rsid w:val="005A1A1A"/>
    <w:rsid w:val="005A33A1"/>
    <w:rsid w:val="005B217D"/>
    <w:rsid w:val="005C385F"/>
    <w:rsid w:val="005C7C26"/>
    <w:rsid w:val="005E1AC6"/>
    <w:rsid w:val="005E3F2B"/>
    <w:rsid w:val="005F6F1B"/>
    <w:rsid w:val="00606C03"/>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5B24"/>
    <w:rsid w:val="0075650B"/>
    <w:rsid w:val="00770571"/>
    <w:rsid w:val="007768FF"/>
    <w:rsid w:val="007824D3"/>
    <w:rsid w:val="00796EE3"/>
    <w:rsid w:val="007A7D29"/>
    <w:rsid w:val="007B1F10"/>
    <w:rsid w:val="007B4AB8"/>
    <w:rsid w:val="007C081C"/>
    <w:rsid w:val="007D1181"/>
    <w:rsid w:val="007E01A3"/>
    <w:rsid w:val="007F1F8B"/>
    <w:rsid w:val="007F6205"/>
    <w:rsid w:val="007F67A1"/>
    <w:rsid w:val="00801A7B"/>
    <w:rsid w:val="008055DD"/>
    <w:rsid w:val="00811C05"/>
    <w:rsid w:val="008206C8"/>
    <w:rsid w:val="008464E2"/>
    <w:rsid w:val="0086387C"/>
    <w:rsid w:val="0087016C"/>
    <w:rsid w:val="00874A6C"/>
    <w:rsid w:val="00875581"/>
    <w:rsid w:val="00876C65"/>
    <w:rsid w:val="00882F72"/>
    <w:rsid w:val="00893DC4"/>
    <w:rsid w:val="008A4B4C"/>
    <w:rsid w:val="008C239F"/>
    <w:rsid w:val="008C3668"/>
    <w:rsid w:val="008E480C"/>
    <w:rsid w:val="009039EF"/>
    <w:rsid w:val="00907757"/>
    <w:rsid w:val="009212B0"/>
    <w:rsid w:val="00921FA1"/>
    <w:rsid w:val="009234A5"/>
    <w:rsid w:val="00933453"/>
    <w:rsid w:val="009336F7"/>
    <w:rsid w:val="0093636C"/>
    <w:rsid w:val="009374A7"/>
    <w:rsid w:val="00937F03"/>
    <w:rsid w:val="00955F6D"/>
    <w:rsid w:val="009567B1"/>
    <w:rsid w:val="00977C16"/>
    <w:rsid w:val="0098551D"/>
    <w:rsid w:val="00985DCB"/>
    <w:rsid w:val="0099518F"/>
    <w:rsid w:val="009A523D"/>
    <w:rsid w:val="009A79E1"/>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4D93"/>
    <w:rsid w:val="00AA6E84"/>
    <w:rsid w:val="00AB1A1C"/>
    <w:rsid w:val="00AB4721"/>
    <w:rsid w:val="00AB7405"/>
    <w:rsid w:val="00AD05A8"/>
    <w:rsid w:val="00AE341B"/>
    <w:rsid w:val="00AF51C5"/>
    <w:rsid w:val="00B01905"/>
    <w:rsid w:val="00B07CA7"/>
    <w:rsid w:val="00B1279A"/>
    <w:rsid w:val="00B3640F"/>
    <w:rsid w:val="00B36E67"/>
    <w:rsid w:val="00B4194A"/>
    <w:rsid w:val="00B437E8"/>
    <w:rsid w:val="00B50D92"/>
    <w:rsid w:val="00B51F2C"/>
    <w:rsid w:val="00B5222E"/>
    <w:rsid w:val="00B53179"/>
    <w:rsid w:val="00B532EA"/>
    <w:rsid w:val="00B540D7"/>
    <w:rsid w:val="00B57A23"/>
    <w:rsid w:val="00B600CD"/>
    <w:rsid w:val="00B61C96"/>
    <w:rsid w:val="00B70B79"/>
    <w:rsid w:val="00B73A2A"/>
    <w:rsid w:val="00B75A51"/>
    <w:rsid w:val="00B827C6"/>
    <w:rsid w:val="00B94B06"/>
    <w:rsid w:val="00B94C28"/>
    <w:rsid w:val="00BC10BA"/>
    <w:rsid w:val="00BC5AFD"/>
    <w:rsid w:val="00BF024C"/>
    <w:rsid w:val="00C00DDE"/>
    <w:rsid w:val="00C04F43"/>
    <w:rsid w:val="00C05271"/>
    <w:rsid w:val="00C0609D"/>
    <w:rsid w:val="00C115AB"/>
    <w:rsid w:val="00C26CCB"/>
    <w:rsid w:val="00C30249"/>
    <w:rsid w:val="00C3723B"/>
    <w:rsid w:val="00C42466"/>
    <w:rsid w:val="00C606C9"/>
    <w:rsid w:val="00C67EB6"/>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629D"/>
    <w:rsid w:val="00E11923"/>
    <w:rsid w:val="00E262D4"/>
    <w:rsid w:val="00E36250"/>
    <w:rsid w:val="00E47F2D"/>
    <w:rsid w:val="00E54511"/>
    <w:rsid w:val="00E60EDC"/>
    <w:rsid w:val="00E61DAC"/>
    <w:rsid w:val="00E72B80"/>
    <w:rsid w:val="00E75FE3"/>
    <w:rsid w:val="00E77682"/>
    <w:rsid w:val="00E83BA0"/>
    <w:rsid w:val="00E86C4C"/>
    <w:rsid w:val="00E907A3"/>
    <w:rsid w:val="00EA5AE0"/>
    <w:rsid w:val="00EB56E1"/>
    <w:rsid w:val="00EB7AB1"/>
    <w:rsid w:val="00EC32BD"/>
    <w:rsid w:val="00EE7CD8"/>
    <w:rsid w:val="00EF37F6"/>
    <w:rsid w:val="00EF48CC"/>
    <w:rsid w:val="00F00801"/>
    <w:rsid w:val="00F2488D"/>
    <w:rsid w:val="00F5689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A1A1A"/>
    <w:rPr>
      <w:color w:val="605E5C"/>
      <w:shd w:val="clear" w:color="auto" w:fill="E1DFDD"/>
    </w:rPr>
  </w:style>
  <w:style w:type="paragraph" w:customStyle="1" w:styleId="paragraph">
    <w:name w:val="paragraph"/>
    <w:basedOn w:val="Normal"/>
    <w:rsid w:val="0075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DefaultParagraphFont"/>
    <w:rsid w:val="0075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09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zhizhang@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35</cp:revision>
  <cp:lastPrinted>1900-01-01T08:00:00Z</cp:lastPrinted>
  <dcterms:created xsi:type="dcterms:W3CDTF">2021-08-25T19:17:00Z</dcterms:created>
  <dcterms:modified xsi:type="dcterms:W3CDTF">2022-01-13T21:10:00Z</dcterms:modified>
</cp:coreProperties>
</file>