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25C611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C1714">
              <w:rPr>
                <w:lang w:val="en-CA"/>
              </w:rPr>
              <w:t>Y0163</w:t>
            </w:r>
            <w:r w:rsidR="007E4064">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306821" w:rsidR="00E61DAC" w:rsidRPr="00A90B4B" w:rsidRDefault="00A90B4B" w:rsidP="00781B6C">
            <w:pPr>
              <w:spacing w:before="60" w:after="60"/>
              <w:rPr>
                <w:b/>
                <w:bCs/>
                <w:szCs w:val="22"/>
                <w:lang w:val="en-CA"/>
              </w:rPr>
            </w:pPr>
            <w:r w:rsidRPr="00A90B4B">
              <w:rPr>
                <w:b/>
                <w:bCs/>
              </w:rPr>
              <w:t>AHG 7: G</w:t>
            </w:r>
            <w:r w:rsidR="00781B6C">
              <w:rPr>
                <w:b/>
                <w:bCs/>
              </w:rPr>
              <w:t>DR</w:t>
            </w:r>
            <w:r w:rsidRPr="00A90B4B">
              <w:rPr>
                <w:b/>
                <w:bCs/>
              </w:rPr>
              <w:t xml:space="preserve"> </w:t>
            </w:r>
            <w:r w:rsidR="00781B6C">
              <w:rPr>
                <w:b/>
                <w:bCs/>
              </w:rPr>
              <w:t xml:space="preserve">without encoder constraints </w:t>
            </w:r>
            <w:r w:rsidRPr="00A90B4B">
              <w:rPr>
                <w:b/>
                <w:bCs/>
              </w:rPr>
              <w:t>for ECM</w:t>
            </w:r>
            <w:r w:rsidRPr="00A90B4B">
              <w:rPr>
                <w:b/>
                <w:bCs/>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251657" w:rsidR="00E61DAC" w:rsidRPr="005B217D" w:rsidRDefault="0013458C" w:rsidP="009D7CE6">
            <w:pPr>
              <w:spacing w:before="60" w:after="60"/>
              <w:rPr>
                <w:szCs w:val="22"/>
                <w:lang w:val="en-CA"/>
              </w:rPr>
            </w:pPr>
            <w:r>
              <w:rPr>
                <w:szCs w:val="22"/>
                <w:lang w:val="en-CA"/>
              </w:rPr>
              <w:t xml:space="preserve">Input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03CD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3A64C9" w14:textId="77777777" w:rsidR="00A90B4B" w:rsidRDefault="00A90B4B" w:rsidP="00A90B4B">
            <w:pPr>
              <w:spacing w:before="60" w:after="60"/>
              <w:rPr>
                <w:szCs w:val="22"/>
                <w:lang w:val="en-CA"/>
              </w:rPr>
            </w:pPr>
            <w:r>
              <w:rPr>
                <w:szCs w:val="22"/>
                <w:lang w:val="en-CA"/>
              </w:rPr>
              <w:t xml:space="preserve">Limin Wang </w:t>
            </w:r>
          </w:p>
          <w:p w14:paraId="4C392C30" w14:textId="77777777" w:rsidR="00A90B4B" w:rsidRDefault="00A90B4B" w:rsidP="00A90B4B">
            <w:pPr>
              <w:spacing w:before="60" w:after="60"/>
              <w:rPr>
                <w:szCs w:val="22"/>
                <w:lang w:val="en-CA"/>
              </w:rPr>
            </w:pPr>
            <w:r>
              <w:rPr>
                <w:szCs w:val="22"/>
                <w:lang w:val="en-CA"/>
              </w:rPr>
              <w:t>Seungwook Hong</w:t>
            </w:r>
          </w:p>
          <w:p w14:paraId="49D81240" w14:textId="48611DFB" w:rsidR="00E61DAC" w:rsidRPr="005B217D" w:rsidRDefault="00A90B4B" w:rsidP="00A90B4B">
            <w:pPr>
              <w:spacing w:before="60" w:after="60"/>
              <w:rPr>
                <w:szCs w:val="22"/>
                <w:lang w:val="en-CA"/>
              </w:rPr>
            </w:pPr>
            <w:r>
              <w:rPr>
                <w:szCs w:val="22"/>
                <w:lang w:val="en-CA"/>
              </w:rPr>
              <w:t>Krit Panusopone</w:t>
            </w:r>
          </w:p>
        </w:tc>
        <w:tc>
          <w:tcPr>
            <w:tcW w:w="900" w:type="dxa"/>
          </w:tcPr>
          <w:p w14:paraId="0140ECA2" w14:textId="15B0478F" w:rsidR="00E61DAC" w:rsidRPr="005B217D" w:rsidRDefault="00E61DAC">
            <w:pPr>
              <w:spacing w:before="60" w:after="60"/>
              <w:rPr>
                <w:szCs w:val="22"/>
                <w:lang w:val="en-CA"/>
              </w:rPr>
            </w:pPr>
            <w:r w:rsidRPr="005B217D">
              <w:rPr>
                <w:szCs w:val="22"/>
                <w:lang w:val="en-CA"/>
              </w:rPr>
              <w:t>Email:</w:t>
            </w:r>
          </w:p>
        </w:tc>
        <w:tc>
          <w:tcPr>
            <w:tcW w:w="3060" w:type="dxa"/>
          </w:tcPr>
          <w:p w14:paraId="47D73CD2" w14:textId="43C1ADDC" w:rsidR="00A90B4B" w:rsidRPr="00A90B4B" w:rsidRDefault="00DE2699" w:rsidP="00A90B4B">
            <w:pPr>
              <w:spacing w:before="60" w:after="60"/>
              <w:rPr>
                <w:rStyle w:val="Hyperlink"/>
                <w:color w:val="auto"/>
                <w:szCs w:val="22"/>
                <w:u w:val="none"/>
                <w:lang w:val="en-CA"/>
              </w:rPr>
            </w:pPr>
            <w:hyperlink r:id="rId9" w:history="1">
              <w:r w:rsidR="00F71667" w:rsidRPr="00064BB6">
                <w:rPr>
                  <w:rStyle w:val="Hyperlink"/>
                </w:rPr>
                <w:t>limin.2.wang@nokia.com</w:t>
              </w:r>
            </w:hyperlink>
          </w:p>
          <w:p w14:paraId="27450E65" w14:textId="77777777" w:rsidR="00A90B4B" w:rsidRPr="00FF5260" w:rsidRDefault="00DE2699" w:rsidP="00A90B4B">
            <w:pPr>
              <w:spacing w:before="60" w:after="60"/>
              <w:rPr>
                <w:rStyle w:val="Hyperlink"/>
                <w:color w:val="000000"/>
                <w:u w:val="none"/>
              </w:rPr>
            </w:pPr>
            <w:hyperlink r:id="rId10" w:history="1">
              <w:r w:rsidR="00A90B4B">
                <w:rPr>
                  <w:rStyle w:val="Hyperlink"/>
                </w:rPr>
                <w:t>seungwook.hong@nokia.com</w:t>
              </w:r>
            </w:hyperlink>
          </w:p>
          <w:p w14:paraId="32C2ABFD" w14:textId="1F4604D2" w:rsidR="00E61DAC" w:rsidRPr="005B217D" w:rsidRDefault="00DE2699" w:rsidP="00A90B4B">
            <w:pPr>
              <w:spacing w:before="60" w:after="60"/>
              <w:rPr>
                <w:szCs w:val="22"/>
                <w:lang w:val="en-CA"/>
              </w:rPr>
            </w:pPr>
            <w:hyperlink r:id="rId11" w:history="1">
              <w:r w:rsidR="00A90B4B" w:rsidRPr="004450C9">
                <w:rPr>
                  <w:rStyle w:val="Hyperlink"/>
                  <w:szCs w:val="22"/>
                  <w:lang w:val="en-CA"/>
                </w:rPr>
                <w:t>krit.panusopone@nokia.com</w:t>
              </w:r>
            </w:hyperlink>
          </w:p>
        </w:tc>
      </w:tr>
      <w:tr w:rsidR="008F716A" w:rsidRPr="005B217D" w14:paraId="64B42141" w14:textId="77777777" w:rsidTr="000962AC">
        <w:tc>
          <w:tcPr>
            <w:tcW w:w="1458" w:type="dxa"/>
          </w:tcPr>
          <w:p w14:paraId="0E0EC85F" w14:textId="77777777" w:rsidR="008F716A" w:rsidRPr="005B217D" w:rsidRDefault="008F716A">
            <w:pPr>
              <w:spacing w:before="60" w:after="60"/>
              <w:rPr>
                <w:i/>
                <w:szCs w:val="22"/>
                <w:lang w:val="en-CA"/>
              </w:rPr>
            </w:pPr>
          </w:p>
        </w:tc>
        <w:tc>
          <w:tcPr>
            <w:tcW w:w="3942" w:type="dxa"/>
          </w:tcPr>
          <w:p w14:paraId="6829A5EC" w14:textId="02A728A0" w:rsidR="008F716A" w:rsidRPr="00D353BC" w:rsidRDefault="008F716A" w:rsidP="00A90B4B">
            <w:pPr>
              <w:spacing w:before="60" w:after="60"/>
              <w:rPr>
                <w:szCs w:val="22"/>
                <w:lang w:val="en-CA"/>
              </w:rPr>
            </w:pPr>
            <w:r w:rsidRPr="00D353BC">
              <w:rPr>
                <w:rFonts w:cs="Arial"/>
                <w:szCs w:val="22"/>
                <w:lang w:val="en-GB"/>
              </w:rPr>
              <w:t>Miska Hannuksela</w:t>
            </w:r>
          </w:p>
        </w:tc>
        <w:tc>
          <w:tcPr>
            <w:tcW w:w="900" w:type="dxa"/>
          </w:tcPr>
          <w:p w14:paraId="20CF3E88" w14:textId="77777777" w:rsidR="008F716A" w:rsidRPr="00D353BC" w:rsidRDefault="008F716A">
            <w:pPr>
              <w:spacing w:before="60" w:after="60"/>
              <w:rPr>
                <w:szCs w:val="22"/>
                <w:lang w:val="en-CA"/>
              </w:rPr>
            </w:pPr>
          </w:p>
        </w:tc>
        <w:tc>
          <w:tcPr>
            <w:tcW w:w="3060" w:type="dxa"/>
          </w:tcPr>
          <w:p w14:paraId="499E9B2E" w14:textId="2D30C35C" w:rsidR="008F716A" w:rsidRPr="00D353BC" w:rsidRDefault="00DE2699" w:rsidP="00A90B4B">
            <w:pPr>
              <w:spacing w:before="60" w:after="60"/>
              <w:rPr>
                <w:rFonts w:cs="Arial"/>
                <w:szCs w:val="22"/>
                <w:lang w:val="en-GB"/>
              </w:rPr>
            </w:pPr>
            <w:hyperlink r:id="rId12" w:history="1">
              <w:r w:rsidR="008F716A" w:rsidRPr="00D353BC">
                <w:rPr>
                  <w:rStyle w:val="Hyperlink"/>
                  <w:rFonts w:cs="Arial"/>
                  <w:szCs w:val="22"/>
                  <w:lang w:val="en-GB"/>
                </w:rPr>
                <w:t>miska.hannuksela@nokia.com</w:t>
              </w:r>
            </w:hyperlink>
            <w:r w:rsidR="008F716A">
              <w:rPr>
                <w:rFonts w:cs="Arial"/>
                <w:szCs w:val="22"/>
                <w:lang w:val="en-GB"/>
              </w:rPr>
              <w:t xml:space="preserve"> </w:t>
            </w:r>
          </w:p>
        </w:tc>
      </w:tr>
      <w:tr w:rsidR="008F716A" w:rsidRPr="005B217D" w14:paraId="0518FE77" w14:textId="77777777" w:rsidTr="000962AC">
        <w:tc>
          <w:tcPr>
            <w:tcW w:w="1458" w:type="dxa"/>
          </w:tcPr>
          <w:p w14:paraId="35E7A8CE" w14:textId="77777777" w:rsidR="008F716A" w:rsidRPr="005B217D" w:rsidRDefault="008F716A" w:rsidP="008F716A">
            <w:pPr>
              <w:spacing w:before="60" w:after="60"/>
              <w:rPr>
                <w:i/>
                <w:szCs w:val="22"/>
                <w:lang w:val="en-CA"/>
              </w:rPr>
            </w:pPr>
          </w:p>
        </w:tc>
        <w:tc>
          <w:tcPr>
            <w:tcW w:w="3942" w:type="dxa"/>
          </w:tcPr>
          <w:p w14:paraId="1343BD88" w14:textId="650AE4D5" w:rsidR="008F716A" w:rsidRPr="00D353BC" w:rsidRDefault="008F716A" w:rsidP="008F716A">
            <w:pPr>
              <w:spacing w:before="60" w:after="60"/>
              <w:rPr>
                <w:szCs w:val="22"/>
                <w:lang w:val="en-CA"/>
              </w:rPr>
            </w:pPr>
            <w:r w:rsidRPr="00D353BC">
              <w:rPr>
                <w:rFonts w:cs="Arial"/>
                <w:szCs w:val="22"/>
                <w:lang w:val="en-GB"/>
              </w:rPr>
              <w:t>Jani Lainema</w:t>
            </w:r>
          </w:p>
        </w:tc>
        <w:tc>
          <w:tcPr>
            <w:tcW w:w="900" w:type="dxa"/>
          </w:tcPr>
          <w:p w14:paraId="28CAC3F4" w14:textId="77777777" w:rsidR="008F716A" w:rsidRPr="00D353BC" w:rsidRDefault="008F716A" w:rsidP="008F716A">
            <w:pPr>
              <w:spacing w:before="60" w:after="60"/>
              <w:rPr>
                <w:szCs w:val="22"/>
                <w:lang w:val="en-CA"/>
              </w:rPr>
            </w:pPr>
          </w:p>
        </w:tc>
        <w:tc>
          <w:tcPr>
            <w:tcW w:w="3060" w:type="dxa"/>
          </w:tcPr>
          <w:p w14:paraId="05CC2E4D" w14:textId="4721D4E3" w:rsidR="008F716A" w:rsidRPr="00D353BC" w:rsidRDefault="00DE2699" w:rsidP="008F716A">
            <w:pPr>
              <w:spacing w:before="60" w:after="60"/>
              <w:rPr>
                <w:szCs w:val="22"/>
              </w:rPr>
            </w:pPr>
            <w:hyperlink r:id="rId13" w:history="1">
              <w:r w:rsidR="008F716A" w:rsidRPr="00D353BC">
                <w:rPr>
                  <w:rStyle w:val="Hyperlink"/>
                  <w:rFonts w:cs="Arial"/>
                  <w:szCs w:val="22"/>
                  <w:lang w:val="en-GB"/>
                </w:rPr>
                <w:t>jani.lainema@nokia.com</w:t>
              </w:r>
            </w:hyperlink>
            <w:r w:rsidR="008F716A">
              <w:rPr>
                <w:rFonts w:cs="Arial"/>
                <w:szCs w:val="22"/>
                <w:lang w:val="en-GB"/>
              </w:rPr>
              <w:t xml:space="preserve"> </w:t>
            </w:r>
          </w:p>
        </w:tc>
      </w:tr>
      <w:tr w:rsidR="008F716A" w:rsidRPr="005B217D" w14:paraId="49AFAA61" w14:textId="77777777" w:rsidTr="000962AC">
        <w:tc>
          <w:tcPr>
            <w:tcW w:w="1458" w:type="dxa"/>
          </w:tcPr>
          <w:p w14:paraId="2C08AF6B" w14:textId="77777777" w:rsidR="008F716A" w:rsidRPr="005B217D" w:rsidRDefault="008F716A" w:rsidP="008F716A">
            <w:pPr>
              <w:spacing w:before="60" w:after="60"/>
              <w:rPr>
                <w:i/>
                <w:szCs w:val="22"/>
                <w:lang w:val="en-CA"/>
              </w:rPr>
            </w:pPr>
            <w:r w:rsidRPr="005B217D">
              <w:rPr>
                <w:i/>
                <w:szCs w:val="22"/>
                <w:lang w:val="en-CA"/>
              </w:rPr>
              <w:t>Source:</w:t>
            </w:r>
          </w:p>
        </w:tc>
        <w:tc>
          <w:tcPr>
            <w:tcW w:w="7902" w:type="dxa"/>
            <w:gridSpan w:val="3"/>
          </w:tcPr>
          <w:p w14:paraId="643E6B85" w14:textId="3934B68B" w:rsidR="008F716A" w:rsidRPr="005B217D" w:rsidRDefault="008F716A" w:rsidP="008F716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8E17AB" w14:textId="698FC9D3" w:rsidR="00A90B4B" w:rsidRPr="005A26DB" w:rsidRDefault="00A90B4B" w:rsidP="00A90B4B">
      <w:pPr>
        <w:rPr>
          <w:szCs w:val="22"/>
        </w:rPr>
      </w:pPr>
      <w:r w:rsidRPr="005A26DB">
        <w:rPr>
          <w:szCs w:val="22"/>
        </w:rPr>
        <w:t xml:space="preserve">This contribution presents a new GDR implementation for ECM [1]. With this new GDR implementation, many constraints that have to be imposed on coding tools under the current VVC </w:t>
      </w:r>
      <w:r w:rsidR="007500AD">
        <w:rPr>
          <w:szCs w:val="22"/>
        </w:rPr>
        <w:t>standard</w:t>
      </w:r>
      <w:r w:rsidRPr="005A26DB">
        <w:rPr>
          <w:szCs w:val="22"/>
        </w:rPr>
        <w:t xml:space="preserve"> can be removed, which </w:t>
      </w:r>
      <w:r w:rsidR="007A65AC">
        <w:rPr>
          <w:szCs w:val="22"/>
        </w:rPr>
        <w:t>help</w:t>
      </w:r>
      <w:r w:rsidR="00A42D77">
        <w:rPr>
          <w:szCs w:val="22"/>
        </w:rPr>
        <w:t>s</w:t>
      </w:r>
      <w:r w:rsidR="007A65AC">
        <w:rPr>
          <w:szCs w:val="22"/>
        </w:rPr>
        <w:t xml:space="preserve"> to </w:t>
      </w:r>
      <w:r w:rsidRPr="005A26DB">
        <w:rPr>
          <w:szCs w:val="22"/>
        </w:rPr>
        <w:t xml:space="preserve">reduce the code size </w:t>
      </w:r>
      <w:r w:rsidR="00FE40F1">
        <w:rPr>
          <w:szCs w:val="22"/>
        </w:rPr>
        <w:t xml:space="preserve">for ECM </w:t>
      </w:r>
      <w:r w:rsidRPr="005A26DB">
        <w:rPr>
          <w:szCs w:val="22"/>
        </w:rPr>
        <w:t>significantly. In addition, this new GDR implementation provides great flexibility in future tool development for ECM.</w:t>
      </w:r>
    </w:p>
    <w:p w14:paraId="0D4A0AD8" w14:textId="77777777" w:rsidR="00510DA0" w:rsidRPr="004867B1" w:rsidRDefault="00A90B4B" w:rsidP="00A90B4B">
      <w:pPr>
        <w:rPr>
          <w:szCs w:val="22"/>
        </w:rPr>
      </w:pPr>
      <w:r w:rsidRPr="004867B1">
        <w:rPr>
          <w:szCs w:val="22"/>
        </w:rPr>
        <w:t xml:space="preserve">Simulations were conducted under LDP configuration specified by LLCC </w:t>
      </w:r>
      <w:r w:rsidR="00233C59" w:rsidRPr="004867B1">
        <w:rPr>
          <w:szCs w:val="22"/>
        </w:rPr>
        <w:t xml:space="preserve">AhG </w:t>
      </w:r>
      <w:r w:rsidRPr="004867B1">
        <w:rPr>
          <w:szCs w:val="22"/>
        </w:rPr>
        <w:t>[</w:t>
      </w:r>
      <w:r w:rsidR="00233C59" w:rsidRPr="004867B1">
        <w:rPr>
          <w:szCs w:val="22"/>
        </w:rPr>
        <w:t>2</w:t>
      </w:r>
      <w:r w:rsidRPr="004867B1">
        <w:rPr>
          <w:szCs w:val="22"/>
        </w:rPr>
        <w:t xml:space="preserve">]. The results demonstrate that </w:t>
      </w:r>
    </w:p>
    <w:p w14:paraId="76B91D4D" w14:textId="0C114CCC" w:rsidR="00E85D58" w:rsidRPr="004867B1" w:rsidRDefault="00510DA0" w:rsidP="00510DA0">
      <w:pPr>
        <w:pStyle w:val="ListParagraph"/>
        <w:numPr>
          <w:ilvl w:val="0"/>
          <w:numId w:val="18"/>
        </w:numPr>
        <w:rPr>
          <w:szCs w:val="22"/>
        </w:rPr>
      </w:pPr>
      <w:r w:rsidRPr="004867B1">
        <w:rPr>
          <w:szCs w:val="22"/>
        </w:rPr>
        <w:t xml:space="preserve">Without turning on ECM new coding tools, the new GDR performs better than VTM-like GDR </w:t>
      </w:r>
      <w:r w:rsidR="00A42D77">
        <w:rPr>
          <w:szCs w:val="22"/>
        </w:rPr>
        <w:t xml:space="preserve">[2] </w:t>
      </w:r>
      <w:r w:rsidRPr="00CC1714">
        <w:rPr>
          <w:szCs w:val="22"/>
        </w:rPr>
        <w:t>by x.xx%,</w:t>
      </w:r>
      <w:r w:rsidRPr="004867B1">
        <w:rPr>
          <w:szCs w:val="22"/>
        </w:rPr>
        <w:t xml:space="preserve"> and </w:t>
      </w:r>
    </w:p>
    <w:p w14:paraId="6B10592C" w14:textId="572BDD5E" w:rsidR="00510DA0" w:rsidRPr="004867B1" w:rsidRDefault="00510DA0" w:rsidP="00D353BC">
      <w:pPr>
        <w:pStyle w:val="ListParagraph"/>
        <w:numPr>
          <w:ilvl w:val="0"/>
          <w:numId w:val="18"/>
        </w:numPr>
        <w:rPr>
          <w:szCs w:val="22"/>
        </w:rPr>
      </w:pPr>
      <w:r w:rsidRPr="004867B1">
        <w:rPr>
          <w:szCs w:val="22"/>
        </w:rPr>
        <w:t xml:space="preserve">With ECM coding tools (except </w:t>
      </w:r>
      <w:r w:rsidR="00E346EA" w:rsidRPr="004867B1">
        <w:rPr>
          <w:szCs w:val="22"/>
        </w:rPr>
        <w:t>new loop-</w:t>
      </w:r>
      <w:r w:rsidRPr="004867B1">
        <w:rPr>
          <w:szCs w:val="22"/>
        </w:rPr>
        <w:t xml:space="preserve">filter related coding tools), the new GDR has a small loss </w:t>
      </w:r>
      <w:r w:rsidR="00493E67" w:rsidRPr="004867B1">
        <w:rPr>
          <w:szCs w:val="22"/>
        </w:rPr>
        <w:t>against the</w:t>
      </w:r>
      <w:r w:rsidRPr="004867B1">
        <w:rPr>
          <w:szCs w:val="22"/>
        </w:rPr>
        <w:t xml:space="preserve"> </w:t>
      </w:r>
      <w:r w:rsidRPr="00CC1714">
        <w:rPr>
          <w:szCs w:val="22"/>
        </w:rPr>
        <w:t>anchor by y.yy%.</w:t>
      </w:r>
      <w:r w:rsidRPr="004867B1">
        <w:rPr>
          <w:szCs w:val="22"/>
        </w:rPr>
        <w:t xml:space="preserve"> </w:t>
      </w:r>
    </w:p>
    <w:p w14:paraId="7D2AC1F0" w14:textId="346588F6" w:rsidR="00745F6B" w:rsidRPr="005B217D" w:rsidRDefault="00745F6B" w:rsidP="00E11923">
      <w:pPr>
        <w:pStyle w:val="Heading1"/>
        <w:rPr>
          <w:lang w:val="en-CA"/>
        </w:rPr>
      </w:pPr>
      <w:r w:rsidRPr="005B217D">
        <w:rPr>
          <w:lang w:val="en-CA"/>
        </w:rPr>
        <w:t>Introduction</w:t>
      </w:r>
    </w:p>
    <w:p w14:paraId="4A516B28" w14:textId="2BEB19AC" w:rsidR="00A90B4B" w:rsidRPr="005A26DB" w:rsidRDefault="00A90B4B" w:rsidP="00242079">
      <w:pPr>
        <w:pStyle w:val="BodyTextIndent"/>
        <w:spacing w:before="240"/>
        <w:ind w:firstLine="0"/>
        <w:rPr>
          <w:i w:val="0"/>
          <w:sz w:val="22"/>
          <w:szCs w:val="22"/>
        </w:rPr>
      </w:pPr>
      <w:bookmarkStart w:id="0" w:name="_Hlk92197964"/>
      <w:r w:rsidRPr="005A26DB">
        <w:rPr>
          <w:i w:val="0"/>
          <w:sz w:val="22"/>
          <w:szCs w:val="22"/>
        </w:rPr>
        <w:t>Versatile Video Coding (VVC) is a new international video coding standard. One of functionalities that VVC supports is Gradual Decoding Refresh (GDR). As the latest video coding standard, VVC employs many new and advanced coding tools. Many of them however may cause leaks for GDR. Hence, constraints have to be imposed on th</w:t>
      </w:r>
      <w:r w:rsidR="00E05CDB">
        <w:rPr>
          <w:i w:val="0"/>
          <w:sz w:val="22"/>
          <w:szCs w:val="22"/>
        </w:rPr>
        <w:t>o</w:t>
      </w:r>
      <w:r w:rsidRPr="005A26DB">
        <w:rPr>
          <w:i w:val="0"/>
          <w:sz w:val="22"/>
          <w:szCs w:val="22"/>
        </w:rPr>
        <w:t xml:space="preserve">se coding tools, which not only increases the complexity of coding process, but also affects the overall coding performance. </w:t>
      </w:r>
    </w:p>
    <w:p w14:paraId="3088B7AC" w14:textId="67042D4C" w:rsidR="00A90B4B" w:rsidRPr="005A26DB" w:rsidRDefault="00A90B4B" w:rsidP="00A90B4B">
      <w:pPr>
        <w:rPr>
          <w:szCs w:val="22"/>
        </w:rPr>
      </w:pPr>
      <w:r w:rsidRPr="005A26DB">
        <w:rPr>
          <w:szCs w:val="22"/>
          <w:lang w:val="en-CA"/>
        </w:rPr>
        <w:t>Enhanced Compression Model (</w:t>
      </w:r>
      <w:r w:rsidRPr="005A26DB">
        <w:rPr>
          <w:szCs w:val="22"/>
        </w:rPr>
        <w:t xml:space="preserve">ECM) introduces many </w:t>
      </w:r>
      <w:r w:rsidR="00594694">
        <w:rPr>
          <w:szCs w:val="22"/>
        </w:rPr>
        <w:t>new</w:t>
      </w:r>
      <w:r w:rsidR="00705858">
        <w:rPr>
          <w:szCs w:val="22"/>
        </w:rPr>
        <w:t xml:space="preserve"> </w:t>
      </w:r>
      <w:r w:rsidRPr="005A26DB">
        <w:rPr>
          <w:szCs w:val="22"/>
        </w:rPr>
        <w:t xml:space="preserve">coding </w:t>
      </w:r>
      <w:r w:rsidRPr="005A26DB">
        <w:rPr>
          <w:szCs w:val="22"/>
          <w:lang w:val="en-CA"/>
        </w:rPr>
        <w:t xml:space="preserve">features and </w:t>
      </w:r>
      <w:r w:rsidRPr="005A26DB">
        <w:rPr>
          <w:szCs w:val="22"/>
        </w:rPr>
        <w:t xml:space="preserve">tools on top of VVC. </w:t>
      </w:r>
      <w:r w:rsidR="00E05CDB">
        <w:rPr>
          <w:szCs w:val="22"/>
        </w:rPr>
        <w:t xml:space="preserve">It becomes </w:t>
      </w:r>
      <w:r w:rsidR="00705858">
        <w:rPr>
          <w:szCs w:val="22"/>
        </w:rPr>
        <w:t>even more challenging t</w:t>
      </w:r>
      <w:r w:rsidRPr="005A26DB">
        <w:rPr>
          <w:szCs w:val="22"/>
        </w:rPr>
        <w:t>o enable GDR implementation for ECM</w:t>
      </w:r>
      <w:r w:rsidR="002B6BE9">
        <w:rPr>
          <w:szCs w:val="22"/>
        </w:rPr>
        <w:t xml:space="preserve"> because a</w:t>
      </w:r>
      <w:r w:rsidR="002B6BE9" w:rsidRPr="005A26DB">
        <w:rPr>
          <w:szCs w:val="22"/>
        </w:rPr>
        <w:t xml:space="preserve">dditional constraints </w:t>
      </w:r>
      <w:r w:rsidR="002B6BE9">
        <w:rPr>
          <w:szCs w:val="22"/>
        </w:rPr>
        <w:t xml:space="preserve">will have to be imposed </w:t>
      </w:r>
      <w:r w:rsidR="002B6BE9" w:rsidRPr="005A26DB">
        <w:rPr>
          <w:szCs w:val="22"/>
        </w:rPr>
        <w:t>on those new coding tools.</w:t>
      </w:r>
    </w:p>
    <w:bookmarkEnd w:id="0"/>
    <w:p w14:paraId="07FB08AC" w14:textId="77777777" w:rsidR="00A90B4B" w:rsidRDefault="00A90B4B" w:rsidP="00A90B4B">
      <w:pPr>
        <w:pStyle w:val="Heading1"/>
        <w:rPr>
          <w:lang w:val="en-CA"/>
        </w:rPr>
      </w:pPr>
      <w:r w:rsidRPr="005B217D">
        <w:rPr>
          <w:lang w:val="en-CA"/>
        </w:rPr>
        <w:t>Pro</w:t>
      </w:r>
      <w:r>
        <w:rPr>
          <w:lang w:val="en-CA"/>
        </w:rPr>
        <w:t>posed Solution</w:t>
      </w:r>
    </w:p>
    <w:p w14:paraId="44885107" w14:textId="614BAA37" w:rsidR="00A90B4B" w:rsidRPr="005A26DB" w:rsidRDefault="00A90B4B" w:rsidP="00A90B4B">
      <w:pPr>
        <w:rPr>
          <w:szCs w:val="22"/>
        </w:rPr>
      </w:pPr>
      <w:r w:rsidRPr="005A26DB">
        <w:rPr>
          <w:szCs w:val="22"/>
        </w:rPr>
        <w:t>To remove the constraints on coding tools for ECM</w:t>
      </w:r>
      <w:r w:rsidR="00594694">
        <w:rPr>
          <w:szCs w:val="22"/>
        </w:rPr>
        <w:t xml:space="preserve">, </w:t>
      </w:r>
      <w:r w:rsidRPr="005A26DB">
        <w:rPr>
          <w:szCs w:val="22"/>
        </w:rPr>
        <w:t xml:space="preserve">alleviate the development burden and reduce the code size, a new GDR implementation is proposed as follows. </w:t>
      </w:r>
    </w:p>
    <w:p w14:paraId="3C994944" w14:textId="77777777" w:rsidR="00A90B4B" w:rsidRPr="005A26DB" w:rsidRDefault="00A90B4B" w:rsidP="00A90B4B">
      <w:pPr>
        <w:rPr>
          <w:szCs w:val="22"/>
        </w:rPr>
      </w:pPr>
      <w:r w:rsidRPr="005A26DB">
        <w:rPr>
          <w:szCs w:val="22"/>
        </w:rPr>
        <w:t xml:space="preserve">In the new GDR implementation, </w:t>
      </w:r>
    </w:p>
    <w:p w14:paraId="5F9C99BB" w14:textId="77777777" w:rsidR="00A90B4B" w:rsidRPr="005A26DB" w:rsidRDefault="00A90B4B" w:rsidP="00A90B4B">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All types of partitions within a current CTU are allowed, but no CU should span both the clean and dirty areas, </w:t>
      </w:r>
    </w:p>
    <w:p w14:paraId="15C28795" w14:textId="0D757609" w:rsidR="00A90B4B" w:rsidRPr="005A26DB" w:rsidRDefault="00A90B4B" w:rsidP="00A90B4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lastRenderedPageBreak/>
        <w:t xml:space="preserve">For CUs in clean area of </w:t>
      </w:r>
      <w:r w:rsidR="008C2722">
        <w:rPr>
          <w:szCs w:val="22"/>
        </w:rPr>
        <w:t>a</w:t>
      </w:r>
      <w:r w:rsidRPr="005A26DB">
        <w:rPr>
          <w:szCs w:val="22"/>
        </w:rPr>
        <w:t xml:space="preserve"> current picture, the reconstructed pixels in dirty area</w:t>
      </w:r>
      <w:r w:rsidR="00E05CDB">
        <w:rPr>
          <w:szCs w:val="22"/>
        </w:rPr>
        <w:t>s</w:t>
      </w:r>
      <w:r w:rsidRPr="005A26DB">
        <w:rPr>
          <w:szCs w:val="22"/>
        </w:rPr>
        <w:t xml:space="preserve"> of the current picture </w:t>
      </w:r>
      <w:r w:rsidR="00E05CDB">
        <w:rPr>
          <w:szCs w:val="22"/>
        </w:rPr>
        <w:t xml:space="preserve">and reference pictures </w:t>
      </w:r>
      <w:r w:rsidRPr="005A26DB">
        <w:rPr>
          <w:szCs w:val="22"/>
        </w:rPr>
        <w:t>are considered as “not available”, and if needed,</w:t>
      </w:r>
      <w:r w:rsidR="00665ADA">
        <w:rPr>
          <w:szCs w:val="22"/>
        </w:rPr>
        <w:t xml:space="preserve"> they are set to </w:t>
      </w:r>
      <m:oMath>
        <m:sSup>
          <m:sSupPr>
            <m:ctrlPr>
              <w:rPr>
                <w:rFonts w:ascii="Cambria Math" w:hAnsi="Cambria Math"/>
                <w:szCs w:val="22"/>
              </w:rPr>
            </m:ctrlPr>
          </m:sSupPr>
          <m:e>
            <m:r>
              <w:rPr>
                <w:rFonts w:ascii="Cambria Math" w:hAnsi="Cambria Math"/>
                <w:szCs w:val="22"/>
              </w:rPr>
              <m:t>2</m:t>
            </m:r>
          </m:e>
          <m:sup>
            <m:r>
              <w:rPr>
                <w:rFonts w:ascii="Cambria Math" w:hAnsi="Cambria Math"/>
                <w:szCs w:val="22"/>
              </w:rPr>
              <m:t>BD-1</m:t>
            </m:r>
          </m:sup>
        </m:sSup>
        <m:r>
          <w:rPr>
            <w:rFonts w:ascii="Cambria Math" w:hAnsi="Cambria Math"/>
            <w:szCs w:val="22"/>
          </w:rPr>
          <m:t xml:space="preserve"> </m:t>
        </m:r>
      </m:oMath>
      <w:r w:rsidR="00665ADA">
        <w:rPr>
          <w:szCs w:val="22"/>
        </w:rPr>
        <w:t xml:space="preserve">, where </w:t>
      </w:r>
      <w:r w:rsidR="00665ADA" w:rsidRPr="005A26DB">
        <w:rPr>
          <w:i/>
          <w:iCs/>
          <w:szCs w:val="22"/>
        </w:rPr>
        <w:t>BD</w:t>
      </w:r>
      <w:r w:rsidR="00665ADA">
        <w:rPr>
          <w:i/>
          <w:iCs/>
          <w:szCs w:val="22"/>
        </w:rPr>
        <w:t xml:space="preserve"> </w:t>
      </w:r>
      <w:r w:rsidR="00665ADA" w:rsidRPr="00665ADA">
        <w:rPr>
          <w:szCs w:val="22"/>
        </w:rPr>
        <w:t>is bit depth</w:t>
      </w:r>
      <w:r w:rsidR="00665ADA">
        <w:rPr>
          <w:szCs w:val="22"/>
        </w:rPr>
        <w:t xml:space="preserve">, </w:t>
      </w:r>
      <w:r w:rsidRPr="005A26DB">
        <w:rPr>
          <w:szCs w:val="22"/>
        </w:rPr>
        <w:t xml:space="preserve">which will give prediction </w:t>
      </w:r>
      <w:r w:rsidR="008C2722">
        <w:rPr>
          <w:szCs w:val="22"/>
        </w:rPr>
        <w:t>for</w:t>
      </w:r>
      <w:r w:rsidRPr="005A26DB">
        <w:rPr>
          <w:szCs w:val="22"/>
        </w:rPr>
        <w:t xml:space="preserve"> CUs in clean area of the current picture more freedom over the current picture</w:t>
      </w:r>
      <w:r w:rsidR="00E05CDB">
        <w:rPr>
          <w:szCs w:val="22"/>
        </w:rPr>
        <w:t xml:space="preserve"> and reference pictures</w:t>
      </w:r>
      <w:r w:rsidRPr="005A26DB">
        <w:rPr>
          <w:szCs w:val="22"/>
        </w:rPr>
        <w:t>.</w:t>
      </w:r>
    </w:p>
    <w:p w14:paraId="187C3CE5" w14:textId="58EFFD09" w:rsidR="00A90B4B" w:rsidRPr="005A26DB" w:rsidRDefault="008C2722" w:rsidP="00A90B4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For CUs in clean area of </w:t>
      </w:r>
      <w:r>
        <w:rPr>
          <w:szCs w:val="22"/>
        </w:rPr>
        <w:t>a</w:t>
      </w:r>
      <w:r w:rsidRPr="005A26DB">
        <w:rPr>
          <w:szCs w:val="22"/>
        </w:rPr>
        <w:t xml:space="preserve"> current picture, </w:t>
      </w:r>
      <w:r>
        <w:rPr>
          <w:szCs w:val="22"/>
        </w:rPr>
        <w:t>c</w:t>
      </w:r>
      <w:r w:rsidR="00A90B4B" w:rsidRPr="005A26DB">
        <w:rPr>
          <w:szCs w:val="22"/>
        </w:rPr>
        <w:t>oding information in dirty area</w:t>
      </w:r>
      <w:r w:rsidR="00E05CDB">
        <w:rPr>
          <w:szCs w:val="22"/>
        </w:rPr>
        <w:t>s</w:t>
      </w:r>
      <w:r w:rsidR="00A90B4B" w:rsidRPr="005A26DB">
        <w:rPr>
          <w:szCs w:val="22"/>
        </w:rPr>
        <w:t xml:space="preserve"> of </w:t>
      </w:r>
      <w:r w:rsidR="00E05CDB" w:rsidRPr="00E05CDB">
        <w:rPr>
          <w:szCs w:val="22"/>
        </w:rPr>
        <w:t xml:space="preserve">the </w:t>
      </w:r>
      <w:r w:rsidR="00A90B4B" w:rsidRPr="00242079">
        <w:rPr>
          <w:szCs w:val="22"/>
        </w:rPr>
        <w:t>current picture</w:t>
      </w:r>
      <w:r w:rsidR="00E05CDB" w:rsidRPr="00242079">
        <w:rPr>
          <w:szCs w:val="22"/>
        </w:rPr>
        <w:t xml:space="preserve"> and reference pictures</w:t>
      </w:r>
      <w:r w:rsidR="00A90B4B" w:rsidRPr="00242079">
        <w:rPr>
          <w:szCs w:val="22"/>
        </w:rPr>
        <w:t xml:space="preserve"> </w:t>
      </w:r>
      <w:r w:rsidR="00A90B4B" w:rsidRPr="00E05CDB">
        <w:rPr>
          <w:szCs w:val="22"/>
        </w:rPr>
        <w:t>are cons</w:t>
      </w:r>
      <w:r w:rsidR="00A90B4B" w:rsidRPr="00F36374">
        <w:rPr>
          <w:szCs w:val="22"/>
        </w:rPr>
        <w:t>idered “not available”, which will pre</w:t>
      </w:r>
      <w:r w:rsidR="00A90B4B" w:rsidRPr="005A26DB">
        <w:rPr>
          <w:szCs w:val="22"/>
        </w:rPr>
        <w:t xml:space="preserve">vent </w:t>
      </w:r>
      <w:r w:rsidRPr="005A26DB">
        <w:rPr>
          <w:szCs w:val="22"/>
        </w:rPr>
        <w:t xml:space="preserve">CUs in clean area of the current picture </w:t>
      </w:r>
      <w:r w:rsidR="00A90B4B" w:rsidRPr="005A26DB">
        <w:rPr>
          <w:szCs w:val="22"/>
        </w:rPr>
        <w:t xml:space="preserve">from using coding information in dirty area of </w:t>
      </w:r>
      <w:r>
        <w:rPr>
          <w:szCs w:val="22"/>
        </w:rPr>
        <w:t xml:space="preserve">the </w:t>
      </w:r>
      <w:r w:rsidR="00A90B4B" w:rsidRPr="005A26DB">
        <w:rPr>
          <w:szCs w:val="22"/>
        </w:rPr>
        <w:t>current picture</w:t>
      </w:r>
      <w:r w:rsidR="00E05CDB">
        <w:rPr>
          <w:szCs w:val="22"/>
        </w:rPr>
        <w:t xml:space="preserve"> and reference pictures</w:t>
      </w:r>
      <w:r w:rsidR="00A90B4B" w:rsidRPr="005A26DB">
        <w:rPr>
          <w:szCs w:val="22"/>
        </w:rPr>
        <w:t xml:space="preserve">. </w:t>
      </w:r>
    </w:p>
    <w:p w14:paraId="2C8477F7" w14:textId="2C6218D0" w:rsidR="00A90B4B" w:rsidRPr="005E2E27" w:rsidRDefault="00A90B4B" w:rsidP="007A6F5D">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CUs in dirty area of the current picture</w:t>
      </w:r>
      <w:r w:rsidR="007A6F5D">
        <w:rPr>
          <w:szCs w:val="22"/>
        </w:rPr>
        <w:t xml:space="preserve"> are allowed to use the reconstructed pixels and the coding information of both clean and dirty areas of the current picture and reference pictures</w:t>
      </w:r>
      <w:r w:rsidRPr="005E2E27">
        <w:rPr>
          <w:szCs w:val="22"/>
        </w:rPr>
        <w:t xml:space="preserve">. </w:t>
      </w:r>
    </w:p>
    <w:p w14:paraId="6AED7617" w14:textId="7724285D" w:rsidR="00A90B4B" w:rsidRPr="00D264C7" w:rsidRDefault="00A90B4B" w:rsidP="00D26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r w:rsidRPr="005A26DB">
        <w:rPr>
          <w:szCs w:val="22"/>
        </w:rPr>
        <w:t>.</w:t>
      </w:r>
    </w:p>
    <w:p w14:paraId="32D83B47" w14:textId="77777777" w:rsidR="00A90B4B" w:rsidRDefault="00A90B4B" w:rsidP="00A90B4B">
      <w:pPr>
        <w:pStyle w:val="Heading1"/>
        <w:rPr>
          <w:lang w:val="en-CA"/>
        </w:rPr>
      </w:pPr>
      <w:r>
        <w:rPr>
          <w:lang w:val="en-CA"/>
        </w:rPr>
        <w:t>Experimental Results</w:t>
      </w:r>
    </w:p>
    <w:p w14:paraId="04BBC714" w14:textId="6FA2B04B" w:rsidR="00A90B4B" w:rsidRPr="00242079" w:rsidRDefault="00A90B4B" w:rsidP="00A90B4B">
      <w:pPr>
        <w:rPr>
          <w:szCs w:val="22"/>
        </w:rPr>
      </w:pPr>
      <w:r w:rsidRPr="005A26DB">
        <w:rPr>
          <w:szCs w:val="22"/>
        </w:rPr>
        <w:t>The new GDR was implemented on ECM</w:t>
      </w:r>
      <w:r w:rsidR="00A04119">
        <w:rPr>
          <w:szCs w:val="22"/>
        </w:rPr>
        <w:t xml:space="preserve"> 3.0</w:t>
      </w:r>
      <w:r w:rsidR="00A208C8">
        <w:rPr>
          <w:szCs w:val="22"/>
        </w:rPr>
        <w:t xml:space="preserve">. </w:t>
      </w:r>
      <w:r w:rsidRPr="00F36374">
        <w:rPr>
          <w:szCs w:val="22"/>
        </w:rPr>
        <w:t>Simulations</w:t>
      </w:r>
      <w:r w:rsidRPr="00F36374">
        <w:rPr>
          <w:szCs w:val="22"/>
          <w:lang w:val="en-CA"/>
        </w:rPr>
        <w:t xml:space="preserve"> were conducted over JVET test sequences</w:t>
      </w:r>
      <w:r w:rsidR="001A3A98">
        <w:rPr>
          <w:szCs w:val="22"/>
          <w:lang w:val="en-CA"/>
        </w:rPr>
        <w:t xml:space="preserve"> </w:t>
      </w:r>
      <w:r w:rsidRPr="00242079">
        <w:rPr>
          <w:szCs w:val="22"/>
        </w:rPr>
        <w:t xml:space="preserve">using low-delay P configuration specified by LLCC </w:t>
      </w:r>
      <w:r w:rsidR="00A04119" w:rsidRPr="00242079">
        <w:rPr>
          <w:szCs w:val="22"/>
        </w:rPr>
        <w:t xml:space="preserve">AhG </w:t>
      </w:r>
      <w:r w:rsidRPr="00242079">
        <w:rPr>
          <w:szCs w:val="22"/>
        </w:rPr>
        <w:t>[2]</w:t>
      </w:r>
      <w:r w:rsidR="008E5E69">
        <w:rPr>
          <w:szCs w:val="22"/>
        </w:rPr>
        <w:t xml:space="preserve"> with the following setting</w:t>
      </w:r>
      <w:r w:rsidRPr="00242079">
        <w:rPr>
          <w:szCs w:val="22"/>
        </w:rPr>
        <w:t xml:space="preserve">, </w:t>
      </w:r>
    </w:p>
    <w:p w14:paraId="32D0F6B3" w14:textId="752B8001" w:rsidR="00A90B4B" w:rsidRDefault="00A90B4B"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242079">
        <w:rPr>
          <w:szCs w:val="22"/>
        </w:rPr>
        <w:t>The first picture is coded as an IDR picture,</w:t>
      </w:r>
    </w:p>
    <w:p w14:paraId="20DA98A2" w14:textId="63890C57" w:rsidR="00BC55B8" w:rsidRPr="00242079" w:rsidRDefault="00BC55B8"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Pr>
          <w:szCs w:val="22"/>
        </w:rPr>
        <w:t>A GDR picture is inserted every (frame rate + 4) pictures,</w:t>
      </w:r>
    </w:p>
    <w:p w14:paraId="1594FFDB" w14:textId="77777777" w:rsidR="00A90B4B" w:rsidRPr="00242079" w:rsidRDefault="00A90B4B"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242079">
        <w:rPr>
          <w:szCs w:val="22"/>
        </w:rPr>
        <w:t>GDR period (between two consecutive GDR pictures) is set to (frame rate + 4),</w:t>
      </w:r>
    </w:p>
    <w:p w14:paraId="10282B56" w14:textId="77777777" w:rsidR="00A90B4B" w:rsidRPr="00242079" w:rsidRDefault="00A90B4B"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242079">
        <w:rPr>
          <w:szCs w:val="22"/>
        </w:rPr>
        <w:t xml:space="preserve">GOP interval (between GDR picture and associated recovery point picture) is set to frame rate,  </w:t>
      </w:r>
    </w:p>
    <w:p w14:paraId="70132D40" w14:textId="77777777" w:rsidR="00A90B4B" w:rsidRPr="00242079" w:rsidRDefault="00A90B4B"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242079">
        <w:rPr>
          <w:szCs w:val="22"/>
        </w:rPr>
        <w:t>Each inter picture refers up to 4 immediately preceding pictures in decoding order,</w:t>
      </w:r>
    </w:p>
    <w:p w14:paraId="22C4BD52" w14:textId="06ACA9B6" w:rsidR="00F36374" w:rsidRPr="00242079" w:rsidRDefault="00A90B4B" w:rsidP="00A90B4B">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242079">
        <w:rPr>
          <w:szCs w:val="22"/>
        </w:rPr>
        <w:t>IntraQPOffset and QPoffset are set equal to 0.</w:t>
      </w:r>
    </w:p>
    <w:p w14:paraId="5BFDD5C9" w14:textId="610225ED" w:rsidR="008E5E69" w:rsidRDefault="008E5E69" w:rsidP="008E5E69">
      <w:pPr>
        <w:rPr>
          <w:szCs w:val="22"/>
        </w:rPr>
      </w:pPr>
      <w:r>
        <w:rPr>
          <w:szCs w:val="22"/>
        </w:rPr>
        <w:t xml:space="preserve">Two sets of </w:t>
      </w:r>
      <w:r w:rsidR="00A208C8">
        <w:rPr>
          <w:szCs w:val="22"/>
        </w:rPr>
        <w:t>GDR tests are performed</w:t>
      </w:r>
      <w:r>
        <w:rPr>
          <w:szCs w:val="22"/>
        </w:rPr>
        <w:t xml:space="preserve">. </w:t>
      </w:r>
      <w:r w:rsidR="00936378">
        <w:rPr>
          <w:szCs w:val="22"/>
        </w:rPr>
        <w:t>O</w:t>
      </w:r>
      <w:r w:rsidR="00D00253">
        <w:rPr>
          <w:szCs w:val="22"/>
        </w:rPr>
        <w:t xml:space="preserve">ne set of tests </w:t>
      </w:r>
      <w:r w:rsidR="002C495F">
        <w:rPr>
          <w:szCs w:val="22"/>
        </w:rPr>
        <w:t xml:space="preserve">were conducted with </w:t>
      </w:r>
      <w:r w:rsidR="00EE6F48">
        <w:rPr>
          <w:szCs w:val="22"/>
        </w:rPr>
        <w:t>turn</w:t>
      </w:r>
      <w:r w:rsidR="002C495F">
        <w:rPr>
          <w:szCs w:val="22"/>
        </w:rPr>
        <w:t>ing</w:t>
      </w:r>
      <w:r w:rsidR="0056677C">
        <w:rPr>
          <w:szCs w:val="22"/>
        </w:rPr>
        <w:t xml:space="preserve"> off</w:t>
      </w:r>
      <w:r>
        <w:rPr>
          <w:szCs w:val="22"/>
        </w:rPr>
        <w:t xml:space="preserve"> the ECM new coding tools and the other</w:t>
      </w:r>
      <w:r w:rsidR="00D00253">
        <w:rPr>
          <w:szCs w:val="22"/>
        </w:rPr>
        <w:t xml:space="preserve"> set of tests</w:t>
      </w:r>
      <w:r>
        <w:rPr>
          <w:szCs w:val="22"/>
        </w:rPr>
        <w:t xml:space="preserve"> </w:t>
      </w:r>
      <w:r w:rsidR="002C495F">
        <w:rPr>
          <w:szCs w:val="22"/>
        </w:rPr>
        <w:t xml:space="preserve">with </w:t>
      </w:r>
      <w:r>
        <w:rPr>
          <w:szCs w:val="22"/>
        </w:rPr>
        <w:t>enabl</w:t>
      </w:r>
      <w:r w:rsidR="002C495F">
        <w:rPr>
          <w:szCs w:val="22"/>
        </w:rPr>
        <w:t>ing</w:t>
      </w:r>
      <w:r>
        <w:rPr>
          <w:szCs w:val="22"/>
        </w:rPr>
        <w:t xml:space="preserve"> all the ECM </w:t>
      </w:r>
      <w:r w:rsidR="0057202E">
        <w:rPr>
          <w:szCs w:val="22"/>
        </w:rPr>
        <w:t xml:space="preserve">new </w:t>
      </w:r>
      <w:r>
        <w:rPr>
          <w:szCs w:val="22"/>
        </w:rPr>
        <w:t>coding tools</w:t>
      </w:r>
      <w:r w:rsidR="008F594B">
        <w:rPr>
          <w:szCs w:val="22"/>
        </w:rPr>
        <w:t>,</w:t>
      </w:r>
      <w:r>
        <w:rPr>
          <w:szCs w:val="22"/>
        </w:rPr>
        <w:t xml:space="preserve"> except </w:t>
      </w:r>
      <w:r w:rsidR="008F594B">
        <w:rPr>
          <w:szCs w:val="22"/>
        </w:rPr>
        <w:t xml:space="preserve">the </w:t>
      </w:r>
      <w:r w:rsidR="00CF2619">
        <w:rPr>
          <w:szCs w:val="22"/>
        </w:rPr>
        <w:t xml:space="preserve">following new </w:t>
      </w:r>
      <w:r w:rsidR="008F594B">
        <w:rPr>
          <w:szCs w:val="22"/>
        </w:rPr>
        <w:t>loop</w:t>
      </w:r>
      <w:r w:rsidR="00E346EA">
        <w:rPr>
          <w:szCs w:val="22"/>
        </w:rPr>
        <w:t>-</w:t>
      </w:r>
      <w:r w:rsidR="008F594B">
        <w:rPr>
          <w:szCs w:val="22"/>
        </w:rPr>
        <w:t xml:space="preserve">filter related coding tools, </w:t>
      </w:r>
    </w:p>
    <w:p w14:paraId="74AE67FD" w14:textId="77777777" w:rsidR="001C5153" w:rsidRPr="00E346EA"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r w:rsidRPr="00E346EA">
        <w:rPr>
          <w:rFonts w:ascii="Consolas" w:hAnsi="Consolas" w:cs="Consolas"/>
          <w:sz w:val="19"/>
          <w:szCs w:val="19"/>
        </w:rPr>
        <w:t xml:space="preserve">ALF_IMPROVEMENT                    </w:t>
      </w:r>
    </w:p>
    <w:p w14:paraId="61D8533D" w14:textId="77777777" w:rsidR="001C5153" w:rsidRPr="00E346EA"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r w:rsidRPr="00E346EA">
        <w:rPr>
          <w:rFonts w:ascii="Consolas" w:hAnsi="Consolas" w:cs="Consolas"/>
          <w:sz w:val="19"/>
          <w:szCs w:val="19"/>
        </w:rPr>
        <w:t xml:space="preserve">JVET_V0094_BILATERAL_FILTER        </w:t>
      </w:r>
    </w:p>
    <w:p w14:paraId="42FE2E97" w14:textId="77777777" w:rsidR="001C5153" w:rsidRPr="00E346EA"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r w:rsidRPr="00E346EA">
        <w:rPr>
          <w:rFonts w:ascii="Consolas" w:hAnsi="Consolas" w:cs="Consolas"/>
          <w:sz w:val="19"/>
          <w:szCs w:val="19"/>
        </w:rPr>
        <w:t xml:space="preserve">JVET_X0071_CHROMA_BILATERAL_FILTER </w:t>
      </w:r>
    </w:p>
    <w:p w14:paraId="2C4E321F" w14:textId="77777777" w:rsidR="001C5153" w:rsidRPr="00E346EA"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r w:rsidRPr="00E346EA">
        <w:rPr>
          <w:rFonts w:ascii="Consolas" w:hAnsi="Consolas" w:cs="Consolas"/>
          <w:sz w:val="19"/>
          <w:szCs w:val="19"/>
        </w:rPr>
        <w:t xml:space="preserve">JVET_W0066_CCSAO                   </w:t>
      </w:r>
    </w:p>
    <w:p w14:paraId="4EE58BE1" w14:textId="77777777" w:rsidR="001C5153" w:rsidRPr="00E346EA"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r w:rsidRPr="00E346EA">
        <w:rPr>
          <w:rFonts w:ascii="Consolas" w:hAnsi="Consolas" w:cs="Consolas"/>
          <w:sz w:val="19"/>
          <w:szCs w:val="19"/>
        </w:rPr>
        <w:t xml:space="preserve">JVET_X0071_LONGER_CCALF            </w:t>
      </w:r>
    </w:p>
    <w:p w14:paraId="57340E8E" w14:textId="77777777" w:rsidR="001C5153" w:rsidRPr="00CF2619" w:rsidRDefault="001C5153" w:rsidP="001C5153">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rPr>
      </w:pPr>
      <w:r w:rsidRPr="00E346EA">
        <w:rPr>
          <w:rFonts w:ascii="Consolas" w:hAnsi="Consolas" w:cs="Consolas"/>
          <w:sz w:val="19"/>
          <w:szCs w:val="19"/>
        </w:rPr>
        <w:t xml:space="preserve">JVET_X0071_ALF_BAND_CLASSIFIER     </w:t>
      </w:r>
    </w:p>
    <w:p w14:paraId="561793EA" w14:textId="3F2C43D1" w:rsidR="00A208C8" w:rsidRDefault="00F36374" w:rsidP="001C5153">
      <w:pPr>
        <w:rPr>
          <w:szCs w:val="22"/>
        </w:rPr>
      </w:pPr>
      <w:r w:rsidRPr="001C5153">
        <w:rPr>
          <w:szCs w:val="22"/>
        </w:rPr>
        <w:t>All the GDR test bitstrea</w:t>
      </w:r>
      <w:r w:rsidR="00064628">
        <w:rPr>
          <w:szCs w:val="22"/>
        </w:rPr>
        <w:t>m</w:t>
      </w:r>
      <w:r w:rsidRPr="001C5153">
        <w:rPr>
          <w:szCs w:val="22"/>
        </w:rPr>
        <w:t xml:space="preserve">s were checked, and none of them shows leak. </w:t>
      </w:r>
    </w:p>
    <w:p w14:paraId="32034888" w14:textId="2A75E6D8" w:rsidR="00A90B4B" w:rsidRPr="005A26DB" w:rsidRDefault="00A208C8" w:rsidP="00A90B4B">
      <w:pPr>
        <w:rPr>
          <w:szCs w:val="22"/>
        </w:rPr>
      </w:pPr>
      <w:r>
        <w:rPr>
          <w:szCs w:val="22"/>
        </w:rPr>
        <w:t xml:space="preserve">For comparison purpose, </w:t>
      </w:r>
      <w:r w:rsidR="00E623C8">
        <w:rPr>
          <w:szCs w:val="22"/>
        </w:rPr>
        <w:t xml:space="preserve">VTM-like GDR and </w:t>
      </w:r>
      <w:r w:rsidR="003A40A7">
        <w:rPr>
          <w:szCs w:val="22"/>
        </w:rPr>
        <w:t>a</w:t>
      </w:r>
      <w:r w:rsidR="00A90B4B" w:rsidRPr="005A26DB">
        <w:rPr>
          <w:szCs w:val="22"/>
        </w:rPr>
        <w:t xml:space="preserve">nchor bitstreams are </w:t>
      </w:r>
      <w:r w:rsidR="001C5153">
        <w:rPr>
          <w:szCs w:val="22"/>
        </w:rPr>
        <w:t xml:space="preserve">also </w:t>
      </w:r>
      <w:r w:rsidR="00E623C8">
        <w:rPr>
          <w:szCs w:val="22"/>
        </w:rPr>
        <w:t>performed</w:t>
      </w:r>
      <w:r w:rsidR="00E623C8" w:rsidRPr="00E623C8">
        <w:rPr>
          <w:szCs w:val="22"/>
        </w:rPr>
        <w:t xml:space="preserve"> </w:t>
      </w:r>
      <w:r w:rsidR="00E623C8" w:rsidRPr="005A26DB">
        <w:rPr>
          <w:szCs w:val="22"/>
        </w:rPr>
        <w:t xml:space="preserve">using low-delay </w:t>
      </w:r>
      <w:r w:rsidR="00E623C8">
        <w:rPr>
          <w:szCs w:val="22"/>
        </w:rPr>
        <w:t>P</w:t>
      </w:r>
      <w:r w:rsidR="00E623C8" w:rsidRPr="005A26DB">
        <w:rPr>
          <w:szCs w:val="22"/>
        </w:rPr>
        <w:t xml:space="preserve"> configuration </w:t>
      </w:r>
      <w:r w:rsidR="00E623C8">
        <w:rPr>
          <w:szCs w:val="22"/>
        </w:rPr>
        <w:t xml:space="preserve">specified by LLCC AhG [2]. The VTM-like GDR </w:t>
      </w:r>
      <w:r w:rsidR="00036193">
        <w:rPr>
          <w:szCs w:val="22"/>
        </w:rPr>
        <w:t xml:space="preserve">tests use </w:t>
      </w:r>
      <w:r w:rsidR="00E623C8">
        <w:rPr>
          <w:szCs w:val="22"/>
        </w:rPr>
        <w:t>th</w:t>
      </w:r>
      <w:r w:rsidR="00036193">
        <w:rPr>
          <w:szCs w:val="22"/>
        </w:rPr>
        <w:t xml:space="preserve">e same setting as the new GDR without ECM new coding tools. The anchor bitstreams are generated </w:t>
      </w:r>
      <w:r w:rsidR="001C5153">
        <w:rPr>
          <w:szCs w:val="22"/>
        </w:rPr>
        <w:t xml:space="preserve">with the following setting, </w:t>
      </w:r>
    </w:p>
    <w:p w14:paraId="43024C78" w14:textId="1BAB592F" w:rsidR="00A90B4B" w:rsidRDefault="00A90B4B" w:rsidP="00A90B4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5A26DB">
        <w:rPr>
          <w:szCs w:val="22"/>
        </w:rPr>
        <w:t>The first picture is coded as an IDR picture,</w:t>
      </w:r>
    </w:p>
    <w:p w14:paraId="17892DB4" w14:textId="3FD4DE06" w:rsidR="00BC55B8" w:rsidRPr="005A26DB" w:rsidRDefault="00BC55B8" w:rsidP="00A90B4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Pr>
          <w:szCs w:val="22"/>
        </w:rPr>
        <w:t xml:space="preserve">A CRA picture is inserted every (frame rate +4) pictures, </w:t>
      </w:r>
    </w:p>
    <w:p w14:paraId="4A3C60E0" w14:textId="77777777" w:rsidR="00A90B4B" w:rsidRPr="005A26DB" w:rsidRDefault="00A90B4B" w:rsidP="00A90B4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5A26DB">
        <w:rPr>
          <w:szCs w:val="22"/>
        </w:rPr>
        <w:t>CRA period (between two consecutive CRA pictures) is set to (frame rate + 4),</w:t>
      </w:r>
    </w:p>
    <w:p w14:paraId="095D3D95" w14:textId="0D590048" w:rsidR="00A90B4B" w:rsidRDefault="00A90B4B" w:rsidP="00A90B4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5A26DB">
        <w:rPr>
          <w:szCs w:val="22"/>
        </w:rPr>
        <w:t>Each inter picture refers up to 4 immediately preceding pictures in decoding order,</w:t>
      </w:r>
    </w:p>
    <w:p w14:paraId="69196C36" w14:textId="77777777" w:rsidR="00574032" w:rsidRPr="00242079" w:rsidRDefault="00574032" w:rsidP="00574032">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242079">
        <w:rPr>
          <w:szCs w:val="22"/>
        </w:rPr>
        <w:t>IntraQPOffset and QPoffset are set equal to 0.</w:t>
      </w:r>
    </w:p>
    <w:p w14:paraId="4FBC4F1F" w14:textId="1AEDF302" w:rsidR="00DC6341" w:rsidRDefault="00DC6341" w:rsidP="00A90B4B">
      <w:pPr>
        <w:rPr>
          <w:szCs w:val="22"/>
        </w:rPr>
      </w:pPr>
      <w:r>
        <w:rPr>
          <w:szCs w:val="22"/>
        </w:rPr>
        <w:t>Table 1 summarizes the tests conducted.</w:t>
      </w:r>
    </w:p>
    <w:p w14:paraId="55D1550F" w14:textId="5AB9018E" w:rsidR="00DC6341" w:rsidRDefault="00DC6341" w:rsidP="00A90B4B">
      <w:pPr>
        <w:rPr>
          <w:szCs w:val="22"/>
        </w:rPr>
      </w:pPr>
    </w:p>
    <w:p w14:paraId="067D8E04" w14:textId="19BDD25F" w:rsidR="00DC6341" w:rsidRDefault="00DC6341" w:rsidP="00A90B4B">
      <w:pPr>
        <w:rPr>
          <w:szCs w:val="22"/>
        </w:rPr>
      </w:pPr>
    </w:p>
    <w:p w14:paraId="223C52B7" w14:textId="7F3E05E7" w:rsidR="00DC6341" w:rsidRDefault="00DC6341" w:rsidP="00A90B4B">
      <w:pPr>
        <w:rPr>
          <w:szCs w:val="22"/>
        </w:rPr>
      </w:pPr>
    </w:p>
    <w:p w14:paraId="09755D71" w14:textId="768E6887" w:rsidR="00DC6341" w:rsidRDefault="00DC6341" w:rsidP="00A90B4B">
      <w:pPr>
        <w:rPr>
          <w:szCs w:val="22"/>
        </w:rPr>
      </w:pPr>
    </w:p>
    <w:p w14:paraId="78E40D84" w14:textId="77777777" w:rsidR="00DC294A" w:rsidRDefault="00DC294A" w:rsidP="008F19E4">
      <w:pPr>
        <w:jc w:val="center"/>
        <w:rPr>
          <w:szCs w:val="22"/>
        </w:rPr>
      </w:pPr>
    </w:p>
    <w:p w14:paraId="504CF0E3" w14:textId="3741F86C" w:rsidR="00DC6341" w:rsidRDefault="00DC6341" w:rsidP="008F19E4">
      <w:pPr>
        <w:jc w:val="center"/>
        <w:rPr>
          <w:szCs w:val="22"/>
        </w:rPr>
      </w:pPr>
      <w:r>
        <w:rPr>
          <w:szCs w:val="22"/>
        </w:rPr>
        <w:lastRenderedPageBreak/>
        <w:t>Table 1 Tests</w:t>
      </w:r>
    </w:p>
    <w:tbl>
      <w:tblPr>
        <w:tblStyle w:val="TableGrid"/>
        <w:tblW w:w="0" w:type="auto"/>
        <w:tblLook w:val="04A0" w:firstRow="1" w:lastRow="0" w:firstColumn="1" w:lastColumn="0" w:noHBand="0" w:noVBand="1"/>
      </w:tblPr>
      <w:tblGrid>
        <w:gridCol w:w="3116"/>
        <w:gridCol w:w="3117"/>
        <w:gridCol w:w="3117"/>
      </w:tblGrid>
      <w:tr w:rsidR="00DC6341" w14:paraId="62B8222D" w14:textId="77777777" w:rsidTr="00DC6341">
        <w:tc>
          <w:tcPr>
            <w:tcW w:w="3116" w:type="dxa"/>
          </w:tcPr>
          <w:p w14:paraId="796E3218" w14:textId="77777777" w:rsidR="00DC6341" w:rsidRDefault="00DC6341" w:rsidP="00A90B4B">
            <w:pPr>
              <w:rPr>
                <w:szCs w:val="22"/>
              </w:rPr>
            </w:pPr>
          </w:p>
        </w:tc>
        <w:tc>
          <w:tcPr>
            <w:tcW w:w="3117" w:type="dxa"/>
          </w:tcPr>
          <w:p w14:paraId="1384B536" w14:textId="1E3F710E" w:rsidR="00DC6341" w:rsidRPr="00D00253" w:rsidRDefault="00D00253" w:rsidP="008F19E4">
            <w:pPr>
              <w:jc w:val="center"/>
              <w:rPr>
                <w:szCs w:val="22"/>
              </w:rPr>
            </w:pPr>
            <w:r>
              <w:rPr>
                <w:szCs w:val="22"/>
              </w:rPr>
              <w:t xml:space="preserve">With </w:t>
            </w:r>
            <w:r w:rsidR="00DC6341" w:rsidRPr="00D00253">
              <w:rPr>
                <w:szCs w:val="22"/>
              </w:rPr>
              <w:t>ECM coding tools off</w:t>
            </w:r>
            <w:r w:rsidR="00CB6EB0">
              <w:rPr>
                <w:szCs w:val="22"/>
              </w:rPr>
              <w:t xml:space="preserve"> (Test 1)</w:t>
            </w:r>
          </w:p>
        </w:tc>
        <w:tc>
          <w:tcPr>
            <w:tcW w:w="3117" w:type="dxa"/>
          </w:tcPr>
          <w:p w14:paraId="6528A112" w14:textId="76C0842F" w:rsidR="00DC6341" w:rsidRPr="00D00253" w:rsidRDefault="00D00253" w:rsidP="008F19E4">
            <w:pPr>
              <w:jc w:val="center"/>
              <w:rPr>
                <w:szCs w:val="22"/>
              </w:rPr>
            </w:pPr>
            <w:r>
              <w:rPr>
                <w:szCs w:val="22"/>
              </w:rPr>
              <w:t xml:space="preserve">With </w:t>
            </w:r>
            <w:r w:rsidR="00DC6341" w:rsidRPr="00D00253">
              <w:rPr>
                <w:szCs w:val="22"/>
              </w:rPr>
              <w:t>ECM coding tools on, except 7 new loop-filter tools</w:t>
            </w:r>
            <w:r w:rsidR="00CB6EB0">
              <w:rPr>
                <w:szCs w:val="22"/>
              </w:rPr>
              <w:t xml:space="preserve"> (Test 2)</w:t>
            </w:r>
          </w:p>
        </w:tc>
      </w:tr>
      <w:tr w:rsidR="00DC6341" w14:paraId="4AF07507" w14:textId="77777777" w:rsidTr="00DC6341">
        <w:tc>
          <w:tcPr>
            <w:tcW w:w="3116" w:type="dxa"/>
          </w:tcPr>
          <w:p w14:paraId="4D04151A" w14:textId="6DDD8529" w:rsidR="00DC6341" w:rsidRDefault="00DC6341" w:rsidP="00A90B4B">
            <w:pPr>
              <w:rPr>
                <w:szCs w:val="22"/>
              </w:rPr>
            </w:pPr>
            <w:r>
              <w:rPr>
                <w:szCs w:val="22"/>
              </w:rPr>
              <w:t>Anchor</w:t>
            </w:r>
          </w:p>
        </w:tc>
        <w:tc>
          <w:tcPr>
            <w:tcW w:w="3117" w:type="dxa"/>
          </w:tcPr>
          <w:p w14:paraId="30AA70D8" w14:textId="0825AC9C" w:rsidR="00DC6341" w:rsidRDefault="00DC6341" w:rsidP="008F19E4">
            <w:pPr>
              <w:jc w:val="center"/>
              <w:rPr>
                <w:szCs w:val="22"/>
              </w:rPr>
            </w:pPr>
          </w:p>
        </w:tc>
        <w:tc>
          <w:tcPr>
            <w:tcW w:w="3117" w:type="dxa"/>
          </w:tcPr>
          <w:p w14:paraId="15B7E59D" w14:textId="285BA2BB" w:rsidR="00DC6341" w:rsidRDefault="00D00253" w:rsidP="008F19E4">
            <w:pPr>
              <w:jc w:val="center"/>
              <w:rPr>
                <w:szCs w:val="22"/>
              </w:rPr>
            </w:pPr>
            <w:r>
              <w:rPr>
                <w:szCs w:val="22"/>
              </w:rPr>
              <w:sym w:font="Symbol" w:char="F0D6"/>
            </w:r>
          </w:p>
        </w:tc>
      </w:tr>
      <w:tr w:rsidR="00DC6341" w14:paraId="4D88A182" w14:textId="77777777" w:rsidTr="00DC6341">
        <w:tc>
          <w:tcPr>
            <w:tcW w:w="3116" w:type="dxa"/>
          </w:tcPr>
          <w:p w14:paraId="05C661D7" w14:textId="59B3FF6F" w:rsidR="00DC6341" w:rsidRDefault="00DC6341" w:rsidP="00A90B4B">
            <w:pPr>
              <w:rPr>
                <w:szCs w:val="22"/>
              </w:rPr>
            </w:pPr>
            <w:r>
              <w:rPr>
                <w:szCs w:val="22"/>
              </w:rPr>
              <w:t>VTM-like GDR</w:t>
            </w:r>
          </w:p>
        </w:tc>
        <w:tc>
          <w:tcPr>
            <w:tcW w:w="3117" w:type="dxa"/>
          </w:tcPr>
          <w:p w14:paraId="26A435D8" w14:textId="5E7EB367" w:rsidR="00DC6341" w:rsidRDefault="00D00253" w:rsidP="008F19E4">
            <w:pPr>
              <w:jc w:val="center"/>
              <w:rPr>
                <w:szCs w:val="22"/>
              </w:rPr>
            </w:pPr>
            <w:r>
              <w:rPr>
                <w:szCs w:val="22"/>
              </w:rPr>
              <w:sym w:font="Symbol" w:char="F0D6"/>
            </w:r>
          </w:p>
        </w:tc>
        <w:tc>
          <w:tcPr>
            <w:tcW w:w="3117" w:type="dxa"/>
          </w:tcPr>
          <w:p w14:paraId="04B276EA" w14:textId="3DB55D98" w:rsidR="00DC6341" w:rsidRDefault="00DC6341" w:rsidP="008F19E4">
            <w:pPr>
              <w:jc w:val="center"/>
              <w:rPr>
                <w:szCs w:val="22"/>
              </w:rPr>
            </w:pPr>
          </w:p>
        </w:tc>
      </w:tr>
      <w:tr w:rsidR="00DC6341" w14:paraId="3D95EA23" w14:textId="77777777" w:rsidTr="00DC6341">
        <w:tc>
          <w:tcPr>
            <w:tcW w:w="3116" w:type="dxa"/>
          </w:tcPr>
          <w:p w14:paraId="0DA8E267" w14:textId="2637D345" w:rsidR="00DC6341" w:rsidRDefault="00DC6341" w:rsidP="00A90B4B">
            <w:pPr>
              <w:rPr>
                <w:szCs w:val="22"/>
              </w:rPr>
            </w:pPr>
            <w:r>
              <w:rPr>
                <w:szCs w:val="22"/>
              </w:rPr>
              <w:t>New GDR</w:t>
            </w:r>
          </w:p>
        </w:tc>
        <w:tc>
          <w:tcPr>
            <w:tcW w:w="3117" w:type="dxa"/>
          </w:tcPr>
          <w:p w14:paraId="23024BA8" w14:textId="71D46EA0" w:rsidR="00DC6341" w:rsidRDefault="00D00253" w:rsidP="008F19E4">
            <w:pPr>
              <w:jc w:val="center"/>
              <w:rPr>
                <w:szCs w:val="22"/>
              </w:rPr>
            </w:pPr>
            <w:r>
              <w:rPr>
                <w:szCs w:val="22"/>
              </w:rPr>
              <w:sym w:font="Symbol" w:char="F0D6"/>
            </w:r>
          </w:p>
        </w:tc>
        <w:tc>
          <w:tcPr>
            <w:tcW w:w="3117" w:type="dxa"/>
          </w:tcPr>
          <w:p w14:paraId="2A1D3563" w14:textId="7DA4EB3B" w:rsidR="00DC6341" w:rsidRDefault="00D00253" w:rsidP="008F19E4">
            <w:pPr>
              <w:jc w:val="center"/>
              <w:rPr>
                <w:szCs w:val="22"/>
              </w:rPr>
            </w:pPr>
            <w:r>
              <w:rPr>
                <w:szCs w:val="22"/>
              </w:rPr>
              <w:sym w:font="Symbol" w:char="F0D6"/>
            </w:r>
          </w:p>
        </w:tc>
      </w:tr>
    </w:tbl>
    <w:p w14:paraId="318839B2" w14:textId="77777777" w:rsidR="00DC6341" w:rsidRDefault="00DC6341" w:rsidP="00A90B4B">
      <w:pPr>
        <w:rPr>
          <w:szCs w:val="22"/>
        </w:rPr>
      </w:pPr>
    </w:p>
    <w:p w14:paraId="21D6A6C6" w14:textId="3AE1210F" w:rsidR="00F25FD7" w:rsidRPr="00D353BC" w:rsidRDefault="00D01C60" w:rsidP="00A90B4B">
      <w:pPr>
        <w:rPr>
          <w:szCs w:val="22"/>
        </w:rPr>
      </w:pPr>
      <w:r w:rsidRPr="00D353BC">
        <w:rPr>
          <w:szCs w:val="22"/>
        </w:rPr>
        <w:t xml:space="preserve">Table </w:t>
      </w:r>
      <w:r w:rsidR="00DC6341">
        <w:rPr>
          <w:szCs w:val="22"/>
        </w:rPr>
        <w:t>2</w:t>
      </w:r>
      <w:r w:rsidRPr="00D353BC">
        <w:rPr>
          <w:szCs w:val="22"/>
        </w:rPr>
        <w:t xml:space="preserve"> shows the performance comparison of new GDR over </w:t>
      </w:r>
      <w:r w:rsidR="00E623C8">
        <w:rPr>
          <w:szCs w:val="22"/>
        </w:rPr>
        <w:t>the VTM-like</w:t>
      </w:r>
      <w:r w:rsidR="00E623C8" w:rsidRPr="00D353BC">
        <w:rPr>
          <w:szCs w:val="22"/>
        </w:rPr>
        <w:t xml:space="preserve"> </w:t>
      </w:r>
      <w:r w:rsidRPr="00D353BC">
        <w:rPr>
          <w:szCs w:val="22"/>
        </w:rPr>
        <w:t xml:space="preserve">GDR </w:t>
      </w:r>
      <w:r w:rsidR="00A90B4B" w:rsidRPr="00D353BC">
        <w:rPr>
          <w:szCs w:val="22"/>
        </w:rPr>
        <w:t>in terms of BD rate</w:t>
      </w:r>
      <w:r w:rsidR="00327785">
        <w:rPr>
          <w:szCs w:val="22"/>
        </w:rPr>
        <w:t>, where ECM new coding tools are off for both VTM-GDR and new GDR</w:t>
      </w:r>
      <w:r w:rsidR="00327785" w:rsidRPr="00CC1714">
        <w:rPr>
          <w:szCs w:val="22"/>
        </w:rPr>
        <w:t xml:space="preserve">. </w:t>
      </w:r>
      <w:r w:rsidR="003E0530" w:rsidRPr="00CC1714">
        <w:rPr>
          <w:szCs w:val="22"/>
        </w:rPr>
        <w:t xml:space="preserve">As seen, the new GDR performs better than the </w:t>
      </w:r>
      <w:r w:rsidR="00E623C8" w:rsidRPr="00CC1714">
        <w:rPr>
          <w:szCs w:val="22"/>
        </w:rPr>
        <w:t>VTM-like</w:t>
      </w:r>
      <w:r w:rsidR="003E0530" w:rsidRPr="00CC1714">
        <w:rPr>
          <w:szCs w:val="22"/>
        </w:rPr>
        <w:t xml:space="preserve"> GDR</w:t>
      </w:r>
      <w:r w:rsidR="000C7F40" w:rsidRPr="00CC1714">
        <w:rPr>
          <w:szCs w:val="22"/>
        </w:rPr>
        <w:t xml:space="preserve"> by</w:t>
      </w:r>
      <w:r w:rsidR="00A90B4B" w:rsidRPr="00CC1714">
        <w:rPr>
          <w:szCs w:val="22"/>
        </w:rPr>
        <w:t xml:space="preserve"> </w:t>
      </w:r>
      <w:r w:rsidR="000C7F40" w:rsidRPr="00CC1714">
        <w:rPr>
          <w:szCs w:val="22"/>
        </w:rPr>
        <w:t xml:space="preserve">an overall performance gain of </w:t>
      </w:r>
      <w:r w:rsidR="003E0530" w:rsidRPr="00CC1714">
        <w:rPr>
          <w:szCs w:val="22"/>
        </w:rPr>
        <w:t>x.xx</w:t>
      </w:r>
      <w:r w:rsidR="003E0530" w:rsidRPr="00CC1714" w:rsidDel="003E0530">
        <w:rPr>
          <w:szCs w:val="22"/>
        </w:rPr>
        <w:t xml:space="preserve"> </w:t>
      </w:r>
      <w:r w:rsidR="00A90B4B" w:rsidRPr="00CC1714">
        <w:rPr>
          <w:szCs w:val="22"/>
        </w:rPr>
        <w:t>%.</w:t>
      </w:r>
      <w:r w:rsidR="00A90B4B" w:rsidRPr="00D353BC">
        <w:rPr>
          <w:szCs w:val="22"/>
        </w:rPr>
        <w:t xml:space="preserve"> </w:t>
      </w:r>
    </w:p>
    <w:p w14:paraId="3D95BBEF" w14:textId="6C66A014" w:rsidR="00F25FD7" w:rsidRPr="00D353BC" w:rsidRDefault="00F25F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p w14:paraId="0AAE5816" w14:textId="7FE91946" w:rsidR="00A90B4B" w:rsidRPr="00D353BC" w:rsidRDefault="00A90B4B" w:rsidP="00A90B4B">
      <w:pPr>
        <w:jc w:val="center"/>
        <w:rPr>
          <w:szCs w:val="22"/>
        </w:rPr>
      </w:pPr>
      <w:r w:rsidRPr="00D353BC">
        <w:rPr>
          <w:szCs w:val="22"/>
        </w:rPr>
        <w:t xml:space="preserve">Table </w:t>
      </w:r>
      <w:r w:rsidR="00DC6341">
        <w:rPr>
          <w:szCs w:val="22"/>
        </w:rPr>
        <w:t>2</w:t>
      </w:r>
      <w:r w:rsidRPr="00D353BC">
        <w:rPr>
          <w:szCs w:val="22"/>
        </w:rPr>
        <w:t xml:space="preserve">. Simulation Results of </w:t>
      </w:r>
      <w:r w:rsidR="00D01C60" w:rsidRPr="00D353BC">
        <w:rPr>
          <w:szCs w:val="22"/>
        </w:rPr>
        <w:t xml:space="preserve">new </w:t>
      </w:r>
      <w:r w:rsidRPr="00D353BC">
        <w:rPr>
          <w:szCs w:val="22"/>
        </w:rPr>
        <w:t>GDR</w:t>
      </w:r>
      <w:r w:rsidR="00D01C60" w:rsidRPr="00D353BC">
        <w:rPr>
          <w:szCs w:val="22"/>
        </w:rPr>
        <w:t xml:space="preserve"> over </w:t>
      </w:r>
      <w:r w:rsidR="00E623C8">
        <w:rPr>
          <w:szCs w:val="22"/>
        </w:rPr>
        <w:t>VTM-like</w:t>
      </w:r>
      <w:r w:rsidR="00E623C8" w:rsidRPr="00D353BC">
        <w:rPr>
          <w:szCs w:val="22"/>
        </w:rPr>
        <w:t xml:space="preserve"> </w:t>
      </w:r>
      <w:r w:rsidR="00D01C60" w:rsidRPr="00D353BC">
        <w:rPr>
          <w:szCs w:val="22"/>
        </w:rPr>
        <w:t>GDR</w:t>
      </w:r>
      <w:r w:rsidRPr="00D353BC">
        <w:rPr>
          <w:szCs w:val="22"/>
        </w:rPr>
        <w:t xml:space="preserve"> </w:t>
      </w:r>
      <w:r w:rsidR="00EE6F48">
        <w:rPr>
          <w:szCs w:val="22"/>
        </w:rPr>
        <w:t>(Test 1)</w:t>
      </w:r>
    </w:p>
    <w:tbl>
      <w:tblPr>
        <w:tblW w:w="6940" w:type="dxa"/>
        <w:tblInd w:w="1206" w:type="dxa"/>
        <w:tblLook w:val="04A0" w:firstRow="1" w:lastRow="0" w:firstColumn="1" w:lastColumn="0" w:noHBand="0" w:noVBand="1"/>
      </w:tblPr>
      <w:tblGrid>
        <w:gridCol w:w="1640"/>
        <w:gridCol w:w="1144"/>
        <w:gridCol w:w="1143"/>
        <w:gridCol w:w="1143"/>
        <w:gridCol w:w="935"/>
        <w:gridCol w:w="935"/>
      </w:tblGrid>
      <w:tr w:rsidR="00E61E3B" w:rsidRPr="00E61E3B" w14:paraId="2C7446A5" w14:textId="77777777" w:rsidTr="007E4064">
        <w:trPr>
          <w:trHeight w:val="255"/>
        </w:trPr>
        <w:tc>
          <w:tcPr>
            <w:tcW w:w="1640" w:type="dxa"/>
            <w:tcBorders>
              <w:top w:val="nil"/>
              <w:left w:val="nil"/>
              <w:bottom w:val="nil"/>
              <w:right w:val="nil"/>
            </w:tcBorders>
            <w:shd w:val="clear" w:color="auto" w:fill="auto"/>
            <w:noWrap/>
            <w:vAlign w:val="center"/>
            <w:hideMark/>
          </w:tcPr>
          <w:p w14:paraId="075EC148"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299CE1"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 xml:space="preserve">Low delay P Main10 </w:t>
            </w:r>
          </w:p>
        </w:tc>
      </w:tr>
      <w:tr w:rsidR="00E61E3B" w:rsidRPr="00E61E3B" w14:paraId="449BF807" w14:textId="77777777" w:rsidTr="007E4064">
        <w:trPr>
          <w:trHeight w:val="255"/>
        </w:trPr>
        <w:tc>
          <w:tcPr>
            <w:tcW w:w="1640" w:type="dxa"/>
            <w:tcBorders>
              <w:top w:val="nil"/>
              <w:left w:val="nil"/>
              <w:bottom w:val="nil"/>
              <w:right w:val="nil"/>
            </w:tcBorders>
            <w:shd w:val="clear" w:color="auto" w:fill="auto"/>
            <w:noWrap/>
            <w:vAlign w:val="center"/>
            <w:hideMark/>
          </w:tcPr>
          <w:p w14:paraId="03C6F8CB"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4336DA"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Over VTM-like GDR</w:t>
            </w:r>
          </w:p>
        </w:tc>
      </w:tr>
      <w:tr w:rsidR="00E61E3B" w:rsidRPr="00E61E3B" w14:paraId="248B5690" w14:textId="77777777" w:rsidTr="007E4064">
        <w:trPr>
          <w:trHeight w:val="255"/>
        </w:trPr>
        <w:tc>
          <w:tcPr>
            <w:tcW w:w="1640" w:type="dxa"/>
            <w:tcBorders>
              <w:top w:val="nil"/>
              <w:left w:val="nil"/>
              <w:bottom w:val="nil"/>
              <w:right w:val="nil"/>
            </w:tcBorders>
            <w:shd w:val="clear" w:color="auto" w:fill="auto"/>
            <w:noWrap/>
            <w:vAlign w:val="center"/>
            <w:hideMark/>
          </w:tcPr>
          <w:p w14:paraId="2E86EC2E"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091F5DB5"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Y</w:t>
            </w:r>
          </w:p>
        </w:tc>
        <w:tc>
          <w:tcPr>
            <w:tcW w:w="1143" w:type="dxa"/>
            <w:tcBorders>
              <w:top w:val="nil"/>
              <w:left w:val="nil"/>
              <w:bottom w:val="single" w:sz="8" w:space="0" w:color="auto"/>
              <w:right w:val="nil"/>
            </w:tcBorders>
            <w:shd w:val="clear" w:color="auto" w:fill="auto"/>
            <w:noWrap/>
            <w:vAlign w:val="center"/>
            <w:hideMark/>
          </w:tcPr>
          <w:p w14:paraId="135A96B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5539EAE"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w:t>
            </w:r>
          </w:p>
        </w:tc>
        <w:tc>
          <w:tcPr>
            <w:tcW w:w="935" w:type="dxa"/>
            <w:tcBorders>
              <w:top w:val="nil"/>
              <w:left w:val="nil"/>
              <w:bottom w:val="single" w:sz="8" w:space="0" w:color="auto"/>
              <w:right w:val="nil"/>
            </w:tcBorders>
            <w:shd w:val="clear" w:color="auto" w:fill="auto"/>
            <w:noWrap/>
            <w:vAlign w:val="center"/>
            <w:hideMark/>
          </w:tcPr>
          <w:p w14:paraId="43FB2A4A"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59231C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DecT</w:t>
            </w:r>
          </w:p>
        </w:tc>
      </w:tr>
      <w:tr w:rsidR="00E61E3B" w:rsidRPr="00E61E3B" w14:paraId="26621767" w14:textId="77777777" w:rsidTr="007E40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84948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A1</w:t>
            </w:r>
          </w:p>
        </w:tc>
        <w:tc>
          <w:tcPr>
            <w:tcW w:w="1144" w:type="dxa"/>
            <w:tcBorders>
              <w:top w:val="nil"/>
              <w:left w:val="nil"/>
              <w:bottom w:val="nil"/>
              <w:right w:val="nil"/>
            </w:tcBorders>
            <w:shd w:val="clear" w:color="auto" w:fill="auto"/>
            <w:noWrap/>
            <w:vAlign w:val="center"/>
            <w:hideMark/>
          </w:tcPr>
          <w:p w14:paraId="4943AE9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nil"/>
            </w:tcBorders>
            <w:shd w:val="clear" w:color="auto" w:fill="auto"/>
            <w:noWrap/>
            <w:vAlign w:val="center"/>
            <w:hideMark/>
          </w:tcPr>
          <w:p w14:paraId="448D36F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single" w:sz="4" w:space="0" w:color="auto"/>
            </w:tcBorders>
            <w:shd w:val="clear" w:color="auto" w:fill="auto"/>
            <w:noWrap/>
            <w:vAlign w:val="center"/>
            <w:hideMark/>
          </w:tcPr>
          <w:p w14:paraId="7881607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nil"/>
            </w:tcBorders>
            <w:shd w:val="clear" w:color="auto" w:fill="auto"/>
            <w:noWrap/>
            <w:vAlign w:val="center"/>
            <w:hideMark/>
          </w:tcPr>
          <w:p w14:paraId="165F8A4F"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single" w:sz="8" w:space="0" w:color="auto"/>
            </w:tcBorders>
            <w:shd w:val="clear" w:color="auto" w:fill="auto"/>
            <w:noWrap/>
            <w:vAlign w:val="center"/>
            <w:hideMark/>
          </w:tcPr>
          <w:p w14:paraId="6A49A59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r>
      <w:tr w:rsidR="00E61E3B" w:rsidRPr="00E61E3B" w14:paraId="5E5EE663"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288ED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A2</w:t>
            </w:r>
          </w:p>
        </w:tc>
        <w:tc>
          <w:tcPr>
            <w:tcW w:w="1144" w:type="dxa"/>
            <w:tcBorders>
              <w:top w:val="nil"/>
              <w:left w:val="nil"/>
              <w:bottom w:val="nil"/>
              <w:right w:val="nil"/>
            </w:tcBorders>
            <w:shd w:val="clear" w:color="auto" w:fill="auto"/>
            <w:noWrap/>
            <w:vAlign w:val="center"/>
            <w:hideMark/>
          </w:tcPr>
          <w:p w14:paraId="5AFC2EA2"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nil"/>
            </w:tcBorders>
            <w:shd w:val="clear" w:color="auto" w:fill="auto"/>
            <w:noWrap/>
            <w:vAlign w:val="center"/>
            <w:hideMark/>
          </w:tcPr>
          <w:p w14:paraId="1795F1F8"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3" w:type="dxa"/>
            <w:tcBorders>
              <w:top w:val="nil"/>
              <w:left w:val="nil"/>
              <w:bottom w:val="nil"/>
              <w:right w:val="single" w:sz="4" w:space="0" w:color="auto"/>
            </w:tcBorders>
            <w:shd w:val="clear" w:color="auto" w:fill="auto"/>
            <w:noWrap/>
            <w:vAlign w:val="center"/>
            <w:hideMark/>
          </w:tcPr>
          <w:p w14:paraId="6E7066E5"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nil"/>
            </w:tcBorders>
            <w:shd w:val="clear" w:color="auto" w:fill="auto"/>
            <w:noWrap/>
            <w:vAlign w:val="center"/>
            <w:hideMark/>
          </w:tcPr>
          <w:p w14:paraId="69285B0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single" w:sz="8" w:space="0" w:color="auto"/>
            </w:tcBorders>
            <w:shd w:val="clear" w:color="auto" w:fill="auto"/>
            <w:noWrap/>
            <w:vAlign w:val="center"/>
            <w:hideMark/>
          </w:tcPr>
          <w:p w14:paraId="4C39BEF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r>
      <w:tr w:rsidR="00E61E3B" w:rsidRPr="00E61E3B" w14:paraId="03EEF5BD"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B93EB3"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B</w:t>
            </w:r>
          </w:p>
        </w:tc>
        <w:tc>
          <w:tcPr>
            <w:tcW w:w="1144" w:type="dxa"/>
            <w:tcBorders>
              <w:top w:val="nil"/>
              <w:left w:val="nil"/>
              <w:bottom w:val="nil"/>
              <w:right w:val="nil"/>
            </w:tcBorders>
            <w:shd w:val="clear" w:color="auto" w:fill="auto"/>
            <w:noWrap/>
            <w:vAlign w:val="center"/>
            <w:hideMark/>
          </w:tcPr>
          <w:p w14:paraId="52A757F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nil"/>
              <w:left w:val="nil"/>
              <w:bottom w:val="nil"/>
              <w:right w:val="nil"/>
            </w:tcBorders>
            <w:shd w:val="clear" w:color="auto" w:fill="auto"/>
            <w:noWrap/>
            <w:vAlign w:val="center"/>
            <w:hideMark/>
          </w:tcPr>
          <w:p w14:paraId="78E62073"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nil"/>
              <w:left w:val="nil"/>
              <w:bottom w:val="nil"/>
              <w:right w:val="single" w:sz="4" w:space="0" w:color="auto"/>
            </w:tcBorders>
            <w:shd w:val="clear" w:color="auto" w:fill="auto"/>
            <w:noWrap/>
            <w:vAlign w:val="center"/>
            <w:hideMark/>
          </w:tcPr>
          <w:p w14:paraId="2F77E2C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935" w:type="dxa"/>
            <w:tcBorders>
              <w:top w:val="nil"/>
              <w:left w:val="nil"/>
              <w:bottom w:val="nil"/>
              <w:right w:val="nil"/>
            </w:tcBorders>
            <w:shd w:val="clear" w:color="auto" w:fill="auto"/>
            <w:noWrap/>
            <w:vAlign w:val="center"/>
            <w:hideMark/>
          </w:tcPr>
          <w:p w14:paraId="2544923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c>
          <w:tcPr>
            <w:tcW w:w="935" w:type="dxa"/>
            <w:tcBorders>
              <w:top w:val="nil"/>
              <w:left w:val="nil"/>
              <w:bottom w:val="nil"/>
              <w:right w:val="single" w:sz="8" w:space="0" w:color="auto"/>
            </w:tcBorders>
            <w:shd w:val="clear" w:color="auto" w:fill="auto"/>
            <w:noWrap/>
            <w:vAlign w:val="center"/>
            <w:hideMark/>
          </w:tcPr>
          <w:p w14:paraId="52AAF7B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r>
      <w:tr w:rsidR="00E61E3B" w:rsidRPr="00E61E3B" w14:paraId="5437F151"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56129B"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C</w:t>
            </w:r>
          </w:p>
        </w:tc>
        <w:tc>
          <w:tcPr>
            <w:tcW w:w="1144" w:type="dxa"/>
            <w:tcBorders>
              <w:top w:val="nil"/>
              <w:left w:val="nil"/>
              <w:bottom w:val="nil"/>
              <w:right w:val="nil"/>
            </w:tcBorders>
            <w:shd w:val="clear" w:color="auto" w:fill="auto"/>
            <w:noWrap/>
            <w:vAlign w:val="center"/>
            <w:hideMark/>
          </w:tcPr>
          <w:p w14:paraId="5E146799"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-0.65%</w:t>
            </w:r>
          </w:p>
        </w:tc>
        <w:tc>
          <w:tcPr>
            <w:tcW w:w="1143" w:type="dxa"/>
            <w:tcBorders>
              <w:top w:val="nil"/>
              <w:left w:val="nil"/>
              <w:bottom w:val="nil"/>
              <w:right w:val="nil"/>
            </w:tcBorders>
            <w:shd w:val="clear" w:color="auto" w:fill="auto"/>
            <w:noWrap/>
            <w:vAlign w:val="center"/>
            <w:hideMark/>
          </w:tcPr>
          <w:p w14:paraId="4FD747A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61E3B">
              <w:rPr>
                <w:rFonts w:ascii="Arial" w:hAnsi="Arial" w:cs="Arial"/>
                <w:sz w:val="18"/>
                <w:szCs w:val="18"/>
                <w:lang w:eastAsia="ko-KR"/>
              </w:rPr>
              <w:t>-3.76%</w:t>
            </w:r>
          </w:p>
        </w:tc>
        <w:tc>
          <w:tcPr>
            <w:tcW w:w="1143" w:type="dxa"/>
            <w:tcBorders>
              <w:top w:val="nil"/>
              <w:left w:val="nil"/>
              <w:bottom w:val="nil"/>
              <w:right w:val="single" w:sz="4" w:space="0" w:color="auto"/>
            </w:tcBorders>
            <w:shd w:val="clear" w:color="auto" w:fill="auto"/>
            <w:noWrap/>
            <w:vAlign w:val="center"/>
            <w:hideMark/>
          </w:tcPr>
          <w:p w14:paraId="10E3B1C6"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61E3B">
              <w:rPr>
                <w:rFonts w:ascii="Arial" w:hAnsi="Arial" w:cs="Arial"/>
                <w:sz w:val="18"/>
                <w:szCs w:val="18"/>
                <w:lang w:eastAsia="ko-KR"/>
              </w:rPr>
              <w:t>-3.50%</w:t>
            </w:r>
          </w:p>
        </w:tc>
        <w:tc>
          <w:tcPr>
            <w:tcW w:w="935" w:type="dxa"/>
            <w:tcBorders>
              <w:top w:val="nil"/>
              <w:left w:val="nil"/>
              <w:bottom w:val="nil"/>
              <w:right w:val="nil"/>
            </w:tcBorders>
            <w:shd w:val="clear" w:color="auto" w:fill="auto"/>
            <w:noWrap/>
            <w:vAlign w:val="center"/>
            <w:hideMark/>
          </w:tcPr>
          <w:p w14:paraId="0A27BAF2"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104%</w:t>
            </w:r>
          </w:p>
        </w:tc>
        <w:tc>
          <w:tcPr>
            <w:tcW w:w="935" w:type="dxa"/>
            <w:tcBorders>
              <w:top w:val="nil"/>
              <w:left w:val="nil"/>
              <w:bottom w:val="nil"/>
              <w:right w:val="single" w:sz="8" w:space="0" w:color="auto"/>
            </w:tcBorders>
            <w:shd w:val="clear" w:color="auto" w:fill="auto"/>
            <w:noWrap/>
            <w:vAlign w:val="center"/>
            <w:hideMark/>
          </w:tcPr>
          <w:p w14:paraId="313B8A5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106%</w:t>
            </w:r>
          </w:p>
        </w:tc>
      </w:tr>
      <w:tr w:rsidR="00E61E3B" w:rsidRPr="00E61E3B" w14:paraId="358026B6"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1A0F9"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E</w:t>
            </w:r>
          </w:p>
        </w:tc>
        <w:tc>
          <w:tcPr>
            <w:tcW w:w="1144" w:type="dxa"/>
            <w:tcBorders>
              <w:top w:val="nil"/>
              <w:left w:val="nil"/>
              <w:bottom w:val="nil"/>
              <w:right w:val="nil"/>
            </w:tcBorders>
            <w:shd w:val="clear" w:color="auto" w:fill="auto"/>
            <w:noWrap/>
            <w:vAlign w:val="center"/>
            <w:hideMark/>
          </w:tcPr>
          <w:p w14:paraId="67F91D3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-1.11%</w:t>
            </w:r>
          </w:p>
        </w:tc>
        <w:tc>
          <w:tcPr>
            <w:tcW w:w="1143" w:type="dxa"/>
            <w:tcBorders>
              <w:top w:val="nil"/>
              <w:left w:val="nil"/>
              <w:bottom w:val="nil"/>
              <w:right w:val="nil"/>
            </w:tcBorders>
            <w:shd w:val="clear" w:color="auto" w:fill="auto"/>
            <w:noWrap/>
            <w:vAlign w:val="center"/>
            <w:hideMark/>
          </w:tcPr>
          <w:p w14:paraId="5AE1A523"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61E3B">
              <w:rPr>
                <w:rFonts w:ascii="Arial" w:hAnsi="Arial" w:cs="Arial"/>
                <w:sz w:val="18"/>
                <w:szCs w:val="18"/>
                <w:lang w:eastAsia="ko-KR"/>
              </w:rPr>
              <w:t>-3.05%</w:t>
            </w:r>
          </w:p>
        </w:tc>
        <w:tc>
          <w:tcPr>
            <w:tcW w:w="1143" w:type="dxa"/>
            <w:tcBorders>
              <w:top w:val="nil"/>
              <w:left w:val="nil"/>
              <w:bottom w:val="nil"/>
              <w:right w:val="single" w:sz="4" w:space="0" w:color="auto"/>
            </w:tcBorders>
            <w:shd w:val="clear" w:color="auto" w:fill="auto"/>
            <w:noWrap/>
            <w:vAlign w:val="center"/>
            <w:hideMark/>
          </w:tcPr>
          <w:p w14:paraId="1D8907D5"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-1.84%</w:t>
            </w:r>
          </w:p>
        </w:tc>
        <w:tc>
          <w:tcPr>
            <w:tcW w:w="935" w:type="dxa"/>
            <w:tcBorders>
              <w:top w:val="nil"/>
              <w:left w:val="nil"/>
              <w:bottom w:val="nil"/>
              <w:right w:val="nil"/>
            </w:tcBorders>
            <w:shd w:val="clear" w:color="auto" w:fill="auto"/>
            <w:noWrap/>
            <w:vAlign w:val="center"/>
            <w:hideMark/>
          </w:tcPr>
          <w:p w14:paraId="2CFE413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101%</w:t>
            </w:r>
          </w:p>
        </w:tc>
        <w:tc>
          <w:tcPr>
            <w:tcW w:w="935" w:type="dxa"/>
            <w:tcBorders>
              <w:top w:val="nil"/>
              <w:left w:val="nil"/>
              <w:bottom w:val="nil"/>
              <w:right w:val="single" w:sz="8" w:space="0" w:color="auto"/>
            </w:tcBorders>
            <w:shd w:val="clear" w:color="auto" w:fill="auto"/>
            <w:noWrap/>
            <w:vAlign w:val="center"/>
            <w:hideMark/>
          </w:tcPr>
          <w:p w14:paraId="31195FE2"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109%</w:t>
            </w:r>
          </w:p>
        </w:tc>
      </w:tr>
      <w:tr w:rsidR="00E61E3B" w:rsidRPr="00E61E3B" w14:paraId="24E36AD5" w14:textId="77777777" w:rsidTr="007E40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59E425"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Overall</w:t>
            </w:r>
          </w:p>
        </w:tc>
        <w:tc>
          <w:tcPr>
            <w:tcW w:w="1144" w:type="dxa"/>
            <w:tcBorders>
              <w:top w:val="single" w:sz="8" w:space="0" w:color="auto"/>
              <w:left w:val="nil"/>
              <w:bottom w:val="nil"/>
              <w:right w:val="nil"/>
            </w:tcBorders>
            <w:shd w:val="clear" w:color="auto" w:fill="auto"/>
            <w:noWrap/>
            <w:vAlign w:val="center"/>
            <w:hideMark/>
          </w:tcPr>
          <w:p w14:paraId="6392129E"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single" w:sz="8" w:space="0" w:color="auto"/>
              <w:left w:val="nil"/>
              <w:bottom w:val="nil"/>
              <w:right w:val="nil"/>
            </w:tcBorders>
            <w:shd w:val="clear" w:color="auto" w:fill="auto"/>
            <w:noWrap/>
            <w:vAlign w:val="center"/>
            <w:hideMark/>
          </w:tcPr>
          <w:p w14:paraId="75E1138F"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6B83ED2"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935" w:type="dxa"/>
            <w:tcBorders>
              <w:top w:val="single" w:sz="8" w:space="0" w:color="auto"/>
              <w:left w:val="nil"/>
              <w:bottom w:val="nil"/>
              <w:right w:val="nil"/>
            </w:tcBorders>
            <w:shd w:val="clear" w:color="auto" w:fill="auto"/>
            <w:noWrap/>
            <w:vAlign w:val="center"/>
            <w:hideMark/>
          </w:tcPr>
          <w:p w14:paraId="754EF173"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091CFF2"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r>
      <w:tr w:rsidR="00E61E3B" w:rsidRPr="00E61E3B" w14:paraId="54652DA2" w14:textId="77777777" w:rsidTr="007E406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8620DB"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BA7433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-0.86%</w:t>
            </w:r>
          </w:p>
        </w:tc>
        <w:tc>
          <w:tcPr>
            <w:tcW w:w="1143" w:type="dxa"/>
            <w:tcBorders>
              <w:top w:val="single" w:sz="8" w:space="0" w:color="auto"/>
              <w:left w:val="nil"/>
              <w:bottom w:val="nil"/>
              <w:right w:val="nil"/>
            </w:tcBorders>
            <w:shd w:val="clear" w:color="auto" w:fill="auto"/>
            <w:noWrap/>
            <w:vAlign w:val="center"/>
            <w:hideMark/>
          </w:tcPr>
          <w:p w14:paraId="2ACB07D3"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-2.62%</w:t>
            </w:r>
          </w:p>
        </w:tc>
        <w:tc>
          <w:tcPr>
            <w:tcW w:w="1143" w:type="dxa"/>
            <w:tcBorders>
              <w:top w:val="single" w:sz="8" w:space="0" w:color="auto"/>
              <w:left w:val="nil"/>
              <w:bottom w:val="nil"/>
              <w:right w:val="single" w:sz="4" w:space="0" w:color="auto"/>
            </w:tcBorders>
            <w:shd w:val="clear" w:color="auto" w:fill="auto"/>
            <w:noWrap/>
            <w:vAlign w:val="center"/>
            <w:hideMark/>
          </w:tcPr>
          <w:p w14:paraId="49F7F7E1"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-2.94%</w:t>
            </w:r>
          </w:p>
        </w:tc>
        <w:tc>
          <w:tcPr>
            <w:tcW w:w="935" w:type="dxa"/>
            <w:tcBorders>
              <w:top w:val="single" w:sz="8" w:space="0" w:color="auto"/>
              <w:left w:val="nil"/>
              <w:bottom w:val="nil"/>
              <w:right w:val="nil"/>
            </w:tcBorders>
            <w:shd w:val="clear" w:color="auto" w:fill="auto"/>
            <w:noWrap/>
            <w:vAlign w:val="center"/>
            <w:hideMark/>
          </w:tcPr>
          <w:p w14:paraId="48ED3E7E"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106%</w:t>
            </w:r>
          </w:p>
        </w:tc>
        <w:tc>
          <w:tcPr>
            <w:tcW w:w="935" w:type="dxa"/>
            <w:tcBorders>
              <w:top w:val="single" w:sz="8" w:space="0" w:color="auto"/>
              <w:left w:val="nil"/>
              <w:bottom w:val="nil"/>
              <w:right w:val="single" w:sz="8" w:space="0" w:color="auto"/>
            </w:tcBorders>
            <w:shd w:val="clear" w:color="auto" w:fill="auto"/>
            <w:noWrap/>
            <w:vAlign w:val="center"/>
            <w:hideMark/>
          </w:tcPr>
          <w:p w14:paraId="508333C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114%</w:t>
            </w:r>
          </w:p>
        </w:tc>
      </w:tr>
      <w:tr w:rsidR="00E61E3B" w:rsidRPr="00E61E3B" w14:paraId="45DA4BF2" w14:textId="77777777" w:rsidTr="007E406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94745F"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2413629"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nil"/>
              <w:left w:val="nil"/>
              <w:bottom w:val="single" w:sz="8" w:space="0" w:color="auto"/>
              <w:right w:val="nil"/>
            </w:tcBorders>
            <w:shd w:val="clear" w:color="auto" w:fill="auto"/>
            <w:noWrap/>
            <w:vAlign w:val="center"/>
            <w:hideMark/>
          </w:tcPr>
          <w:p w14:paraId="1AC7679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EDEA5A9"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935" w:type="dxa"/>
            <w:tcBorders>
              <w:top w:val="nil"/>
              <w:left w:val="nil"/>
              <w:bottom w:val="single" w:sz="8" w:space="0" w:color="auto"/>
              <w:right w:val="nil"/>
            </w:tcBorders>
            <w:shd w:val="clear" w:color="auto" w:fill="auto"/>
            <w:noWrap/>
            <w:vAlign w:val="center"/>
            <w:hideMark/>
          </w:tcPr>
          <w:p w14:paraId="6E863B01"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E9283E2"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r>
    </w:tbl>
    <w:p w14:paraId="4243ABB8" w14:textId="2E9F4361" w:rsidR="00A90B4B" w:rsidRPr="00D353BC" w:rsidRDefault="00A90B4B" w:rsidP="00A90B4B">
      <w:pPr>
        <w:jc w:val="center"/>
        <w:rPr>
          <w:szCs w:val="22"/>
          <w:highlight w:val="yellow"/>
        </w:rPr>
      </w:pPr>
    </w:p>
    <w:p w14:paraId="12F0301E" w14:textId="1E93A1DA" w:rsidR="003E0530" w:rsidRPr="00D353BC" w:rsidRDefault="00D01C60" w:rsidP="003E0530">
      <w:pPr>
        <w:rPr>
          <w:szCs w:val="22"/>
        </w:rPr>
      </w:pPr>
      <w:r w:rsidRPr="00D353BC">
        <w:rPr>
          <w:szCs w:val="22"/>
        </w:rPr>
        <w:t xml:space="preserve">Table </w:t>
      </w:r>
      <w:r w:rsidR="00DC6341">
        <w:rPr>
          <w:szCs w:val="22"/>
        </w:rPr>
        <w:t>3</w:t>
      </w:r>
      <w:r w:rsidRPr="00D353BC">
        <w:rPr>
          <w:szCs w:val="22"/>
        </w:rPr>
        <w:t xml:space="preserve"> shows the performance comparison of </w:t>
      </w:r>
      <w:r w:rsidR="000C7F40" w:rsidRPr="00D353BC">
        <w:rPr>
          <w:szCs w:val="22"/>
        </w:rPr>
        <w:t xml:space="preserve">the new </w:t>
      </w:r>
      <w:r w:rsidRPr="00D353BC">
        <w:rPr>
          <w:szCs w:val="22"/>
        </w:rPr>
        <w:t xml:space="preserve">GDR over </w:t>
      </w:r>
      <w:r w:rsidR="000C7F40" w:rsidRPr="00D353BC">
        <w:rPr>
          <w:szCs w:val="22"/>
        </w:rPr>
        <w:t xml:space="preserve">the </w:t>
      </w:r>
      <w:r w:rsidRPr="00D353BC">
        <w:rPr>
          <w:szCs w:val="22"/>
        </w:rPr>
        <w:t>anchor</w:t>
      </w:r>
      <w:r w:rsidR="00327785">
        <w:rPr>
          <w:szCs w:val="22"/>
        </w:rPr>
        <w:t>, where ECM new coding tools, except new loop-filter coding tools, are on for both anchor and new GDR</w:t>
      </w:r>
      <w:r w:rsidRPr="00D353BC">
        <w:rPr>
          <w:szCs w:val="22"/>
        </w:rPr>
        <w:t xml:space="preserve">. </w:t>
      </w:r>
      <w:r w:rsidR="000C7F40" w:rsidRPr="00CC1714">
        <w:rPr>
          <w:szCs w:val="22"/>
        </w:rPr>
        <w:t>The overall performance loss of the new GDR against the anchor is xx.%.</w:t>
      </w:r>
      <w:r w:rsidR="000C7F40" w:rsidRPr="00D353BC">
        <w:rPr>
          <w:szCs w:val="22"/>
        </w:rPr>
        <w:t xml:space="preserve"> </w:t>
      </w:r>
      <w:r w:rsidR="003E0530" w:rsidRPr="00D353BC">
        <w:rPr>
          <w:szCs w:val="22"/>
        </w:rPr>
        <w:t xml:space="preserve">Note that a loss for GDR should be expected because CUs in clean area </w:t>
      </w:r>
      <w:r w:rsidR="000C7F40" w:rsidRPr="00D353BC">
        <w:rPr>
          <w:szCs w:val="22"/>
        </w:rPr>
        <w:t>do not</w:t>
      </w:r>
      <w:r w:rsidR="003E0530" w:rsidRPr="00D353BC">
        <w:rPr>
          <w:szCs w:val="22"/>
        </w:rPr>
        <w:t xml:space="preserve"> use any coding information from dirty areas.</w:t>
      </w:r>
    </w:p>
    <w:p w14:paraId="391F9114" w14:textId="2372B9AE" w:rsidR="00A90B4B" w:rsidRPr="00D264C7" w:rsidRDefault="00A90B4B" w:rsidP="00A90B4B">
      <w:pPr>
        <w:rPr>
          <w:szCs w:val="22"/>
          <w:highlight w:val="yellow"/>
        </w:rPr>
      </w:pPr>
    </w:p>
    <w:p w14:paraId="0B0D80F0" w14:textId="79E9CBA4" w:rsidR="00A90B4B" w:rsidRPr="00D353BC" w:rsidRDefault="00A90B4B" w:rsidP="00A90B4B">
      <w:pPr>
        <w:jc w:val="center"/>
        <w:rPr>
          <w:szCs w:val="22"/>
        </w:rPr>
      </w:pPr>
      <w:r w:rsidRPr="00D353BC">
        <w:rPr>
          <w:szCs w:val="22"/>
        </w:rPr>
        <w:t xml:space="preserve">Table </w:t>
      </w:r>
      <w:r w:rsidR="00DC6341">
        <w:rPr>
          <w:szCs w:val="22"/>
        </w:rPr>
        <w:t>3</w:t>
      </w:r>
      <w:r w:rsidRPr="00D353BC">
        <w:rPr>
          <w:szCs w:val="22"/>
        </w:rPr>
        <w:t xml:space="preserve">. Simulation Results of </w:t>
      </w:r>
      <w:r w:rsidR="00D01C60" w:rsidRPr="00D353BC">
        <w:rPr>
          <w:szCs w:val="22"/>
        </w:rPr>
        <w:t>new GDR over anchor</w:t>
      </w:r>
      <w:r w:rsidR="00EE6F48">
        <w:rPr>
          <w:szCs w:val="22"/>
        </w:rPr>
        <w:t xml:space="preserve"> (Test 2)</w:t>
      </w:r>
    </w:p>
    <w:tbl>
      <w:tblPr>
        <w:tblW w:w="6940" w:type="dxa"/>
        <w:tblInd w:w="1206" w:type="dxa"/>
        <w:tblLook w:val="04A0" w:firstRow="1" w:lastRow="0" w:firstColumn="1" w:lastColumn="0" w:noHBand="0" w:noVBand="1"/>
      </w:tblPr>
      <w:tblGrid>
        <w:gridCol w:w="1640"/>
        <w:gridCol w:w="1144"/>
        <w:gridCol w:w="1143"/>
        <w:gridCol w:w="1143"/>
        <w:gridCol w:w="935"/>
        <w:gridCol w:w="935"/>
      </w:tblGrid>
      <w:tr w:rsidR="00E61E3B" w:rsidRPr="00E61E3B" w14:paraId="66A33C78" w14:textId="77777777" w:rsidTr="007E4064">
        <w:trPr>
          <w:trHeight w:val="255"/>
        </w:trPr>
        <w:tc>
          <w:tcPr>
            <w:tcW w:w="1640" w:type="dxa"/>
            <w:tcBorders>
              <w:top w:val="nil"/>
              <w:left w:val="nil"/>
              <w:bottom w:val="nil"/>
              <w:right w:val="nil"/>
            </w:tcBorders>
            <w:shd w:val="clear" w:color="auto" w:fill="auto"/>
            <w:noWrap/>
            <w:vAlign w:val="center"/>
            <w:hideMark/>
          </w:tcPr>
          <w:p w14:paraId="7747D8A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F1347"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 xml:space="preserve">Low delay P Main10 </w:t>
            </w:r>
          </w:p>
        </w:tc>
      </w:tr>
      <w:tr w:rsidR="00E61E3B" w:rsidRPr="00E61E3B" w14:paraId="1FBAD615" w14:textId="77777777" w:rsidTr="007E4064">
        <w:trPr>
          <w:trHeight w:val="255"/>
        </w:trPr>
        <w:tc>
          <w:tcPr>
            <w:tcW w:w="1640" w:type="dxa"/>
            <w:tcBorders>
              <w:top w:val="nil"/>
              <w:left w:val="nil"/>
              <w:bottom w:val="nil"/>
              <w:right w:val="nil"/>
            </w:tcBorders>
            <w:shd w:val="clear" w:color="auto" w:fill="auto"/>
            <w:noWrap/>
            <w:vAlign w:val="center"/>
            <w:hideMark/>
          </w:tcPr>
          <w:p w14:paraId="1F53B1D8"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DA74A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Over Anchor (ECM 3.0) on Linux</w:t>
            </w:r>
          </w:p>
        </w:tc>
      </w:tr>
      <w:tr w:rsidR="00E61E3B" w:rsidRPr="00E61E3B" w14:paraId="08DAFC25" w14:textId="77777777" w:rsidTr="007E4064">
        <w:trPr>
          <w:trHeight w:val="255"/>
        </w:trPr>
        <w:tc>
          <w:tcPr>
            <w:tcW w:w="1640" w:type="dxa"/>
            <w:tcBorders>
              <w:top w:val="nil"/>
              <w:left w:val="nil"/>
              <w:bottom w:val="nil"/>
              <w:right w:val="nil"/>
            </w:tcBorders>
            <w:shd w:val="clear" w:color="auto" w:fill="auto"/>
            <w:noWrap/>
            <w:vAlign w:val="center"/>
            <w:hideMark/>
          </w:tcPr>
          <w:p w14:paraId="5DB3B72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52870121"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Y</w:t>
            </w:r>
          </w:p>
        </w:tc>
        <w:tc>
          <w:tcPr>
            <w:tcW w:w="1143" w:type="dxa"/>
            <w:tcBorders>
              <w:top w:val="nil"/>
              <w:left w:val="nil"/>
              <w:bottom w:val="single" w:sz="8" w:space="0" w:color="auto"/>
              <w:right w:val="nil"/>
            </w:tcBorders>
            <w:shd w:val="clear" w:color="auto" w:fill="auto"/>
            <w:noWrap/>
            <w:vAlign w:val="center"/>
            <w:hideMark/>
          </w:tcPr>
          <w:p w14:paraId="20432947"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B935DE9"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w:t>
            </w:r>
          </w:p>
        </w:tc>
        <w:tc>
          <w:tcPr>
            <w:tcW w:w="935" w:type="dxa"/>
            <w:tcBorders>
              <w:top w:val="nil"/>
              <w:left w:val="nil"/>
              <w:bottom w:val="single" w:sz="8" w:space="0" w:color="auto"/>
              <w:right w:val="nil"/>
            </w:tcBorders>
            <w:shd w:val="clear" w:color="auto" w:fill="auto"/>
            <w:noWrap/>
            <w:vAlign w:val="center"/>
            <w:hideMark/>
          </w:tcPr>
          <w:p w14:paraId="6F869AAB"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9E888F6"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DecT</w:t>
            </w:r>
          </w:p>
        </w:tc>
      </w:tr>
      <w:tr w:rsidR="00E61E3B" w:rsidRPr="00E61E3B" w14:paraId="1162F7BF" w14:textId="77777777" w:rsidTr="007E40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07C273"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A1</w:t>
            </w:r>
          </w:p>
        </w:tc>
        <w:tc>
          <w:tcPr>
            <w:tcW w:w="1144" w:type="dxa"/>
            <w:tcBorders>
              <w:top w:val="nil"/>
              <w:left w:val="nil"/>
              <w:bottom w:val="nil"/>
              <w:right w:val="nil"/>
            </w:tcBorders>
            <w:shd w:val="clear" w:color="auto" w:fill="auto"/>
            <w:noWrap/>
            <w:vAlign w:val="center"/>
            <w:hideMark/>
          </w:tcPr>
          <w:p w14:paraId="48BB99A8"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nil"/>
            </w:tcBorders>
            <w:shd w:val="clear" w:color="auto" w:fill="auto"/>
            <w:noWrap/>
            <w:vAlign w:val="center"/>
            <w:hideMark/>
          </w:tcPr>
          <w:p w14:paraId="6002A0B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single" w:sz="4" w:space="0" w:color="auto"/>
            </w:tcBorders>
            <w:shd w:val="clear" w:color="auto" w:fill="auto"/>
            <w:noWrap/>
            <w:vAlign w:val="center"/>
            <w:hideMark/>
          </w:tcPr>
          <w:p w14:paraId="5FDD6347"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nil"/>
            </w:tcBorders>
            <w:shd w:val="clear" w:color="auto" w:fill="auto"/>
            <w:noWrap/>
            <w:vAlign w:val="center"/>
            <w:hideMark/>
          </w:tcPr>
          <w:p w14:paraId="4B3674DB"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single" w:sz="8" w:space="0" w:color="auto"/>
            </w:tcBorders>
            <w:shd w:val="clear" w:color="auto" w:fill="auto"/>
            <w:noWrap/>
            <w:vAlign w:val="center"/>
            <w:hideMark/>
          </w:tcPr>
          <w:p w14:paraId="032DDC2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r>
      <w:tr w:rsidR="00E61E3B" w:rsidRPr="00E61E3B" w14:paraId="09A1198F"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C70361"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A2</w:t>
            </w:r>
          </w:p>
        </w:tc>
        <w:tc>
          <w:tcPr>
            <w:tcW w:w="1144" w:type="dxa"/>
            <w:tcBorders>
              <w:top w:val="nil"/>
              <w:left w:val="nil"/>
              <w:bottom w:val="nil"/>
              <w:right w:val="nil"/>
            </w:tcBorders>
            <w:shd w:val="clear" w:color="auto" w:fill="auto"/>
            <w:noWrap/>
            <w:vAlign w:val="center"/>
            <w:hideMark/>
          </w:tcPr>
          <w:p w14:paraId="19D95211"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1143" w:type="dxa"/>
            <w:tcBorders>
              <w:top w:val="nil"/>
              <w:left w:val="nil"/>
              <w:bottom w:val="nil"/>
              <w:right w:val="nil"/>
            </w:tcBorders>
            <w:shd w:val="clear" w:color="auto" w:fill="auto"/>
            <w:noWrap/>
            <w:vAlign w:val="center"/>
            <w:hideMark/>
          </w:tcPr>
          <w:p w14:paraId="412E27FF"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3" w:type="dxa"/>
            <w:tcBorders>
              <w:top w:val="nil"/>
              <w:left w:val="nil"/>
              <w:bottom w:val="nil"/>
              <w:right w:val="single" w:sz="4" w:space="0" w:color="auto"/>
            </w:tcBorders>
            <w:shd w:val="clear" w:color="auto" w:fill="auto"/>
            <w:noWrap/>
            <w:vAlign w:val="center"/>
            <w:hideMark/>
          </w:tcPr>
          <w:p w14:paraId="22C148F7"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nil"/>
            </w:tcBorders>
            <w:shd w:val="clear" w:color="auto" w:fill="auto"/>
            <w:noWrap/>
            <w:vAlign w:val="center"/>
            <w:hideMark/>
          </w:tcPr>
          <w:p w14:paraId="6C18F1B6"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c>
          <w:tcPr>
            <w:tcW w:w="935" w:type="dxa"/>
            <w:tcBorders>
              <w:top w:val="nil"/>
              <w:left w:val="nil"/>
              <w:bottom w:val="nil"/>
              <w:right w:val="single" w:sz="8" w:space="0" w:color="auto"/>
            </w:tcBorders>
            <w:shd w:val="clear" w:color="auto" w:fill="auto"/>
            <w:noWrap/>
            <w:vAlign w:val="center"/>
            <w:hideMark/>
          </w:tcPr>
          <w:p w14:paraId="13FDC5F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 </w:t>
            </w:r>
          </w:p>
        </w:tc>
      </w:tr>
      <w:tr w:rsidR="00E61E3B" w:rsidRPr="00E61E3B" w14:paraId="6AF3BFE7"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5E4198"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B</w:t>
            </w:r>
          </w:p>
        </w:tc>
        <w:tc>
          <w:tcPr>
            <w:tcW w:w="1144" w:type="dxa"/>
            <w:tcBorders>
              <w:top w:val="nil"/>
              <w:left w:val="nil"/>
              <w:bottom w:val="nil"/>
              <w:right w:val="nil"/>
            </w:tcBorders>
            <w:shd w:val="clear" w:color="auto" w:fill="auto"/>
            <w:noWrap/>
            <w:vAlign w:val="center"/>
            <w:hideMark/>
          </w:tcPr>
          <w:p w14:paraId="2F07120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nil"/>
              <w:left w:val="nil"/>
              <w:bottom w:val="nil"/>
              <w:right w:val="nil"/>
            </w:tcBorders>
            <w:shd w:val="clear" w:color="auto" w:fill="auto"/>
            <w:noWrap/>
            <w:vAlign w:val="center"/>
            <w:hideMark/>
          </w:tcPr>
          <w:p w14:paraId="3D4A632A"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nil"/>
              <w:left w:val="nil"/>
              <w:bottom w:val="nil"/>
              <w:right w:val="single" w:sz="4" w:space="0" w:color="auto"/>
            </w:tcBorders>
            <w:shd w:val="clear" w:color="auto" w:fill="auto"/>
            <w:noWrap/>
            <w:vAlign w:val="center"/>
            <w:hideMark/>
          </w:tcPr>
          <w:p w14:paraId="69CB21F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935" w:type="dxa"/>
            <w:tcBorders>
              <w:top w:val="nil"/>
              <w:left w:val="nil"/>
              <w:bottom w:val="nil"/>
              <w:right w:val="nil"/>
            </w:tcBorders>
            <w:shd w:val="clear" w:color="auto" w:fill="auto"/>
            <w:noWrap/>
            <w:vAlign w:val="center"/>
            <w:hideMark/>
          </w:tcPr>
          <w:p w14:paraId="30E1F2AB"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c>
          <w:tcPr>
            <w:tcW w:w="935" w:type="dxa"/>
            <w:tcBorders>
              <w:top w:val="nil"/>
              <w:left w:val="nil"/>
              <w:bottom w:val="nil"/>
              <w:right w:val="single" w:sz="8" w:space="0" w:color="auto"/>
            </w:tcBorders>
            <w:shd w:val="clear" w:color="auto" w:fill="auto"/>
            <w:noWrap/>
            <w:vAlign w:val="center"/>
            <w:hideMark/>
          </w:tcPr>
          <w:p w14:paraId="672754F9"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r>
      <w:tr w:rsidR="00E61E3B" w:rsidRPr="00E61E3B" w14:paraId="5480ED7A"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5ECE4"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C</w:t>
            </w:r>
          </w:p>
        </w:tc>
        <w:tc>
          <w:tcPr>
            <w:tcW w:w="1144" w:type="dxa"/>
            <w:tcBorders>
              <w:top w:val="nil"/>
              <w:left w:val="nil"/>
              <w:bottom w:val="nil"/>
              <w:right w:val="nil"/>
            </w:tcBorders>
            <w:shd w:val="clear" w:color="auto" w:fill="auto"/>
            <w:noWrap/>
            <w:vAlign w:val="center"/>
            <w:hideMark/>
          </w:tcPr>
          <w:p w14:paraId="782DB6E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1.50%</w:t>
            </w:r>
          </w:p>
        </w:tc>
        <w:tc>
          <w:tcPr>
            <w:tcW w:w="1143" w:type="dxa"/>
            <w:tcBorders>
              <w:top w:val="nil"/>
              <w:left w:val="nil"/>
              <w:bottom w:val="nil"/>
              <w:right w:val="nil"/>
            </w:tcBorders>
            <w:shd w:val="clear" w:color="auto" w:fill="auto"/>
            <w:noWrap/>
            <w:vAlign w:val="center"/>
            <w:hideMark/>
          </w:tcPr>
          <w:p w14:paraId="0CCF829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61E3B">
              <w:rPr>
                <w:rFonts w:ascii="Arial" w:hAnsi="Arial" w:cs="Arial"/>
                <w:sz w:val="18"/>
                <w:szCs w:val="18"/>
                <w:lang w:eastAsia="ko-KR"/>
              </w:rPr>
              <w:t>3.56%</w:t>
            </w:r>
          </w:p>
        </w:tc>
        <w:tc>
          <w:tcPr>
            <w:tcW w:w="1143" w:type="dxa"/>
            <w:tcBorders>
              <w:top w:val="nil"/>
              <w:left w:val="nil"/>
              <w:bottom w:val="nil"/>
              <w:right w:val="single" w:sz="4" w:space="0" w:color="auto"/>
            </w:tcBorders>
            <w:shd w:val="clear" w:color="auto" w:fill="auto"/>
            <w:noWrap/>
            <w:vAlign w:val="center"/>
            <w:hideMark/>
          </w:tcPr>
          <w:p w14:paraId="0FD24C5A"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61E3B">
              <w:rPr>
                <w:rFonts w:ascii="Arial" w:hAnsi="Arial" w:cs="Arial"/>
                <w:sz w:val="18"/>
                <w:szCs w:val="18"/>
                <w:lang w:eastAsia="ko-KR"/>
              </w:rPr>
              <w:t>4.34%</w:t>
            </w:r>
          </w:p>
        </w:tc>
        <w:tc>
          <w:tcPr>
            <w:tcW w:w="935" w:type="dxa"/>
            <w:tcBorders>
              <w:top w:val="nil"/>
              <w:left w:val="nil"/>
              <w:bottom w:val="nil"/>
              <w:right w:val="nil"/>
            </w:tcBorders>
            <w:shd w:val="clear" w:color="auto" w:fill="auto"/>
            <w:noWrap/>
            <w:vAlign w:val="center"/>
            <w:hideMark/>
          </w:tcPr>
          <w:p w14:paraId="11C7DC95"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103%</w:t>
            </w:r>
          </w:p>
        </w:tc>
        <w:tc>
          <w:tcPr>
            <w:tcW w:w="935" w:type="dxa"/>
            <w:tcBorders>
              <w:top w:val="nil"/>
              <w:left w:val="nil"/>
              <w:bottom w:val="nil"/>
              <w:right w:val="single" w:sz="8" w:space="0" w:color="auto"/>
            </w:tcBorders>
            <w:shd w:val="clear" w:color="auto" w:fill="auto"/>
            <w:noWrap/>
            <w:vAlign w:val="center"/>
            <w:hideMark/>
          </w:tcPr>
          <w:p w14:paraId="3B660956"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110%</w:t>
            </w:r>
          </w:p>
        </w:tc>
      </w:tr>
      <w:tr w:rsidR="00E61E3B" w:rsidRPr="00E61E3B" w14:paraId="5CA77B1B" w14:textId="77777777" w:rsidTr="007E40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334D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E</w:t>
            </w:r>
          </w:p>
        </w:tc>
        <w:tc>
          <w:tcPr>
            <w:tcW w:w="1144" w:type="dxa"/>
            <w:tcBorders>
              <w:top w:val="nil"/>
              <w:left w:val="single" w:sz="8" w:space="0" w:color="auto"/>
              <w:bottom w:val="nil"/>
              <w:right w:val="nil"/>
            </w:tcBorders>
            <w:shd w:val="clear" w:color="auto" w:fill="auto"/>
            <w:noWrap/>
            <w:vAlign w:val="center"/>
            <w:hideMark/>
          </w:tcPr>
          <w:p w14:paraId="6EAFF06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61E3B">
              <w:rPr>
                <w:rFonts w:ascii="Arial" w:hAnsi="Arial" w:cs="Arial"/>
                <w:sz w:val="18"/>
                <w:szCs w:val="18"/>
                <w:lang w:eastAsia="ko-KR"/>
              </w:rPr>
              <w:t>6.35%</w:t>
            </w:r>
          </w:p>
        </w:tc>
        <w:tc>
          <w:tcPr>
            <w:tcW w:w="1143" w:type="dxa"/>
            <w:tcBorders>
              <w:top w:val="nil"/>
              <w:left w:val="nil"/>
              <w:bottom w:val="nil"/>
              <w:right w:val="nil"/>
            </w:tcBorders>
            <w:shd w:val="clear" w:color="auto" w:fill="auto"/>
            <w:noWrap/>
            <w:vAlign w:val="center"/>
            <w:hideMark/>
          </w:tcPr>
          <w:p w14:paraId="6EA78666"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61E3B">
              <w:rPr>
                <w:rFonts w:ascii="Arial" w:hAnsi="Arial" w:cs="Arial"/>
                <w:sz w:val="18"/>
                <w:szCs w:val="18"/>
                <w:lang w:eastAsia="ko-KR"/>
              </w:rPr>
              <w:t>13.18%</w:t>
            </w:r>
          </w:p>
        </w:tc>
        <w:tc>
          <w:tcPr>
            <w:tcW w:w="1143" w:type="dxa"/>
            <w:tcBorders>
              <w:top w:val="nil"/>
              <w:left w:val="nil"/>
              <w:bottom w:val="nil"/>
              <w:right w:val="single" w:sz="4" w:space="0" w:color="auto"/>
            </w:tcBorders>
            <w:shd w:val="clear" w:color="auto" w:fill="auto"/>
            <w:noWrap/>
            <w:vAlign w:val="center"/>
            <w:hideMark/>
          </w:tcPr>
          <w:p w14:paraId="2BDBDA3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61E3B">
              <w:rPr>
                <w:rFonts w:ascii="Arial" w:hAnsi="Arial" w:cs="Arial"/>
                <w:sz w:val="18"/>
                <w:szCs w:val="18"/>
                <w:lang w:eastAsia="ko-KR"/>
              </w:rPr>
              <w:t>14.18%</w:t>
            </w:r>
          </w:p>
        </w:tc>
        <w:tc>
          <w:tcPr>
            <w:tcW w:w="935" w:type="dxa"/>
            <w:tcBorders>
              <w:top w:val="nil"/>
              <w:left w:val="nil"/>
              <w:bottom w:val="nil"/>
              <w:right w:val="nil"/>
            </w:tcBorders>
            <w:shd w:val="clear" w:color="auto" w:fill="auto"/>
            <w:noWrap/>
            <w:vAlign w:val="center"/>
            <w:hideMark/>
          </w:tcPr>
          <w:p w14:paraId="2C4E22E7"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101%</w:t>
            </w:r>
          </w:p>
        </w:tc>
        <w:tc>
          <w:tcPr>
            <w:tcW w:w="935" w:type="dxa"/>
            <w:tcBorders>
              <w:top w:val="nil"/>
              <w:left w:val="nil"/>
              <w:bottom w:val="nil"/>
              <w:right w:val="single" w:sz="8" w:space="0" w:color="auto"/>
            </w:tcBorders>
            <w:shd w:val="clear" w:color="auto" w:fill="auto"/>
            <w:noWrap/>
            <w:vAlign w:val="center"/>
            <w:hideMark/>
          </w:tcPr>
          <w:p w14:paraId="4C9DCBF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113%</w:t>
            </w:r>
          </w:p>
        </w:tc>
      </w:tr>
      <w:tr w:rsidR="00E61E3B" w:rsidRPr="00E61E3B" w14:paraId="4B0EAAE4" w14:textId="77777777" w:rsidTr="007E40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2A9E9E"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61E3B">
              <w:rPr>
                <w:rFonts w:ascii="Arial" w:hAnsi="Arial" w:cs="Arial"/>
                <w:b/>
                <w:bCs/>
                <w:color w:val="000000"/>
                <w:sz w:val="18"/>
                <w:szCs w:val="18"/>
                <w:lang w:eastAsia="ko-KR"/>
              </w:rPr>
              <w:t>Overall</w:t>
            </w:r>
          </w:p>
        </w:tc>
        <w:tc>
          <w:tcPr>
            <w:tcW w:w="1144" w:type="dxa"/>
            <w:tcBorders>
              <w:top w:val="single" w:sz="8" w:space="0" w:color="auto"/>
              <w:left w:val="nil"/>
              <w:bottom w:val="nil"/>
              <w:right w:val="nil"/>
            </w:tcBorders>
            <w:shd w:val="clear" w:color="auto" w:fill="auto"/>
            <w:noWrap/>
            <w:vAlign w:val="center"/>
            <w:hideMark/>
          </w:tcPr>
          <w:p w14:paraId="1E13C4C7"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single" w:sz="8" w:space="0" w:color="auto"/>
              <w:left w:val="nil"/>
              <w:bottom w:val="nil"/>
              <w:right w:val="nil"/>
            </w:tcBorders>
            <w:shd w:val="clear" w:color="auto" w:fill="auto"/>
            <w:noWrap/>
            <w:vAlign w:val="center"/>
            <w:hideMark/>
          </w:tcPr>
          <w:p w14:paraId="7770D4AA"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E9B7DD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935" w:type="dxa"/>
            <w:tcBorders>
              <w:top w:val="single" w:sz="8" w:space="0" w:color="auto"/>
              <w:left w:val="nil"/>
              <w:bottom w:val="nil"/>
              <w:right w:val="nil"/>
            </w:tcBorders>
            <w:shd w:val="clear" w:color="auto" w:fill="auto"/>
            <w:noWrap/>
            <w:vAlign w:val="center"/>
            <w:hideMark/>
          </w:tcPr>
          <w:p w14:paraId="6E36585F"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5E91D1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r>
      <w:tr w:rsidR="00E61E3B" w:rsidRPr="00E61E3B" w14:paraId="1C7F9133" w14:textId="77777777" w:rsidTr="007E406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BEC001"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CD88B4E"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2.08%</w:t>
            </w:r>
          </w:p>
        </w:tc>
        <w:tc>
          <w:tcPr>
            <w:tcW w:w="1143" w:type="dxa"/>
            <w:tcBorders>
              <w:top w:val="single" w:sz="8" w:space="0" w:color="auto"/>
              <w:left w:val="nil"/>
              <w:bottom w:val="nil"/>
              <w:right w:val="nil"/>
            </w:tcBorders>
            <w:shd w:val="clear" w:color="auto" w:fill="auto"/>
            <w:noWrap/>
            <w:vAlign w:val="center"/>
            <w:hideMark/>
          </w:tcPr>
          <w:p w14:paraId="6A64F7D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61E3B">
              <w:rPr>
                <w:rFonts w:ascii="Arial" w:hAnsi="Arial" w:cs="Arial"/>
                <w:sz w:val="18"/>
                <w:szCs w:val="18"/>
                <w:lang w:eastAsia="ko-KR"/>
              </w:rPr>
              <w:t>6.28%</w:t>
            </w:r>
          </w:p>
        </w:tc>
        <w:tc>
          <w:tcPr>
            <w:tcW w:w="1143" w:type="dxa"/>
            <w:tcBorders>
              <w:top w:val="single" w:sz="8" w:space="0" w:color="auto"/>
              <w:left w:val="nil"/>
              <w:bottom w:val="nil"/>
              <w:right w:val="single" w:sz="4" w:space="0" w:color="auto"/>
            </w:tcBorders>
            <w:shd w:val="clear" w:color="auto" w:fill="auto"/>
            <w:noWrap/>
            <w:vAlign w:val="center"/>
            <w:hideMark/>
          </w:tcPr>
          <w:p w14:paraId="3E85D2E5"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sidRPr="00E61E3B">
              <w:rPr>
                <w:rFonts w:ascii="Arial" w:hAnsi="Arial" w:cs="Arial"/>
                <w:sz w:val="18"/>
                <w:szCs w:val="18"/>
                <w:lang w:eastAsia="ko-KR"/>
              </w:rPr>
              <w:t>5.70%</w:t>
            </w:r>
          </w:p>
        </w:tc>
        <w:tc>
          <w:tcPr>
            <w:tcW w:w="935" w:type="dxa"/>
            <w:tcBorders>
              <w:top w:val="single" w:sz="8" w:space="0" w:color="auto"/>
              <w:left w:val="nil"/>
              <w:bottom w:val="nil"/>
              <w:right w:val="nil"/>
            </w:tcBorders>
            <w:shd w:val="clear" w:color="auto" w:fill="auto"/>
            <w:noWrap/>
            <w:vAlign w:val="center"/>
            <w:hideMark/>
          </w:tcPr>
          <w:p w14:paraId="2EF86D77"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B8C32A5"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113%</w:t>
            </w:r>
          </w:p>
        </w:tc>
      </w:tr>
      <w:tr w:rsidR="00E61E3B" w:rsidRPr="00E61E3B" w14:paraId="128C8D92" w14:textId="77777777" w:rsidTr="007E406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F22046"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7CD19F6"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nil"/>
              <w:left w:val="nil"/>
              <w:bottom w:val="single" w:sz="8" w:space="0" w:color="auto"/>
              <w:right w:val="nil"/>
            </w:tcBorders>
            <w:shd w:val="clear" w:color="auto" w:fill="auto"/>
            <w:noWrap/>
            <w:vAlign w:val="center"/>
            <w:hideMark/>
          </w:tcPr>
          <w:p w14:paraId="5269C7DC"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F25266D"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#VALUE!</w:t>
            </w:r>
          </w:p>
        </w:tc>
        <w:tc>
          <w:tcPr>
            <w:tcW w:w="935" w:type="dxa"/>
            <w:tcBorders>
              <w:top w:val="nil"/>
              <w:left w:val="nil"/>
              <w:bottom w:val="single" w:sz="8" w:space="0" w:color="auto"/>
              <w:right w:val="nil"/>
            </w:tcBorders>
            <w:shd w:val="clear" w:color="auto" w:fill="auto"/>
            <w:noWrap/>
            <w:vAlign w:val="center"/>
            <w:hideMark/>
          </w:tcPr>
          <w:p w14:paraId="0F4005D5"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62C74E0" w14:textId="77777777" w:rsidR="00E61E3B" w:rsidRPr="00E61E3B" w:rsidRDefault="00E61E3B" w:rsidP="00E61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61E3B">
              <w:rPr>
                <w:rFonts w:ascii="Arial" w:hAnsi="Arial" w:cs="Arial"/>
                <w:color w:val="000000"/>
                <w:sz w:val="18"/>
                <w:szCs w:val="18"/>
                <w:lang w:eastAsia="ko-KR"/>
              </w:rPr>
              <w:t>#DIV/0!</w:t>
            </w:r>
          </w:p>
        </w:tc>
      </w:tr>
    </w:tbl>
    <w:p w14:paraId="1B930939" w14:textId="77777777" w:rsidR="00A90B4B" w:rsidRPr="00D264C7" w:rsidRDefault="00A90B4B" w:rsidP="00A90B4B">
      <w:pPr>
        <w:jc w:val="center"/>
        <w:rPr>
          <w:szCs w:val="22"/>
          <w:highlight w:val="yellow"/>
        </w:rPr>
      </w:pPr>
    </w:p>
    <w:p w14:paraId="07052662" w14:textId="77777777" w:rsidR="00D264C7" w:rsidRPr="005A26DB" w:rsidRDefault="00D264C7" w:rsidP="00A90B4B">
      <w:pPr>
        <w:rPr>
          <w:szCs w:val="22"/>
        </w:rPr>
      </w:pPr>
    </w:p>
    <w:p w14:paraId="04A90D28" w14:textId="77777777" w:rsidR="00A90B4B" w:rsidRPr="00067150" w:rsidRDefault="00A90B4B" w:rsidP="00A90B4B">
      <w:pPr>
        <w:pStyle w:val="Heading1"/>
        <w:rPr>
          <w:lang w:val="en-CA"/>
        </w:rPr>
      </w:pPr>
      <w:bookmarkStart w:id="1" w:name="_Hlk92197531"/>
      <w:r w:rsidRPr="00067150">
        <w:rPr>
          <w:lang w:val="en-CA"/>
        </w:rPr>
        <w:lastRenderedPageBreak/>
        <w:t>Conclusions</w:t>
      </w:r>
    </w:p>
    <w:bookmarkEnd w:id="1"/>
    <w:p w14:paraId="646A5846" w14:textId="24907223" w:rsidR="00A90B4B" w:rsidRDefault="00A90B4B" w:rsidP="00A90B4B">
      <w:r w:rsidRPr="00067150">
        <w:t xml:space="preserve">The </w:t>
      </w:r>
      <w:r>
        <w:t>new</w:t>
      </w:r>
      <w:r w:rsidRPr="00067150">
        <w:t xml:space="preserve"> GDR </w:t>
      </w:r>
      <w:r>
        <w:t>implementation is presented. With this new GDR implementation, the constraints imposed on coding tools will no longer be necessary, which helps reduce the code size and future development of ECM</w:t>
      </w:r>
      <w:r w:rsidRPr="00CC1714">
        <w:t xml:space="preserve">. The simulation results demonstrate that the new GDR implementation preforms better than the current </w:t>
      </w:r>
      <w:r w:rsidR="007F502D" w:rsidRPr="00CC1714">
        <w:t>VTM</w:t>
      </w:r>
      <w:r w:rsidR="00E623C8" w:rsidRPr="00CC1714">
        <w:t xml:space="preserve">-like </w:t>
      </w:r>
      <w:r w:rsidRPr="00CC1714">
        <w:t>GDR implementation. I</w:t>
      </w:r>
      <w:r>
        <w:t>t is therefore proposed to include the new GDR implementation in ECM.</w:t>
      </w:r>
    </w:p>
    <w:p w14:paraId="5EC95DBA" w14:textId="77777777" w:rsidR="00A90B4B" w:rsidRPr="00067150" w:rsidRDefault="00A90B4B" w:rsidP="00A90B4B"/>
    <w:p w14:paraId="6E1DA2C7" w14:textId="77777777" w:rsidR="00A90B4B" w:rsidRPr="00067150" w:rsidRDefault="00A90B4B" w:rsidP="00A90B4B">
      <w:pPr>
        <w:pStyle w:val="Heading1"/>
        <w:rPr>
          <w:lang w:val="en-CA"/>
        </w:rPr>
      </w:pPr>
      <w:bookmarkStart w:id="2" w:name="_Hlk92197520"/>
      <w:r w:rsidRPr="00067150">
        <w:rPr>
          <w:lang w:val="en-CA"/>
        </w:rPr>
        <w:t xml:space="preserve">References </w:t>
      </w:r>
    </w:p>
    <w:p w14:paraId="01FA8FF4" w14:textId="0EBBF60B" w:rsidR="00A90B4B" w:rsidRPr="00CC1714" w:rsidRDefault="00A90B4B" w:rsidP="00A90B4B">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val="en-CA"/>
        </w:rPr>
        <w:t>M. Coban, F. L. L</w:t>
      </w:r>
      <w:r w:rsidRPr="00CC1714">
        <w:rPr>
          <w:szCs w:val="22"/>
          <w:lang w:val="fr-FR"/>
        </w:rPr>
        <w:t xml:space="preserve">éannec, and </w:t>
      </w:r>
      <w:r w:rsidRPr="00CC1714">
        <w:rPr>
          <w:szCs w:val="22"/>
          <w:lang w:val="en-CA"/>
        </w:rPr>
        <w:t>J. Ström, “Algorithm description of Enhanced Compression Model 3 (ECM 3)”, JVET-X2025, Oct. 2021.</w:t>
      </w:r>
    </w:p>
    <w:p w14:paraId="5BDAC5DB" w14:textId="432F649E" w:rsidR="00A42D77" w:rsidRPr="00CC1714" w:rsidRDefault="00A42D77" w:rsidP="00A90B4B">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eastAsia="zh-CN"/>
        </w:rPr>
        <w:t>S. Hong, L. Wang, K. Panusopone, “GDR Software”, JVET-U0097, Jan. 2021.</w:t>
      </w:r>
    </w:p>
    <w:p w14:paraId="0471273C" w14:textId="3572F162" w:rsidR="00A90B4B" w:rsidRPr="00CC1714" w:rsidRDefault="00A90B4B" w:rsidP="00A90B4B">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eastAsia="zh-CN"/>
        </w:rPr>
        <w:t xml:space="preserve">G. Martin-Cocher, S. Puri, T. Poirier, K. Naser, J. Xu, D. Nicholson, M. Sychev, L. Wang, S. Liu, W. Yang, J.M. Tiesse, </w:t>
      </w:r>
      <w:r w:rsidR="00A65333" w:rsidRPr="00CC1714">
        <w:rPr>
          <w:szCs w:val="22"/>
          <w:lang w:eastAsia="zh-CN"/>
        </w:rPr>
        <w:t xml:space="preserve">and </w:t>
      </w:r>
      <w:r w:rsidRPr="00CC1714">
        <w:rPr>
          <w:szCs w:val="22"/>
          <w:lang w:eastAsia="zh-CN"/>
        </w:rPr>
        <w:t>M. Karczewicz, “AHG-7, LLCC Scenarios and baseline configurations”, JVTE -Y0043, Jan. 2022.</w:t>
      </w:r>
    </w:p>
    <w:bookmarkEnd w:id="2"/>
    <w:p w14:paraId="633E1297" w14:textId="77777777" w:rsidR="00CC1714" w:rsidRPr="00CC1714" w:rsidRDefault="00CC1714" w:rsidP="00CC1714">
      <w:pPr>
        <w:pStyle w:val="Heading1"/>
        <w:numPr>
          <w:ilvl w:val="0"/>
          <w:numId w:val="0"/>
        </w:numPr>
        <w:ind w:left="360"/>
        <w:rPr>
          <w:sz w:val="22"/>
          <w:szCs w:val="22"/>
          <w:lang w:val="en-CA"/>
        </w:rPr>
      </w:pPr>
    </w:p>
    <w:p w14:paraId="5F0CF8E4" w14:textId="181B1D4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3021E1C" w:rsidR="00342FF4" w:rsidRPr="005B217D" w:rsidRDefault="00A90B4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C6716" w14:textId="77777777" w:rsidR="00DE2699" w:rsidRDefault="00DE2699">
      <w:r>
        <w:separator/>
      </w:r>
    </w:p>
  </w:endnote>
  <w:endnote w:type="continuationSeparator" w:id="0">
    <w:p w14:paraId="06763278" w14:textId="77777777" w:rsidR="00DE2699" w:rsidRDefault="00DE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417A30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61E3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4064">
      <w:rPr>
        <w:rStyle w:val="PageNumber"/>
        <w:noProof/>
      </w:rPr>
      <w:t>2022-01-06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C3E40" w14:textId="77777777" w:rsidR="00DE2699" w:rsidRDefault="00DE2699">
      <w:r>
        <w:separator/>
      </w:r>
    </w:p>
  </w:footnote>
  <w:footnote w:type="continuationSeparator" w:id="0">
    <w:p w14:paraId="658BE455" w14:textId="77777777" w:rsidR="00DE2699" w:rsidRDefault="00DE2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A09C2"/>
    <w:multiLevelType w:val="hybridMultilevel"/>
    <w:tmpl w:val="FA08C3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16F98"/>
    <w:multiLevelType w:val="hybridMultilevel"/>
    <w:tmpl w:val="B3065ED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76769D5"/>
    <w:multiLevelType w:val="hybridMultilevel"/>
    <w:tmpl w:val="7EAE4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11"/>
  </w:num>
  <w:num w:numId="14">
    <w:abstractNumId w:val="16"/>
  </w:num>
  <w:num w:numId="15">
    <w:abstractNumId w:val="7"/>
  </w:num>
  <w:num w:numId="16">
    <w:abstractNumId w:val="2"/>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386"/>
    <w:rsid w:val="000308A3"/>
    <w:rsid w:val="000337E1"/>
    <w:rsid w:val="00036193"/>
    <w:rsid w:val="0004543A"/>
    <w:rsid w:val="000458BC"/>
    <w:rsid w:val="00045C41"/>
    <w:rsid w:val="00046C03"/>
    <w:rsid w:val="00064628"/>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C7F40"/>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3A98"/>
    <w:rsid w:val="001A7329"/>
    <w:rsid w:val="001A792F"/>
    <w:rsid w:val="001B4E28"/>
    <w:rsid w:val="001C3525"/>
    <w:rsid w:val="001C3AFB"/>
    <w:rsid w:val="001C5153"/>
    <w:rsid w:val="001D07F0"/>
    <w:rsid w:val="001D1BD2"/>
    <w:rsid w:val="001E0248"/>
    <w:rsid w:val="001E02BE"/>
    <w:rsid w:val="001E3B37"/>
    <w:rsid w:val="001E6D72"/>
    <w:rsid w:val="001F2594"/>
    <w:rsid w:val="001F6A5E"/>
    <w:rsid w:val="002055A6"/>
    <w:rsid w:val="00206460"/>
    <w:rsid w:val="002069B4"/>
    <w:rsid w:val="00215DFC"/>
    <w:rsid w:val="002212DF"/>
    <w:rsid w:val="00222CD4"/>
    <w:rsid w:val="00225016"/>
    <w:rsid w:val="002253CA"/>
    <w:rsid w:val="002264A6"/>
    <w:rsid w:val="00227BA7"/>
    <w:rsid w:val="0023011C"/>
    <w:rsid w:val="00233C59"/>
    <w:rsid w:val="002375C1"/>
    <w:rsid w:val="00242079"/>
    <w:rsid w:val="002463AF"/>
    <w:rsid w:val="00247E1E"/>
    <w:rsid w:val="00263398"/>
    <w:rsid w:val="00263B99"/>
    <w:rsid w:val="002647D8"/>
    <w:rsid w:val="00266F06"/>
    <w:rsid w:val="002744B1"/>
    <w:rsid w:val="00275BCF"/>
    <w:rsid w:val="00280613"/>
    <w:rsid w:val="00291E36"/>
    <w:rsid w:val="00292257"/>
    <w:rsid w:val="0029716E"/>
    <w:rsid w:val="002A54E0"/>
    <w:rsid w:val="002A75B6"/>
    <w:rsid w:val="002B1595"/>
    <w:rsid w:val="002B191D"/>
    <w:rsid w:val="002B2E83"/>
    <w:rsid w:val="002B6BE9"/>
    <w:rsid w:val="002C495F"/>
    <w:rsid w:val="002D0AF6"/>
    <w:rsid w:val="002E25E1"/>
    <w:rsid w:val="002F164D"/>
    <w:rsid w:val="003021BC"/>
    <w:rsid w:val="00306206"/>
    <w:rsid w:val="00317D85"/>
    <w:rsid w:val="00327785"/>
    <w:rsid w:val="00327C56"/>
    <w:rsid w:val="003315A1"/>
    <w:rsid w:val="003373EC"/>
    <w:rsid w:val="00342FF4"/>
    <w:rsid w:val="00344E5A"/>
    <w:rsid w:val="00346148"/>
    <w:rsid w:val="003669EA"/>
    <w:rsid w:val="003706CC"/>
    <w:rsid w:val="00377710"/>
    <w:rsid w:val="003A2D8E"/>
    <w:rsid w:val="003A40A7"/>
    <w:rsid w:val="003A7CE6"/>
    <w:rsid w:val="003C20E4"/>
    <w:rsid w:val="003D6342"/>
    <w:rsid w:val="003E0530"/>
    <w:rsid w:val="003E6992"/>
    <w:rsid w:val="003E6F90"/>
    <w:rsid w:val="003E73ED"/>
    <w:rsid w:val="003F5D0F"/>
    <w:rsid w:val="00414101"/>
    <w:rsid w:val="0042165F"/>
    <w:rsid w:val="004219CF"/>
    <w:rsid w:val="004234F0"/>
    <w:rsid w:val="00427EEC"/>
    <w:rsid w:val="00433DDB"/>
    <w:rsid w:val="00435A29"/>
    <w:rsid w:val="00437619"/>
    <w:rsid w:val="00446F6F"/>
    <w:rsid w:val="00465A1E"/>
    <w:rsid w:val="004867B1"/>
    <w:rsid w:val="00493E67"/>
    <w:rsid w:val="0049445A"/>
    <w:rsid w:val="004957D9"/>
    <w:rsid w:val="004A2A63"/>
    <w:rsid w:val="004B210C"/>
    <w:rsid w:val="004B6170"/>
    <w:rsid w:val="004D405F"/>
    <w:rsid w:val="004E4F4F"/>
    <w:rsid w:val="004E6789"/>
    <w:rsid w:val="004F61E3"/>
    <w:rsid w:val="00502E10"/>
    <w:rsid w:val="0050354E"/>
    <w:rsid w:val="0051015C"/>
    <w:rsid w:val="00510DA0"/>
    <w:rsid w:val="00516CF1"/>
    <w:rsid w:val="00517F66"/>
    <w:rsid w:val="00531AE9"/>
    <w:rsid w:val="00536188"/>
    <w:rsid w:val="00550A66"/>
    <w:rsid w:val="0056677C"/>
    <w:rsid w:val="00567EC7"/>
    <w:rsid w:val="00570013"/>
    <w:rsid w:val="0057202E"/>
    <w:rsid w:val="00574032"/>
    <w:rsid w:val="005753EC"/>
    <w:rsid w:val="005801A2"/>
    <w:rsid w:val="00581F90"/>
    <w:rsid w:val="00594694"/>
    <w:rsid w:val="005952A5"/>
    <w:rsid w:val="005A33A1"/>
    <w:rsid w:val="005B217D"/>
    <w:rsid w:val="005C385F"/>
    <w:rsid w:val="005C7C26"/>
    <w:rsid w:val="005D3747"/>
    <w:rsid w:val="005E0AAB"/>
    <w:rsid w:val="005E1AC6"/>
    <w:rsid w:val="005E2E27"/>
    <w:rsid w:val="005E3F2B"/>
    <w:rsid w:val="005F6F1B"/>
    <w:rsid w:val="00603619"/>
    <w:rsid w:val="00615995"/>
    <w:rsid w:val="00616155"/>
    <w:rsid w:val="00624B33"/>
    <w:rsid w:val="0063041A"/>
    <w:rsid w:val="00630AA2"/>
    <w:rsid w:val="00631D8B"/>
    <w:rsid w:val="00646707"/>
    <w:rsid w:val="00657F7E"/>
    <w:rsid w:val="00662E58"/>
    <w:rsid w:val="006637F2"/>
    <w:rsid w:val="006642A5"/>
    <w:rsid w:val="00664DCF"/>
    <w:rsid w:val="00665ADA"/>
    <w:rsid w:val="006A0E5C"/>
    <w:rsid w:val="006A246D"/>
    <w:rsid w:val="006A48E6"/>
    <w:rsid w:val="006C5D39"/>
    <w:rsid w:val="006D6D9B"/>
    <w:rsid w:val="006E2810"/>
    <w:rsid w:val="006E5417"/>
    <w:rsid w:val="006F0794"/>
    <w:rsid w:val="006F7528"/>
    <w:rsid w:val="007023DE"/>
    <w:rsid w:val="00705858"/>
    <w:rsid w:val="00712F60"/>
    <w:rsid w:val="00720E3B"/>
    <w:rsid w:val="0074393F"/>
    <w:rsid w:val="00745F6B"/>
    <w:rsid w:val="007500AD"/>
    <w:rsid w:val="0075175B"/>
    <w:rsid w:val="0075585E"/>
    <w:rsid w:val="00770571"/>
    <w:rsid w:val="007768FF"/>
    <w:rsid w:val="00781B6C"/>
    <w:rsid w:val="007824D3"/>
    <w:rsid w:val="0079090E"/>
    <w:rsid w:val="00796EE3"/>
    <w:rsid w:val="007A65AC"/>
    <w:rsid w:val="007A6F5D"/>
    <w:rsid w:val="007A7D29"/>
    <w:rsid w:val="007B4AB8"/>
    <w:rsid w:val="007B4FF6"/>
    <w:rsid w:val="007C081C"/>
    <w:rsid w:val="007D1181"/>
    <w:rsid w:val="007E01A3"/>
    <w:rsid w:val="007E4064"/>
    <w:rsid w:val="007F1F8B"/>
    <w:rsid w:val="007F502D"/>
    <w:rsid w:val="007F6205"/>
    <w:rsid w:val="007F67A1"/>
    <w:rsid w:val="007F6B95"/>
    <w:rsid w:val="00801A7B"/>
    <w:rsid w:val="00811C05"/>
    <w:rsid w:val="008206C8"/>
    <w:rsid w:val="0086387C"/>
    <w:rsid w:val="00874A6C"/>
    <w:rsid w:val="008759BB"/>
    <w:rsid w:val="00876C65"/>
    <w:rsid w:val="00882F72"/>
    <w:rsid w:val="00893DC4"/>
    <w:rsid w:val="008A4B4C"/>
    <w:rsid w:val="008C239F"/>
    <w:rsid w:val="008C2722"/>
    <w:rsid w:val="008D4817"/>
    <w:rsid w:val="008E27AD"/>
    <w:rsid w:val="008E480C"/>
    <w:rsid w:val="008E5E69"/>
    <w:rsid w:val="008F19E4"/>
    <w:rsid w:val="008F594B"/>
    <w:rsid w:val="008F716A"/>
    <w:rsid w:val="00907757"/>
    <w:rsid w:val="009212B0"/>
    <w:rsid w:val="00921FA1"/>
    <w:rsid w:val="009234A5"/>
    <w:rsid w:val="00933453"/>
    <w:rsid w:val="009336F7"/>
    <w:rsid w:val="0093636C"/>
    <w:rsid w:val="00936378"/>
    <w:rsid w:val="009374A7"/>
    <w:rsid w:val="00937F03"/>
    <w:rsid w:val="00955F6D"/>
    <w:rsid w:val="009651DC"/>
    <w:rsid w:val="00977C16"/>
    <w:rsid w:val="0098551D"/>
    <w:rsid w:val="00985DCB"/>
    <w:rsid w:val="0099518F"/>
    <w:rsid w:val="009A523D"/>
    <w:rsid w:val="009B02A1"/>
    <w:rsid w:val="009B1CDC"/>
    <w:rsid w:val="009B3361"/>
    <w:rsid w:val="009B7F3F"/>
    <w:rsid w:val="009D7CE6"/>
    <w:rsid w:val="009E448E"/>
    <w:rsid w:val="009E6425"/>
    <w:rsid w:val="009F496B"/>
    <w:rsid w:val="00A01439"/>
    <w:rsid w:val="00A02E61"/>
    <w:rsid w:val="00A04119"/>
    <w:rsid w:val="00A05CFF"/>
    <w:rsid w:val="00A11F76"/>
    <w:rsid w:val="00A13048"/>
    <w:rsid w:val="00A208C8"/>
    <w:rsid w:val="00A27524"/>
    <w:rsid w:val="00A31515"/>
    <w:rsid w:val="00A42D77"/>
    <w:rsid w:val="00A46843"/>
    <w:rsid w:val="00A56B97"/>
    <w:rsid w:val="00A6093D"/>
    <w:rsid w:val="00A65333"/>
    <w:rsid w:val="00A703CE"/>
    <w:rsid w:val="00A72017"/>
    <w:rsid w:val="00A767DC"/>
    <w:rsid w:val="00A76A6D"/>
    <w:rsid w:val="00A83253"/>
    <w:rsid w:val="00A90B4B"/>
    <w:rsid w:val="00AA6E84"/>
    <w:rsid w:val="00AB1A1C"/>
    <w:rsid w:val="00AB4721"/>
    <w:rsid w:val="00AB7405"/>
    <w:rsid w:val="00AC14C9"/>
    <w:rsid w:val="00AD05A8"/>
    <w:rsid w:val="00AE341B"/>
    <w:rsid w:val="00AF0711"/>
    <w:rsid w:val="00AF51C5"/>
    <w:rsid w:val="00B01905"/>
    <w:rsid w:val="00B07CA7"/>
    <w:rsid w:val="00B1279A"/>
    <w:rsid w:val="00B3640F"/>
    <w:rsid w:val="00B377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5B8"/>
    <w:rsid w:val="00BC5AFD"/>
    <w:rsid w:val="00BC77E9"/>
    <w:rsid w:val="00BF6753"/>
    <w:rsid w:val="00C00DDE"/>
    <w:rsid w:val="00C04F43"/>
    <w:rsid w:val="00C05271"/>
    <w:rsid w:val="00C0609D"/>
    <w:rsid w:val="00C115AB"/>
    <w:rsid w:val="00C22272"/>
    <w:rsid w:val="00C26CCB"/>
    <w:rsid w:val="00C30249"/>
    <w:rsid w:val="00C3723B"/>
    <w:rsid w:val="00C42466"/>
    <w:rsid w:val="00C606C9"/>
    <w:rsid w:val="00C80288"/>
    <w:rsid w:val="00C836F0"/>
    <w:rsid w:val="00C84003"/>
    <w:rsid w:val="00C90650"/>
    <w:rsid w:val="00C97D78"/>
    <w:rsid w:val="00CB6842"/>
    <w:rsid w:val="00CB6EB0"/>
    <w:rsid w:val="00CC1714"/>
    <w:rsid w:val="00CC2AAE"/>
    <w:rsid w:val="00CC5A42"/>
    <w:rsid w:val="00CD0EAB"/>
    <w:rsid w:val="00CE5E02"/>
    <w:rsid w:val="00CF2619"/>
    <w:rsid w:val="00CF34DB"/>
    <w:rsid w:val="00CF3917"/>
    <w:rsid w:val="00CF558F"/>
    <w:rsid w:val="00D00253"/>
    <w:rsid w:val="00D010C0"/>
    <w:rsid w:val="00D01C60"/>
    <w:rsid w:val="00D06B8B"/>
    <w:rsid w:val="00D073E2"/>
    <w:rsid w:val="00D1555A"/>
    <w:rsid w:val="00D264C7"/>
    <w:rsid w:val="00D353BC"/>
    <w:rsid w:val="00D411A3"/>
    <w:rsid w:val="00D446EC"/>
    <w:rsid w:val="00D50105"/>
    <w:rsid w:val="00D51BF0"/>
    <w:rsid w:val="00D531DB"/>
    <w:rsid w:val="00D55942"/>
    <w:rsid w:val="00D807BF"/>
    <w:rsid w:val="00D82FCC"/>
    <w:rsid w:val="00DA17FC"/>
    <w:rsid w:val="00DA7887"/>
    <w:rsid w:val="00DA7C0F"/>
    <w:rsid w:val="00DB2C26"/>
    <w:rsid w:val="00DB45C3"/>
    <w:rsid w:val="00DB5CB2"/>
    <w:rsid w:val="00DC294A"/>
    <w:rsid w:val="00DC6341"/>
    <w:rsid w:val="00DC66A1"/>
    <w:rsid w:val="00DD02F4"/>
    <w:rsid w:val="00DD6622"/>
    <w:rsid w:val="00DE1C7C"/>
    <w:rsid w:val="00DE2699"/>
    <w:rsid w:val="00DE6B43"/>
    <w:rsid w:val="00E05CDB"/>
    <w:rsid w:val="00E11923"/>
    <w:rsid w:val="00E262D4"/>
    <w:rsid w:val="00E346EA"/>
    <w:rsid w:val="00E36250"/>
    <w:rsid w:val="00E47F2D"/>
    <w:rsid w:val="00E54511"/>
    <w:rsid w:val="00E60EDC"/>
    <w:rsid w:val="00E61DAC"/>
    <w:rsid w:val="00E61E3B"/>
    <w:rsid w:val="00E623C8"/>
    <w:rsid w:val="00E72B80"/>
    <w:rsid w:val="00E74DC4"/>
    <w:rsid w:val="00E75FE3"/>
    <w:rsid w:val="00E85D58"/>
    <w:rsid w:val="00E86C4C"/>
    <w:rsid w:val="00E907A3"/>
    <w:rsid w:val="00EA5AE0"/>
    <w:rsid w:val="00EB56E1"/>
    <w:rsid w:val="00EB7AB1"/>
    <w:rsid w:val="00EC32BD"/>
    <w:rsid w:val="00EE6F48"/>
    <w:rsid w:val="00EE7CD8"/>
    <w:rsid w:val="00EF37F6"/>
    <w:rsid w:val="00EF48CC"/>
    <w:rsid w:val="00F00801"/>
    <w:rsid w:val="00F2488D"/>
    <w:rsid w:val="00F25FD7"/>
    <w:rsid w:val="00F36374"/>
    <w:rsid w:val="00F601A0"/>
    <w:rsid w:val="00F712E9"/>
    <w:rsid w:val="00F71667"/>
    <w:rsid w:val="00F73032"/>
    <w:rsid w:val="00F848FC"/>
    <w:rsid w:val="00F906F6"/>
    <w:rsid w:val="00F9282A"/>
    <w:rsid w:val="00F96BAD"/>
    <w:rsid w:val="00FA139D"/>
    <w:rsid w:val="00FA60F5"/>
    <w:rsid w:val="00FB0E84"/>
    <w:rsid w:val="00FC2405"/>
    <w:rsid w:val="00FC5887"/>
    <w:rsid w:val="00FD01C2"/>
    <w:rsid w:val="00FE40F1"/>
    <w:rsid w:val="00FE595C"/>
    <w:rsid w:val="00FF0CE3"/>
    <w:rsid w:val="00FF2DB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7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A90B4B"/>
    <w:pPr>
      <w:ind w:left="720"/>
      <w:contextualSpacing/>
    </w:pPr>
  </w:style>
  <w:style w:type="character" w:customStyle="1" w:styleId="ListParagraphChar">
    <w:name w:val="List Paragraph Char"/>
    <w:link w:val="ListParagraph"/>
    <w:uiPriority w:val="34"/>
    <w:rsid w:val="00A90B4B"/>
    <w:rPr>
      <w:sz w:val="22"/>
    </w:rPr>
  </w:style>
  <w:style w:type="paragraph" w:styleId="BodyTextIndent">
    <w:name w:val="Body Text Indent"/>
    <w:basedOn w:val="Normal"/>
    <w:link w:val="BodyTextIndentChar"/>
    <w:rsid w:val="00A90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245"/>
      <w:textAlignment w:val="auto"/>
    </w:pPr>
    <w:rPr>
      <w:i/>
      <w:sz w:val="20"/>
    </w:rPr>
  </w:style>
  <w:style w:type="character" w:customStyle="1" w:styleId="BodyTextIndentChar">
    <w:name w:val="Body Text Indent Char"/>
    <w:basedOn w:val="DefaultParagraphFont"/>
    <w:link w:val="BodyTextIndent"/>
    <w:rsid w:val="00A90B4B"/>
    <w:rPr>
      <w:i/>
    </w:rPr>
  </w:style>
  <w:style w:type="character" w:customStyle="1" w:styleId="UnresolvedMention1">
    <w:name w:val="Unresolved Mention1"/>
    <w:basedOn w:val="DefaultParagraphFont"/>
    <w:uiPriority w:val="99"/>
    <w:semiHidden/>
    <w:unhideWhenUsed/>
    <w:rsid w:val="00DB5CB2"/>
    <w:rPr>
      <w:color w:val="605E5C"/>
      <w:shd w:val="clear" w:color="auto" w:fill="E1DFDD"/>
    </w:rPr>
  </w:style>
  <w:style w:type="character" w:styleId="CommentReference">
    <w:name w:val="annotation reference"/>
    <w:basedOn w:val="DefaultParagraphFont"/>
    <w:rsid w:val="00233C59"/>
    <w:rPr>
      <w:sz w:val="16"/>
      <w:szCs w:val="16"/>
    </w:rPr>
  </w:style>
  <w:style w:type="paragraph" w:styleId="CommentText">
    <w:name w:val="annotation text"/>
    <w:basedOn w:val="Normal"/>
    <w:link w:val="CommentTextChar"/>
    <w:rsid w:val="00233C59"/>
    <w:rPr>
      <w:sz w:val="20"/>
    </w:rPr>
  </w:style>
  <w:style w:type="character" w:customStyle="1" w:styleId="CommentTextChar">
    <w:name w:val="Comment Text Char"/>
    <w:basedOn w:val="DefaultParagraphFont"/>
    <w:link w:val="CommentText"/>
    <w:rsid w:val="00233C59"/>
  </w:style>
  <w:style w:type="paragraph" w:styleId="CommentSubject">
    <w:name w:val="annotation subject"/>
    <w:basedOn w:val="CommentText"/>
    <w:next w:val="CommentText"/>
    <w:link w:val="CommentSubjectChar"/>
    <w:semiHidden/>
    <w:unhideWhenUsed/>
    <w:rsid w:val="00233C59"/>
    <w:rPr>
      <w:b/>
      <w:bCs/>
    </w:rPr>
  </w:style>
  <w:style w:type="character" w:customStyle="1" w:styleId="CommentSubjectChar">
    <w:name w:val="Comment Subject Char"/>
    <w:basedOn w:val="CommentTextChar"/>
    <w:link w:val="CommentSubject"/>
    <w:semiHidden/>
    <w:rsid w:val="00233C59"/>
    <w:rPr>
      <w:b/>
      <w:bCs/>
    </w:rPr>
  </w:style>
  <w:style w:type="character" w:customStyle="1" w:styleId="UnresolvedMention2">
    <w:name w:val="Unresolved Mention2"/>
    <w:basedOn w:val="DefaultParagraphFont"/>
    <w:uiPriority w:val="99"/>
    <w:semiHidden/>
    <w:unhideWhenUsed/>
    <w:rsid w:val="008F716A"/>
    <w:rPr>
      <w:color w:val="605E5C"/>
      <w:shd w:val="clear" w:color="auto" w:fill="E1DFDD"/>
    </w:rPr>
  </w:style>
  <w:style w:type="table" w:styleId="TableGrid">
    <w:name w:val="Table Grid"/>
    <w:basedOn w:val="TableNormal"/>
    <w:rsid w:val="00DC6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2817">
      <w:bodyDiv w:val="1"/>
      <w:marLeft w:val="0"/>
      <w:marRight w:val="0"/>
      <w:marTop w:val="0"/>
      <w:marBottom w:val="0"/>
      <w:divBdr>
        <w:top w:val="none" w:sz="0" w:space="0" w:color="auto"/>
        <w:left w:val="none" w:sz="0" w:space="0" w:color="auto"/>
        <w:bottom w:val="none" w:sz="0" w:space="0" w:color="auto"/>
        <w:right w:val="none" w:sz="0" w:space="0" w:color="auto"/>
      </w:divBdr>
    </w:div>
    <w:div w:id="188564077">
      <w:bodyDiv w:val="1"/>
      <w:marLeft w:val="0"/>
      <w:marRight w:val="0"/>
      <w:marTop w:val="0"/>
      <w:marBottom w:val="0"/>
      <w:divBdr>
        <w:top w:val="none" w:sz="0" w:space="0" w:color="auto"/>
        <w:left w:val="none" w:sz="0" w:space="0" w:color="auto"/>
        <w:bottom w:val="none" w:sz="0" w:space="0" w:color="auto"/>
        <w:right w:val="none" w:sz="0" w:space="0" w:color="auto"/>
      </w:divBdr>
    </w:div>
    <w:div w:id="615796920">
      <w:bodyDiv w:val="1"/>
      <w:marLeft w:val="0"/>
      <w:marRight w:val="0"/>
      <w:marTop w:val="0"/>
      <w:marBottom w:val="0"/>
      <w:divBdr>
        <w:top w:val="none" w:sz="0" w:space="0" w:color="auto"/>
        <w:left w:val="none" w:sz="0" w:space="0" w:color="auto"/>
        <w:bottom w:val="none" w:sz="0" w:space="0" w:color="auto"/>
        <w:right w:val="none" w:sz="0" w:space="0" w:color="auto"/>
      </w:divBdr>
    </w:div>
    <w:div w:id="1243104820">
      <w:bodyDiv w:val="1"/>
      <w:marLeft w:val="0"/>
      <w:marRight w:val="0"/>
      <w:marTop w:val="0"/>
      <w:marBottom w:val="0"/>
      <w:divBdr>
        <w:top w:val="none" w:sz="0" w:space="0" w:color="auto"/>
        <w:left w:val="none" w:sz="0" w:space="0" w:color="auto"/>
        <w:bottom w:val="none" w:sz="0" w:space="0" w:color="auto"/>
        <w:right w:val="none" w:sz="0" w:space="0" w:color="auto"/>
      </w:divBdr>
    </w:div>
    <w:div w:id="1410224557">
      <w:bodyDiv w:val="1"/>
      <w:marLeft w:val="0"/>
      <w:marRight w:val="0"/>
      <w:marTop w:val="0"/>
      <w:marBottom w:val="0"/>
      <w:divBdr>
        <w:top w:val="none" w:sz="0" w:space="0" w:color="auto"/>
        <w:left w:val="none" w:sz="0" w:space="0" w:color="auto"/>
        <w:bottom w:val="none" w:sz="0" w:space="0" w:color="auto"/>
        <w:right w:val="none" w:sz="0" w:space="0" w:color="auto"/>
      </w:divBdr>
    </w:div>
    <w:div w:id="1517960534">
      <w:bodyDiv w:val="1"/>
      <w:marLeft w:val="0"/>
      <w:marRight w:val="0"/>
      <w:marTop w:val="0"/>
      <w:marBottom w:val="0"/>
      <w:divBdr>
        <w:top w:val="none" w:sz="0" w:space="0" w:color="auto"/>
        <w:left w:val="none" w:sz="0" w:space="0" w:color="auto"/>
        <w:bottom w:val="none" w:sz="0" w:space="0" w:color="auto"/>
        <w:right w:val="none" w:sz="0" w:space="0" w:color="auto"/>
      </w:divBdr>
    </w:div>
    <w:div w:id="15660613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5730692">
      <w:bodyDiv w:val="1"/>
      <w:marLeft w:val="0"/>
      <w:marRight w:val="0"/>
      <w:marTop w:val="0"/>
      <w:marBottom w:val="0"/>
      <w:divBdr>
        <w:top w:val="none" w:sz="0" w:space="0" w:color="auto"/>
        <w:left w:val="none" w:sz="0" w:space="0" w:color="auto"/>
        <w:bottom w:val="none" w:sz="0" w:space="0" w:color="auto"/>
        <w:right w:val="none" w:sz="0" w:space="0" w:color="auto"/>
      </w:divBdr>
    </w:div>
    <w:div w:id="1958442912">
      <w:bodyDiv w:val="1"/>
      <w:marLeft w:val="0"/>
      <w:marRight w:val="0"/>
      <w:marTop w:val="0"/>
      <w:marBottom w:val="0"/>
      <w:divBdr>
        <w:top w:val="none" w:sz="0" w:space="0" w:color="auto"/>
        <w:left w:val="none" w:sz="0" w:space="0" w:color="auto"/>
        <w:bottom w:val="none" w:sz="0" w:space="0" w:color="auto"/>
        <w:right w:val="none" w:sz="0" w:space="0" w:color="auto"/>
      </w:divBdr>
    </w:div>
    <w:div w:id="2054039179">
      <w:bodyDiv w:val="1"/>
      <w:marLeft w:val="0"/>
      <w:marRight w:val="0"/>
      <w:marTop w:val="0"/>
      <w:marBottom w:val="0"/>
      <w:divBdr>
        <w:top w:val="none" w:sz="0" w:space="0" w:color="auto"/>
        <w:left w:val="none" w:sz="0" w:space="0" w:color="auto"/>
        <w:bottom w:val="none" w:sz="0" w:space="0" w:color="auto"/>
        <w:right w:val="none" w:sz="0" w:space="0" w:color="auto"/>
      </w:divBdr>
    </w:div>
    <w:div w:id="2064213557">
      <w:bodyDiv w:val="1"/>
      <w:marLeft w:val="0"/>
      <w:marRight w:val="0"/>
      <w:marTop w:val="0"/>
      <w:marBottom w:val="0"/>
      <w:divBdr>
        <w:top w:val="none" w:sz="0" w:space="0" w:color="auto"/>
        <w:left w:val="none" w:sz="0" w:space="0" w:color="auto"/>
        <w:bottom w:val="none" w:sz="0" w:space="0" w:color="auto"/>
        <w:right w:val="none" w:sz="0" w:space="0" w:color="auto"/>
      </w:divBdr>
    </w:div>
    <w:div w:id="212233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ni.lainema@nokia.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iska.hannuksela@nok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limin.2.wang@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1212</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Panusopone, Krit (Nokia - US/San Diego)</cp:lastModifiedBy>
  <cp:revision>6</cp:revision>
  <cp:lastPrinted>1900-01-01T08:00:00Z</cp:lastPrinted>
  <dcterms:created xsi:type="dcterms:W3CDTF">2022-01-06T19:58:00Z</dcterms:created>
  <dcterms:modified xsi:type="dcterms:W3CDTF">2022-01-06T20:49:00Z</dcterms:modified>
</cp:coreProperties>
</file>