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CB268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6A34737" w:rsidR="008A4B4C" w:rsidRPr="005B217D" w:rsidRDefault="00E61DAC" w:rsidP="0021608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21608C">
              <w:rPr>
                <w:lang w:val="en-CA"/>
              </w:rPr>
              <w:t>0130</w:t>
            </w:r>
            <w:r w:rsidR="006A0E5C" w:rsidRPr="006A0E5C">
              <w:rPr>
                <w:lang w:val="en-CA"/>
              </w:rPr>
              <w:t>-v</w:t>
            </w:r>
            <w:r w:rsidR="0021608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187F3B" w:rsidR="00E61DAC" w:rsidRPr="005B217D" w:rsidRDefault="00C17DA3" w:rsidP="00F87117">
            <w:pPr>
              <w:spacing w:before="60" w:after="60"/>
              <w:rPr>
                <w:b/>
                <w:szCs w:val="22"/>
                <w:lang w:val="en-CA"/>
              </w:rPr>
            </w:pPr>
            <w:r>
              <w:rPr>
                <w:b/>
                <w:szCs w:val="22"/>
                <w:lang w:val="en-CA"/>
              </w:rPr>
              <w:t>EE2-related</w:t>
            </w:r>
            <w:r w:rsidR="00F87117">
              <w:rPr>
                <w:b/>
                <w:szCs w:val="22"/>
                <w:lang w:val="en-CA"/>
              </w:rPr>
              <w:t xml:space="preserve"> : </w:t>
            </w:r>
            <w:r w:rsidR="004527AA">
              <w:rPr>
                <w:b/>
                <w:szCs w:val="22"/>
                <w:lang w:val="en-CA"/>
              </w:rPr>
              <w:t>Unification of availability check for intra mode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426F4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90D263" w:rsidR="00E61DAC" w:rsidRPr="00652E28" w:rsidRDefault="00FE6D03" w:rsidP="00FE6D03">
            <w:pPr>
              <w:spacing w:before="60" w:after="60"/>
              <w:rPr>
                <w:szCs w:val="22"/>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CCE0F14" w14:textId="1374C73F" w:rsidR="00FE6D03" w:rsidRDefault="00FE6D03" w:rsidP="00FE6D03">
            <w:pPr>
              <w:spacing w:before="60" w:after="60"/>
              <w:rPr>
                <w:szCs w:val="22"/>
                <w:lang w:val="en-CA"/>
              </w:rPr>
            </w:pPr>
            <w:r>
              <w:rPr>
                <w:rFonts w:hint="eastAsia"/>
                <w:szCs w:val="22"/>
                <w:lang w:val="en-CA" w:eastAsia="ko-KR"/>
              </w:rPr>
              <w:t>Sunmi Yoo</w:t>
            </w:r>
            <w:r>
              <w:rPr>
                <w:szCs w:val="22"/>
                <w:lang w:val="en-CA" w:eastAsia="ko-KR"/>
              </w:rPr>
              <w:br/>
              <w:t>Hyeongmun Jang</w:t>
            </w:r>
            <w:r>
              <w:rPr>
                <w:szCs w:val="22"/>
                <w:lang w:val="en-CA" w:eastAsia="ko-KR"/>
              </w:rPr>
              <w:br/>
              <w:t>Junghak Nam</w:t>
            </w:r>
            <w:r>
              <w:rPr>
                <w:szCs w:val="22"/>
                <w:lang w:val="en-CA" w:eastAsia="ko-KR"/>
              </w:rPr>
              <w:br/>
              <w:t>Jangwon Choi</w:t>
            </w:r>
            <w:r>
              <w:rPr>
                <w:szCs w:val="22"/>
                <w:lang w:val="en-CA" w:eastAsia="ko-KR"/>
              </w:rPr>
              <w:br/>
              <w:t>Jaehyun Lim</w:t>
            </w:r>
            <w:r w:rsidR="00E61DAC" w:rsidRPr="005B217D">
              <w:rPr>
                <w:szCs w:val="22"/>
                <w:lang w:val="en-CA"/>
              </w:rPr>
              <w:br/>
            </w:r>
            <w:r>
              <w:rPr>
                <w:szCs w:val="22"/>
                <w:lang w:val="en-CA"/>
              </w:rPr>
              <w:t>19 Yangjaedaero-11gil, Seocho-gu</w:t>
            </w:r>
            <w:r w:rsidR="00E61DAC" w:rsidRPr="005B217D">
              <w:rPr>
                <w:szCs w:val="22"/>
                <w:lang w:val="en-CA"/>
              </w:rPr>
              <w:br/>
            </w:r>
            <w:r>
              <w:rPr>
                <w:szCs w:val="22"/>
                <w:lang w:val="en-CA"/>
              </w:rPr>
              <w:t>Seoul 06772</w:t>
            </w:r>
            <w:r w:rsidR="00E61DAC" w:rsidRPr="005B217D">
              <w:rPr>
                <w:szCs w:val="22"/>
                <w:lang w:val="en-CA"/>
              </w:rPr>
              <w:br/>
            </w:r>
            <w:r>
              <w:rPr>
                <w:szCs w:val="22"/>
                <w:lang w:val="en-CA"/>
              </w:rPr>
              <w:t>South Korea</w:t>
            </w:r>
          </w:p>
          <w:p w14:paraId="49D81240" w14:textId="5A503972" w:rsidR="00FE6D03" w:rsidRPr="007F0E05" w:rsidRDefault="00FE6D03" w:rsidP="00505BB2">
            <w:pPr>
              <w:spacing w:before="60" w:after="60"/>
              <w:rPr>
                <w:szCs w:val="22"/>
                <w:lang w:eastAsia="ko-KR"/>
              </w:rPr>
            </w:pPr>
            <w:r>
              <w:rPr>
                <w:szCs w:val="22"/>
                <w:lang w:val="en-CA"/>
              </w:rPr>
              <w:t>Seung Hwan Kim</w:t>
            </w:r>
            <w:r w:rsidR="007F0E05">
              <w:rPr>
                <w:szCs w:val="22"/>
                <w:lang w:val="en-CA"/>
              </w:rPr>
              <w:br/>
            </w:r>
            <w:r w:rsidR="00505BB2">
              <w:rPr>
                <w:rFonts w:hint="eastAsia"/>
                <w:szCs w:val="22"/>
                <w:lang w:val="en-CA" w:eastAsia="ko-KR"/>
              </w:rPr>
              <w:t>10680 Treena St, San Diego, 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6104586" w14:textId="06D828F2" w:rsidR="00E61DAC" w:rsidRDefault="00E61DAC" w:rsidP="00FE6D03">
            <w:pPr>
              <w:spacing w:before="60" w:after="60"/>
              <w:rPr>
                <w:szCs w:val="22"/>
                <w:lang w:val="en-CA"/>
              </w:rPr>
            </w:pPr>
            <w:r w:rsidRPr="005B217D">
              <w:rPr>
                <w:szCs w:val="22"/>
                <w:lang w:val="en-CA"/>
              </w:rPr>
              <w:br/>
            </w:r>
            <w:r w:rsidR="00FE6D03">
              <w:rPr>
                <w:szCs w:val="22"/>
                <w:lang w:val="en-CA"/>
              </w:rPr>
              <w:t>+82-2-6912-6561</w:t>
            </w:r>
            <w:r w:rsidRPr="005B217D">
              <w:rPr>
                <w:szCs w:val="22"/>
                <w:lang w:val="en-CA"/>
              </w:rPr>
              <w:br/>
            </w:r>
            <w:hyperlink r:id="rId9" w:history="1">
              <w:r w:rsidR="00FE6D03" w:rsidRPr="00B040C2">
                <w:rPr>
                  <w:rStyle w:val="a6"/>
                  <w:szCs w:val="22"/>
                  <w:lang w:val="en-CA"/>
                </w:rPr>
                <w:t>sunmi.yoo@lge.com</w:t>
              </w:r>
            </w:hyperlink>
          </w:p>
          <w:p w14:paraId="32C2ABFD" w14:textId="551B5ECA" w:rsidR="00FE6D03" w:rsidRPr="005B217D" w:rsidRDefault="00FE6D03" w:rsidP="00FE6D03">
            <w:pPr>
              <w:spacing w:before="60" w:after="60"/>
              <w:rPr>
                <w:szCs w:val="22"/>
                <w:lang w:val="en-CA"/>
              </w:rPr>
            </w:pPr>
          </w:p>
        </w:tc>
      </w:tr>
      <w:tr w:rsidR="00E61DAC" w:rsidRPr="005B217D" w14:paraId="49AFAA61" w14:textId="77777777" w:rsidTr="000962AC">
        <w:tc>
          <w:tcPr>
            <w:tcW w:w="1458" w:type="dxa"/>
          </w:tcPr>
          <w:p w14:paraId="2C08AF6B" w14:textId="5B0A800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2C28C9" w:rsidR="00E61DAC" w:rsidRPr="005B217D" w:rsidRDefault="00FE6D0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27BD0E74" w14:textId="52B8BE41" w:rsidR="00295ABF" w:rsidRDefault="00583B97" w:rsidP="00583B97">
      <w:pPr>
        <w:rPr>
          <w:lang w:val="en-CA" w:eastAsia="ko-KR"/>
        </w:rPr>
      </w:pPr>
      <w:r>
        <w:rPr>
          <w:lang w:val="en-CA"/>
        </w:rPr>
        <w:t>I</w:t>
      </w:r>
      <w:r>
        <w:rPr>
          <w:rFonts w:hint="eastAsia"/>
          <w:lang w:val="en-CA"/>
        </w:rPr>
        <w:t>n</w:t>
      </w:r>
      <w:r>
        <w:rPr>
          <w:rFonts w:hint="eastAsia"/>
          <w:lang w:val="en-CA" w:eastAsia="ko-KR"/>
        </w:rPr>
        <w:t xml:space="preserve"> </w:t>
      </w:r>
      <w:r>
        <w:rPr>
          <w:lang w:val="en-CA" w:eastAsia="ko-KR"/>
        </w:rPr>
        <w:t xml:space="preserve">this proposal, </w:t>
      </w:r>
      <w:r w:rsidR="00947102">
        <w:rPr>
          <w:lang w:val="en-CA" w:eastAsia="ko-KR"/>
        </w:rPr>
        <w:t>the unification</w:t>
      </w:r>
      <w:r w:rsidR="00C11273">
        <w:rPr>
          <w:lang w:val="en-CA" w:eastAsia="ko-KR"/>
        </w:rPr>
        <w:t xml:space="preserve"> of </w:t>
      </w:r>
      <w:r>
        <w:rPr>
          <w:lang w:val="en-CA" w:eastAsia="ko-KR"/>
        </w:rPr>
        <w:t xml:space="preserve">usage </w:t>
      </w:r>
      <w:r w:rsidR="00C11273">
        <w:rPr>
          <w:lang w:val="en-CA" w:eastAsia="ko-KR"/>
        </w:rPr>
        <w:t>for</w:t>
      </w:r>
      <w:r>
        <w:rPr>
          <w:lang w:val="en-CA" w:eastAsia="ko-KR"/>
        </w:rPr>
        <w:t xml:space="preserve"> neighbor intra modes </w:t>
      </w:r>
      <w:r w:rsidR="009135D3">
        <w:rPr>
          <w:lang w:val="en-CA" w:eastAsia="ko-KR"/>
        </w:rPr>
        <w:t>above</w:t>
      </w:r>
      <w:r>
        <w:rPr>
          <w:lang w:val="en-CA" w:eastAsia="ko-KR"/>
        </w:rPr>
        <w:t xml:space="preserve"> the CTU boundary </w:t>
      </w:r>
      <w:r w:rsidR="00C11273">
        <w:rPr>
          <w:lang w:val="en-CA" w:eastAsia="ko-KR"/>
        </w:rPr>
        <w:t>is suggested</w:t>
      </w:r>
      <w:r>
        <w:rPr>
          <w:lang w:val="en-CA" w:eastAsia="ko-KR"/>
        </w:rPr>
        <w:t xml:space="preserve">. Currently, in ECM, the neighbor intra modes </w:t>
      </w:r>
      <w:r w:rsidR="00C11273">
        <w:rPr>
          <w:lang w:val="en-CA" w:eastAsia="ko-KR"/>
        </w:rPr>
        <w:t>can be used</w:t>
      </w:r>
      <w:r>
        <w:rPr>
          <w:lang w:val="en-CA" w:eastAsia="ko-KR"/>
        </w:rPr>
        <w:t xml:space="preserve"> in MPM and TIMD process. </w:t>
      </w:r>
      <w:r w:rsidR="00D02F57" w:rsidRPr="00D02F57">
        <w:rPr>
          <w:lang w:val="en-CA" w:eastAsia="ko-KR"/>
        </w:rPr>
        <w:t xml:space="preserve">In VVC, neighboring intra modes above the CTU boundary are not exploited for MPM process to avoid the necessity of storing the intra modes in line buffer memory. However, in ECM, the above mentioned restriction still remains in some parts, but above neighbor intra modes are used as the candidates of the current block for some processes, such as TIMD and </w:t>
      </w:r>
      <w:r w:rsidR="00D02F57">
        <w:rPr>
          <w:lang w:val="en-CA" w:eastAsia="ko-KR"/>
        </w:rPr>
        <w:t>in the case of the intra mode propagation from the inter blocks (IPM)</w:t>
      </w:r>
      <w:r w:rsidR="00D02F57" w:rsidRPr="00D02F57">
        <w:rPr>
          <w:lang w:val="en-CA" w:eastAsia="ko-KR"/>
        </w:rPr>
        <w:t xml:space="preserve">. Therefore, it is proposed to unify the usage for neighboring intra modes above the CTU boundary. Two unified methods are introduced. In Method 1, the above intra modes in the different CTUs are always restricted as VVC. Method 2 allows to use the intra modes or </w:t>
      </w:r>
      <w:r w:rsidR="00D02F57">
        <w:rPr>
          <w:lang w:val="en-CA" w:eastAsia="ko-KR"/>
        </w:rPr>
        <w:t>intra modes from the IPM buffer</w:t>
      </w:r>
      <w:r w:rsidR="00D02F57" w:rsidRPr="00D02F57">
        <w:rPr>
          <w:lang w:val="en-CA" w:eastAsia="ko-KR"/>
        </w:rPr>
        <w:t xml:space="preserve"> from the above, above-right, or above-left neighbor blocks, regardless of the CTU boundaries.  The experimental results are shown below</w:t>
      </w:r>
      <w:r w:rsidR="00295ABF">
        <w:rPr>
          <w:lang w:val="en-CA" w:eastAsia="ko-KR"/>
        </w:rPr>
        <w:t>.</w:t>
      </w:r>
    </w:p>
    <w:p w14:paraId="7D56BB1F" w14:textId="764B9A82" w:rsidR="00295ABF" w:rsidRDefault="00D02F57" w:rsidP="00652E28">
      <w:pPr>
        <w:pStyle w:val="ab"/>
        <w:numPr>
          <w:ilvl w:val="0"/>
          <w:numId w:val="16"/>
        </w:numPr>
        <w:ind w:leftChars="0"/>
        <w:rPr>
          <w:lang w:val="en-CA" w:eastAsia="ko-KR"/>
        </w:rPr>
      </w:pPr>
      <w:r>
        <w:rPr>
          <w:lang w:val="en-CA" w:eastAsia="ko-KR"/>
        </w:rPr>
        <w:t>Method 1 (</w:t>
      </w:r>
      <w:r w:rsidR="003D34B1">
        <w:rPr>
          <w:lang w:val="en-CA" w:eastAsia="ko-KR"/>
        </w:rPr>
        <w:t xml:space="preserve">to </w:t>
      </w:r>
      <w:r>
        <w:rPr>
          <w:lang w:val="en-CA" w:eastAsia="ko-KR"/>
        </w:rPr>
        <w:t>restrict intra modes above the CTU boundary)</w:t>
      </w:r>
    </w:p>
    <w:p w14:paraId="59293980" w14:textId="5D6E26FC" w:rsidR="00295ABF" w:rsidRDefault="00295ABF" w:rsidP="00652E28">
      <w:pPr>
        <w:pStyle w:val="ab"/>
        <w:numPr>
          <w:ilvl w:val="1"/>
          <w:numId w:val="16"/>
        </w:numPr>
        <w:ind w:leftChars="0"/>
        <w:rPr>
          <w:lang w:val="en-CA" w:eastAsia="ko-KR"/>
        </w:rPr>
      </w:pPr>
      <w:r>
        <w:rPr>
          <w:lang w:val="en-CA" w:eastAsia="ko-KR"/>
        </w:rPr>
        <w:t xml:space="preserve">AI: </w:t>
      </w:r>
      <w:r w:rsidR="00C11273" w:rsidRPr="00295ABF">
        <w:rPr>
          <w:lang w:val="en-CA" w:eastAsia="ko-KR"/>
        </w:rPr>
        <w:t xml:space="preserve">0.01% / -0.05% / -0.05% for Y/U/V </w:t>
      </w:r>
    </w:p>
    <w:p w14:paraId="4A5A4644" w14:textId="07E9200B" w:rsidR="00295ABF" w:rsidRPr="0021608C" w:rsidRDefault="00295ABF" w:rsidP="00652E28">
      <w:pPr>
        <w:pStyle w:val="ab"/>
        <w:numPr>
          <w:ilvl w:val="1"/>
          <w:numId w:val="16"/>
        </w:numPr>
        <w:ind w:leftChars="0"/>
        <w:rPr>
          <w:lang w:val="en-CA" w:eastAsia="ko-KR"/>
        </w:rPr>
      </w:pPr>
      <w:r w:rsidRPr="0021608C">
        <w:rPr>
          <w:lang w:val="en-CA" w:eastAsia="ko-KR"/>
        </w:rPr>
        <w:t xml:space="preserve">RA: </w:t>
      </w:r>
      <w:r w:rsidR="00C11273" w:rsidRPr="0021608C">
        <w:rPr>
          <w:lang w:val="en-CA" w:eastAsia="ko-KR"/>
        </w:rPr>
        <w:t>X.XX% / X.XX% / X.XX% for Y/U/V</w:t>
      </w:r>
    </w:p>
    <w:p w14:paraId="02B8D74E" w14:textId="60C5B757" w:rsidR="00295ABF" w:rsidRPr="0021608C" w:rsidRDefault="00D02F57" w:rsidP="00652E28">
      <w:pPr>
        <w:pStyle w:val="ab"/>
        <w:numPr>
          <w:ilvl w:val="0"/>
          <w:numId w:val="16"/>
        </w:numPr>
        <w:ind w:leftChars="0"/>
        <w:rPr>
          <w:lang w:val="en-CA" w:eastAsia="ko-KR"/>
        </w:rPr>
      </w:pPr>
      <w:r w:rsidRPr="0021608C">
        <w:rPr>
          <w:lang w:val="en-CA" w:eastAsia="ko-KR"/>
        </w:rPr>
        <w:t>Method 2 (no restriction for intra modes above the CTU boundary)</w:t>
      </w:r>
    </w:p>
    <w:p w14:paraId="39CAF6D9" w14:textId="70D24842" w:rsidR="00295ABF" w:rsidRPr="0021608C" w:rsidRDefault="00295ABF" w:rsidP="00652E28">
      <w:pPr>
        <w:pStyle w:val="ab"/>
        <w:numPr>
          <w:ilvl w:val="1"/>
          <w:numId w:val="16"/>
        </w:numPr>
        <w:ind w:leftChars="0"/>
        <w:rPr>
          <w:lang w:val="en-CA" w:eastAsia="ko-KR"/>
        </w:rPr>
      </w:pPr>
      <w:r w:rsidRPr="0021608C">
        <w:rPr>
          <w:lang w:val="en-CA" w:eastAsia="ko-KR"/>
        </w:rPr>
        <w:t xml:space="preserve">AI: </w:t>
      </w:r>
      <w:r w:rsidR="00C11273" w:rsidRPr="0021608C">
        <w:rPr>
          <w:lang w:val="en-CA" w:eastAsia="ko-KR"/>
        </w:rPr>
        <w:t>-0.01% / -0.01% / -0.03% for Y/U/V</w:t>
      </w:r>
    </w:p>
    <w:p w14:paraId="3EB3C2CB" w14:textId="3534F6B8" w:rsidR="00583B97" w:rsidRPr="00295ABF" w:rsidRDefault="00295ABF" w:rsidP="00652E28">
      <w:pPr>
        <w:pStyle w:val="ab"/>
        <w:numPr>
          <w:ilvl w:val="1"/>
          <w:numId w:val="16"/>
        </w:numPr>
        <w:ind w:leftChars="0"/>
        <w:rPr>
          <w:lang w:val="en-CA" w:eastAsia="ko-KR"/>
        </w:rPr>
      </w:pPr>
      <w:r w:rsidRPr="0021608C">
        <w:rPr>
          <w:lang w:val="en-CA" w:eastAsia="ko-KR"/>
        </w:rPr>
        <w:t xml:space="preserve">RA: </w:t>
      </w:r>
      <w:r w:rsidR="00C11273" w:rsidRPr="0021608C">
        <w:rPr>
          <w:lang w:val="en-CA" w:eastAsia="ko-KR"/>
        </w:rPr>
        <w:t>X.XX% / X.XX% / X.XX% for</w:t>
      </w:r>
      <w:r w:rsidR="00C11273" w:rsidRPr="00295ABF">
        <w:rPr>
          <w:lang w:val="en-CA" w:eastAsia="ko-KR"/>
        </w:rPr>
        <w:t xml:space="preserve"> Y/U/V</w:t>
      </w:r>
    </w:p>
    <w:p w14:paraId="7D2AC1F0" w14:textId="7E6077D7" w:rsidR="00745F6B" w:rsidRPr="005B217D" w:rsidRDefault="00FE6D03" w:rsidP="00E11923">
      <w:pPr>
        <w:pStyle w:val="1"/>
        <w:rPr>
          <w:lang w:val="en-CA"/>
        </w:rPr>
      </w:pPr>
      <w:r>
        <w:rPr>
          <w:lang w:val="en-CA"/>
        </w:rPr>
        <w:t>Introduction</w:t>
      </w:r>
    </w:p>
    <w:p w14:paraId="49AD73CB" w14:textId="3F871538" w:rsidR="004527AA" w:rsidRDefault="00FE6D03" w:rsidP="004234F0">
      <w:pPr>
        <w:rPr>
          <w:szCs w:val="22"/>
          <w:lang w:val="en-CA"/>
        </w:rPr>
      </w:pPr>
      <w:r>
        <w:rPr>
          <w:szCs w:val="22"/>
          <w:lang w:val="en-CA"/>
        </w:rPr>
        <w:t>In the latest</w:t>
      </w:r>
      <w:r w:rsidR="00736741">
        <w:rPr>
          <w:szCs w:val="22"/>
          <w:lang w:val="en-CA"/>
        </w:rPr>
        <w:t xml:space="preserve"> video</w:t>
      </w:r>
      <w:r>
        <w:rPr>
          <w:szCs w:val="22"/>
          <w:lang w:val="en-CA"/>
        </w:rPr>
        <w:t xml:space="preserve"> </w:t>
      </w:r>
      <w:r w:rsidR="00736741">
        <w:rPr>
          <w:szCs w:val="22"/>
          <w:lang w:val="en-CA"/>
        </w:rPr>
        <w:t>codec</w:t>
      </w:r>
      <w:r>
        <w:rPr>
          <w:szCs w:val="22"/>
          <w:lang w:val="en-CA"/>
        </w:rPr>
        <w:t xml:space="preserve"> standard, VVC, </w:t>
      </w:r>
      <w:r w:rsidR="00736741">
        <w:rPr>
          <w:szCs w:val="22"/>
          <w:lang w:val="en-CA"/>
        </w:rPr>
        <w:t>it is not available for</w:t>
      </w:r>
      <w:r w:rsidR="004527AA">
        <w:rPr>
          <w:szCs w:val="22"/>
          <w:lang w:val="en-CA"/>
        </w:rPr>
        <w:t xml:space="preserve"> the</w:t>
      </w:r>
      <w:r w:rsidR="00736741">
        <w:rPr>
          <w:szCs w:val="22"/>
          <w:lang w:val="en-CA"/>
        </w:rPr>
        <w:t xml:space="preserve"> MPM </w:t>
      </w:r>
      <w:r w:rsidR="000806D3">
        <w:rPr>
          <w:szCs w:val="22"/>
          <w:lang w:val="en-CA"/>
        </w:rPr>
        <w:t>construction</w:t>
      </w:r>
      <w:r w:rsidR="00736741">
        <w:rPr>
          <w:szCs w:val="22"/>
          <w:lang w:val="en-CA"/>
        </w:rPr>
        <w:t xml:space="preserve"> to derive intra prediction modes from the above neighbor blocks, </w:t>
      </w:r>
      <w:r w:rsidR="004527AA">
        <w:rPr>
          <w:szCs w:val="22"/>
          <w:lang w:val="en-CA"/>
        </w:rPr>
        <w:t>if these</w:t>
      </w:r>
      <w:r w:rsidR="00736741">
        <w:rPr>
          <w:szCs w:val="22"/>
          <w:lang w:val="en-CA"/>
        </w:rPr>
        <w:t xml:space="preserve"> adjacent block</w:t>
      </w:r>
      <w:r w:rsidR="004527AA">
        <w:rPr>
          <w:szCs w:val="22"/>
          <w:lang w:val="en-CA"/>
        </w:rPr>
        <w:t>s</w:t>
      </w:r>
      <w:r w:rsidR="00736741">
        <w:rPr>
          <w:szCs w:val="22"/>
          <w:lang w:val="en-CA"/>
        </w:rPr>
        <w:t xml:space="preserve"> </w:t>
      </w:r>
      <w:r w:rsidR="004527AA">
        <w:rPr>
          <w:szCs w:val="22"/>
          <w:lang w:val="en-CA"/>
        </w:rPr>
        <w:t>are</w:t>
      </w:r>
      <w:r w:rsidR="00736741">
        <w:rPr>
          <w:szCs w:val="22"/>
          <w:lang w:val="en-CA"/>
        </w:rPr>
        <w:t xml:space="preserve"> not in the same CTU</w:t>
      </w:r>
      <w:r w:rsidR="004527AA">
        <w:rPr>
          <w:szCs w:val="22"/>
          <w:lang w:val="en-CA"/>
        </w:rPr>
        <w:t xml:space="preserve"> of the current coding block</w:t>
      </w:r>
      <w:r w:rsidR="00736741">
        <w:rPr>
          <w:szCs w:val="22"/>
          <w:lang w:val="en-CA"/>
        </w:rPr>
        <w:t xml:space="preserve">. This restriction </w:t>
      </w:r>
      <w:r w:rsidR="00BB39D5">
        <w:rPr>
          <w:szCs w:val="22"/>
          <w:lang w:val="en-CA"/>
        </w:rPr>
        <w:t>helps to prevent</w:t>
      </w:r>
      <w:r w:rsidR="00736741">
        <w:rPr>
          <w:szCs w:val="22"/>
          <w:lang w:val="en-CA"/>
        </w:rPr>
        <w:t xml:space="preserve"> the intra prediction mode </w:t>
      </w:r>
      <w:r w:rsidR="004527AA">
        <w:rPr>
          <w:szCs w:val="22"/>
          <w:lang w:val="en-CA"/>
        </w:rPr>
        <w:t>from</w:t>
      </w:r>
      <w:r w:rsidR="00736741">
        <w:rPr>
          <w:szCs w:val="22"/>
          <w:lang w:val="en-CA"/>
        </w:rPr>
        <w:t xml:space="preserve"> be</w:t>
      </w:r>
      <w:r w:rsidR="004527AA">
        <w:rPr>
          <w:szCs w:val="22"/>
          <w:lang w:val="en-CA"/>
        </w:rPr>
        <w:t>ing</w:t>
      </w:r>
      <w:r w:rsidR="00736741">
        <w:rPr>
          <w:szCs w:val="22"/>
          <w:lang w:val="en-CA"/>
        </w:rPr>
        <w:t xml:space="preserve"> stored in the </w:t>
      </w:r>
      <w:r w:rsidR="00736741">
        <w:rPr>
          <w:szCs w:val="22"/>
          <w:lang w:val="en-CA"/>
        </w:rPr>
        <w:lastRenderedPageBreak/>
        <w:t xml:space="preserve">line buffer. In ECM, however, </w:t>
      </w:r>
      <w:r w:rsidR="004527AA">
        <w:rPr>
          <w:szCs w:val="22"/>
          <w:lang w:val="en-CA"/>
        </w:rPr>
        <w:t xml:space="preserve">the </w:t>
      </w:r>
      <w:r w:rsidR="000806D3">
        <w:rPr>
          <w:szCs w:val="22"/>
          <w:lang w:val="en-CA"/>
        </w:rPr>
        <w:t xml:space="preserve">intra modes from the </w:t>
      </w:r>
      <w:r w:rsidR="00736741">
        <w:rPr>
          <w:szCs w:val="22"/>
          <w:lang w:val="en-CA"/>
        </w:rPr>
        <w:t xml:space="preserve">above blocks in the other CTUs are </w:t>
      </w:r>
      <w:r w:rsidR="004527AA">
        <w:rPr>
          <w:szCs w:val="22"/>
          <w:lang w:val="en-CA"/>
        </w:rPr>
        <w:t>not restricted in some</w:t>
      </w:r>
      <w:r w:rsidR="00432643">
        <w:rPr>
          <w:szCs w:val="22"/>
          <w:lang w:val="en-CA"/>
        </w:rPr>
        <w:t xml:space="preserve"> conditions. The cases are listed below:</w:t>
      </w:r>
    </w:p>
    <w:p w14:paraId="3BEFF346" w14:textId="38CA0EB3" w:rsidR="00432643" w:rsidRDefault="00432643" w:rsidP="00432643">
      <w:pPr>
        <w:pStyle w:val="ab"/>
        <w:numPr>
          <w:ilvl w:val="0"/>
          <w:numId w:val="12"/>
        </w:numPr>
        <w:ind w:leftChars="0"/>
        <w:rPr>
          <w:szCs w:val="22"/>
          <w:lang w:val="en-CA"/>
        </w:rPr>
      </w:pPr>
      <w:r>
        <w:rPr>
          <w:szCs w:val="22"/>
          <w:lang w:val="en-CA" w:eastAsia="ko-KR"/>
        </w:rPr>
        <w:t>Above/Left neighbor intra mode derivation when the current block is rectangular in the MPM process</w:t>
      </w:r>
    </w:p>
    <w:p w14:paraId="35563B81" w14:textId="61C11C60" w:rsidR="00432643" w:rsidRDefault="00D02F57" w:rsidP="00432643">
      <w:pPr>
        <w:pStyle w:val="ab"/>
        <w:numPr>
          <w:ilvl w:val="0"/>
          <w:numId w:val="12"/>
        </w:numPr>
        <w:ind w:leftChars="0"/>
        <w:rPr>
          <w:szCs w:val="22"/>
          <w:lang w:val="en-CA"/>
        </w:rPr>
      </w:pPr>
      <w:r>
        <w:rPr>
          <w:szCs w:val="22"/>
          <w:lang w:val="en-CA" w:eastAsia="ko-KR"/>
        </w:rPr>
        <w:t>Intra modes from the intra mode propagation buffer in the inter blocks</w:t>
      </w:r>
      <w:r w:rsidR="00A54CD3">
        <w:rPr>
          <w:szCs w:val="22"/>
          <w:lang w:val="en-CA" w:eastAsia="ko-KR"/>
        </w:rPr>
        <w:t xml:space="preserve"> </w:t>
      </w:r>
      <w:r w:rsidR="00432643">
        <w:rPr>
          <w:szCs w:val="22"/>
          <w:lang w:val="en-CA" w:eastAsia="ko-KR"/>
        </w:rPr>
        <w:t>in the MPM process</w:t>
      </w:r>
    </w:p>
    <w:p w14:paraId="1BF1DA2A" w14:textId="367198C0" w:rsidR="00432643" w:rsidRPr="00432643" w:rsidRDefault="00432643" w:rsidP="00432643">
      <w:pPr>
        <w:pStyle w:val="ab"/>
        <w:numPr>
          <w:ilvl w:val="0"/>
          <w:numId w:val="12"/>
        </w:numPr>
        <w:ind w:leftChars="0"/>
        <w:rPr>
          <w:szCs w:val="22"/>
          <w:lang w:val="en-CA"/>
        </w:rPr>
      </w:pPr>
      <w:r>
        <w:rPr>
          <w:szCs w:val="22"/>
          <w:lang w:val="en-CA" w:eastAsia="ko-KR"/>
        </w:rPr>
        <w:t>Above</w:t>
      </w:r>
      <w:r w:rsidR="00A54CD3">
        <w:rPr>
          <w:szCs w:val="22"/>
          <w:lang w:val="en-CA" w:eastAsia="ko-KR"/>
        </w:rPr>
        <w:t>-</w:t>
      </w:r>
      <w:r>
        <w:rPr>
          <w:szCs w:val="22"/>
          <w:lang w:val="en-CA" w:eastAsia="ko-KR"/>
        </w:rPr>
        <w:t>left and</w:t>
      </w:r>
      <w:r w:rsidR="00A54CD3">
        <w:rPr>
          <w:szCs w:val="22"/>
          <w:lang w:val="en-CA" w:eastAsia="ko-KR"/>
        </w:rPr>
        <w:t xml:space="preserve"> above-</w:t>
      </w:r>
      <w:r>
        <w:rPr>
          <w:szCs w:val="22"/>
          <w:lang w:val="en-CA" w:eastAsia="ko-KR"/>
        </w:rPr>
        <w:t>right</w:t>
      </w:r>
      <w:r>
        <w:rPr>
          <w:rFonts w:hint="eastAsia"/>
          <w:szCs w:val="22"/>
          <w:lang w:val="en-CA" w:eastAsia="ko-KR"/>
        </w:rPr>
        <w:t xml:space="preserve"> neighbor intra mode</w:t>
      </w:r>
      <w:r w:rsidR="00A54CD3">
        <w:rPr>
          <w:szCs w:val="22"/>
          <w:lang w:val="en-CA" w:eastAsia="ko-KR"/>
        </w:rPr>
        <w:t>s</w:t>
      </w:r>
      <w:r>
        <w:rPr>
          <w:rFonts w:hint="eastAsia"/>
          <w:szCs w:val="22"/>
          <w:lang w:val="en-CA" w:eastAsia="ko-KR"/>
        </w:rPr>
        <w:t xml:space="preserve"> when TIMD process</w:t>
      </w:r>
    </w:p>
    <w:p w14:paraId="40151DD8" w14:textId="344C416A" w:rsidR="00432643" w:rsidRDefault="00432643" w:rsidP="00432643">
      <w:pPr>
        <w:rPr>
          <w:szCs w:val="22"/>
          <w:lang w:val="en-CA"/>
        </w:rPr>
      </w:pPr>
      <w:r>
        <w:rPr>
          <w:szCs w:val="22"/>
          <w:lang w:val="en-CA"/>
        </w:rPr>
        <w:t xml:space="preserve">Firstly, in the current MPM construction of ECM, the intra mode in the above neighbor can be considered </w:t>
      </w:r>
      <w:r w:rsidR="00A24E92">
        <w:rPr>
          <w:szCs w:val="22"/>
          <w:lang w:val="en-CA"/>
        </w:rPr>
        <w:t xml:space="preserve">even though it is from the different CTU </w:t>
      </w:r>
      <w:r w:rsidR="00A54CD3">
        <w:rPr>
          <w:szCs w:val="22"/>
          <w:lang w:val="en-CA"/>
        </w:rPr>
        <w:t>when the height of the block is larger than or equal to the width of the block</w:t>
      </w:r>
      <w:r>
        <w:rPr>
          <w:szCs w:val="22"/>
          <w:lang w:val="en-CA"/>
        </w:rPr>
        <w:t xml:space="preserve">. </w:t>
      </w:r>
      <w:r w:rsidR="003D34B1">
        <w:rPr>
          <w:szCs w:val="22"/>
          <w:lang w:val="en-CA"/>
        </w:rPr>
        <w:t>Moreover</w:t>
      </w:r>
      <w:r>
        <w:rPr>
          <w:szCs w:val="22"/>
          <w:lang w:val="en-CA"/>
        </w:rPr>
        <w:t xml:space="preserve">, </w:t>
      </w:r>
      <w:r w:rsidR="00A24E92">
        <w:rPr>
          <w:szCs w:val="22"/>
          <w:lang w:val="en-CA"/>
        </w:rPr>
        <w:t xml:space="preserve">for the intra mode </w:t>
      </w:r>
      <w:r>
        <w:rPr>
          <w:szCs w:val="22"/>
          <w:lang w:val="en-CA"/>
        </w:rPr>
        <w:t xml:space="preserve">from the left </w:t>
      </w:r>
      <w:r w:rsidR="00A24E92">
        <w:rPr>
          <w:szCs w:val="22"/>
          <w:lang w:val="en-CA"/>
        </w:rPr>
        <w:t>neighbor</w:t>
      </w:r>
      <w:r>
        <w:rPr>
          <w:szCs w:val="22"/>
          <w:lang w:val="en-CA"/>
        </w:rPr>
        <w:t xml:space="preserve">, it is restricted to exploit when this block is in the </w:t>
      </w:r>
      <w:r w:rsidR="00A24E92">
        <w:rPr>
          <w:szCs w:val="22"/>
          <w:lang w:val="en-CA"/>
        </w:rPr>
        <w:t xml:space="preserve">different </w:t>
      </w:r>
      <w:r>
        <w:rPr>
          <w:szCs w:val="22"/>
          <w:lang w:val="en-CA"/>
        </w:rPr>
        <w:t>CTU</w:t>
      </w:r>
      <w:r w:rsidR="003339FA">
        <w:rPr>
          <w:szCs w:val="22"/>
          <w:lang w:val="en-CA"/>
        </w:rPr>
        <w:t xml:space="preserve"> under the same block size condition</w:t>
      </w:r>
      <w:r w:rsidR="00E7648C">
        <w:rPr>
          <w:szCs w:val="22"/>
          <w:lang w:val="en-CA"/>
        </w:rPr>
        <w:t>, which is not desired</w:t>
      </w:r>
      <w:r>
        <w:rPr>
          <w:szCs w:val="22"/>
          <w:lang w:val="en-CA"/>
        </w:rPr>
        <w:t>.</w:t>
      </w:r>
    </w:p>
    <w:p w14:paraId="78C1AC2B" w14:textId="70EB6E4C" w:rsidR="00432643" w:rsidRDefault="00432643" w:rsidP="00432643">
      <w:pPr>
        <w:rPr>
          <w:szCs w:val="22"/>
          <w:lang w:val="en-CA"/>
        </w:rPr>
      </w:pPr>
      <w:r>
        <w:rPr>
          <w:szCs w:val="22"/>
          <w:lang w:val="en-CA"/>
        </w:rPr>
        <w:t xml:space="preserve">Secondly, the </w:t>
      </w:r>
      <w:r w:rsidR="000806D3">
        <w:rPr>
          <w:szCs w:val="22"/>
          <w:lang w:val="en-CA"/>
        </w:rPr>
        <w:t>above</w:t>
      </w:r>
      <w:r w:rsidR="000F342E">
        <w:rPr>
          <w:szCs w:val="22"/>
          <w:lang w:val="en-CA"/>
        </w:rPr>
        <w:t>, above-right and above-left</w:t>
      </w:r>
      <w:r w:rsidR="000806D3">
        <w:rPr>
          <w:szCs w:val="22"/>
          <w:lang w:val="en-CA"/>
        </w:rPr>
        <w:t xml:space="preserve"> </w:t>
      </w:r>
      <w:r w:rsidR="00D02F57">
        <w:rPr>
          <w:szCs w:val="22"/>
          <w:lang w:val="en-CA"/>
        </w:rPr>
        <w:t xml:space="preserve">intra modes </w:t>
      </w:r>
      <w:r w:rsidR="000F342E">
        <w:rPr>
          <w:szCs w:val="22"/>
          <w:lang w:val="en-CA"/>
        </w:rPr>
        <w:t>in t</w:t>
      </w:r>
      <w:r w:rsidR="00D02F57">
        <w:rPr>
          <w:szCs w:val="22"/>
          <w:lang w:val="en-CA"/>
        </w:rPr>
        <w:t xml:space="preserve">he IPM buffer </w:t>
      </w:r>
      <w:r w:rsidR="000F342E">
        <w:rPr>
          <w:szCs w:val="22"/>
          <w:lang w:val="en-CA"/>
        </w:rPr>
        <w:t xml:space="preserve">from </w:t>
      </w:r>
      <w:r w:rsidR="000806D3">
        <w:rPr>
          <w:szCs w:val="22"/>
          <w:lang w:val="en-CA"/>
        </w:rPr>
        <w:t xml:space="preserve">the </w:t>
      </w:r>
      <w:r w:rsidR="000F342E">
        <w:rPr>
          <w:szCs w:val="22"/>
          <w:lang w:val="en-CA"/>
        </w:rPr>
        <w:t xml:space="preserve">other </w:t>
      </w:r>
      <w:r w:rsidR="000806D3">
        <w:rPr>
          <w:szCs w:val="22"/>
          <w:lang w:val="en-CA"/>
        </w:rPr>
        <w:t xml:space="preserve">CTUs </w:t>
      </w:r>
      <w:r>
        <w:rPr>
          <w:szCs w:val="22"/>
          <w:lang w:val="en-CA"/>
        </w:rPr>
        <w:t xml:space="preserve">are not </w:t>
      </w:r>
      <w:r w:rsidR="000806D3">
        <w:rPr>
          <w:szCs w:val="22"/>
          <w:lang w:val="en-CA"/>
        </w:rPr>
        <w:t>checked</w:t>
      </w:r>
      <w:r>
        <w:rPr>
          <w:szCs w:val="22"/>
          <w:lang w:val="en-CA"/>
        </w:rPr>
        <w:t xml:space="preserve"> at all. If it is allowed </w:t>
      </w:r>
      <w:r w:rsidR="000F342E">
        <w:rPr>
          <w:szCs w:val="22"/>
          <w:lang w:val="en-CA"/>
        </w:rPr>
        <w:t xml:space="preserve">for the current block </w:t>
      </w:r>
      <w:r>
        <w:rPr>
          <w:szCs w:val="22"/>
          <w:lang w:val="en-CA"/>
        </w:rPr>
        <w:t xml:space="preserve">to use the IPM </w:t>
      </w:r>
      <w:r w:rsidR="00D02F57">
        <w:rPr>
          <w:szCs w:val="22"/>
          <w:lang w:val="en-CA"/>
        </w:rPr>
        <w:t xml:space="preserve">information </w:t>
      </w:r>
      <w:r w:rsidR="000F342E">
        <w:rPr>
          <w:szCs w:val="22"/>
          <w:lang w:val="en-CA"/>
        </w:rPr>
        <w:t xml:space="preserve">above the </w:t>
      </w:r>
      <w:r>
        <w:rPr>
          <w:szCs w:val="22"/>
          <w:lang w:val="en-CA"/>
        </w:rPr>
        <w:t>CTU</w:t>
      </w:r>
      <w:r w:rsidR="000F342E">
        <w:rPr>
          <w:szCs w:val="22"/>
          <w:lang w:val="en-CA"/>
        </w:rPr>
        <w:t xml:space="preserve"> boundary</w:t>
      </w:r>
      <w:r>
        <w:rPr>
          <w:szCs w:val="22"/>
          <w:lang w:val="en-CA"/>
        </w:rPr>
        <w:t xml:space="preserve">, it is necessary to keep this </w:t>
      </w:r>
      <w:r w:rsidR="000806D3">
        <w:rPr>
          <w:szCs w:val="22"/>
          <w:lang w:val="en-CA"/>
        </w:rPr>
        <w:t>information</w:t>
      </w:r>
      <w:r>
        <w:rPr>
          <w:szCs w:val="22"/>
          <w:lang w:val="en-CA"/>
        </w:rPr>
        <w:t xml:space="preserve"> in the line buffer</w:t>
      </w:r>
      <w:r w:rsidR="000F342E">
        <w:rPr>
          <w:szCs w:val="22"/>
          <w:lang w:val="en-CA"/>
        </w:rPr>
        <w:t xml:space="preserve"> memory</w:t>
      </w:r>
      <w:r>
        <w:rPr>
          <w:szCs w:val="22"/>
          <w:lang w:val="en-CA"/>
        </w:rPr>
        <w:t>.</w:t>
      </w:r>
    </w:p>
    <w:p w14:paraId="0D4C2C5F" w14:textId="2CC788BB" w:rsidR="00432643" w:rsidRPr="005B217D" w:rsidRDefault="00432643" w:rsidP="00432643">
      <w:pPr>
        <w:rPr>
          <w:szCs w:val="22"/>
          <w:lang w:val="en-CA"/>
        </w:rPr>
      </w:pPr>
      <w:r>
        <w:rPr>
          <w:szCs w:val="22"/>
          <w:lang w:val="en-CA"/>
        </w:rPr>
        <w:t xml:space="preserve">Lastly, only the above </w:t>
      </w:r>
      <w:r w:rsidR="000806D3">
        <w:rPr>
          <w:szCs w:val="22"/>
          <w:lang w:val="en-CA"/>
        </w:rPr>
        <w:t>intra</w:t>
      </w:r>
      <w:r>
        <w:rPr>
          <w:szCs w:val="22"/>
          <w:lang w:val="en-CA"/>
        </w:rPr>
        <w:t xml:space="preserve"> mode is checked in the TIMD process. </w:t>
      </w:r>
      <w:r w:rsidR="000806D3">
        <w:rPr>
          <w:szCs w:val="22"/>
          <w:lang w:val="en-CA"/>
        </w:rPr>
        <w:t>T</w:t>
      </w:r>
      <w:r>
        <w:rPr>
          <w:szCs w:val="22"/>
          <w:lang w:val="en-CA"/>
        </w:rPr>
        <w:t>he above</w:t>
      </w:r>
      <w:r w:rsidR="00A54CD3">
        <w:rPr>
          <w:szCs w:val="22"/>
          <w:lang w:val="en-CA"/>
        </w:rPr>
        <w:t>-right and above-l</w:t>
      </w:r>
      <w:r>
        <w:rPr>
          <w:szCs w:val="22"/>
          <w:lang w:val="en-CA"/>
        </w:rPr>
        <w:t>eft neighbor modes are not restricted</w:t>
      </w:r>
      <w:r w:rsidR="00A54CD3">
        <w:rPr>
          <w:szCs w:val="22"/>
          <w:lang w:val="en-CA"/>
        </w:rPr>
        <w:t>, unlikely</w:t>
      </w:r>
      <w:r w:rsidR="000806D3">
        <w:rPr>
          <w:szCs w:val="22"/>
          <w:lang w:val="en-CA"/>
        </w:rPr>
        <w:t xml:space="preserve"> the way </w:t>
      </w:r>
      <w:r w:rsidR="00A54CD3">
        <w:rPr>
          <w:szCs w:val="22"/>
          <w:lang w:val="en-CA"/>
        </w:rPr>
        <w:t xml:space="preserve">for the neighbor mode derivation </w:t>
      </w:r>
      <w:r w:rsidR="000806D3">
        <w:rPr>
          <w:szCs w:val="22"/>
          <w:lang w:val="en-CA"/>
        </w:rPr>
        <w:t>in the MPM construction process.</w:t>
      </w:r>
    </w:p>
    <w:p w14:paraId="6C5F0B19" w14:textId="7DD52BF9" w:rsidR="00E61DAC" w:rsidRDefault="000806D3" w:rsidP="004234F0">
      <w:pPr>
        <w:rPr>
          <w:szCs w:val="22"/>
          <w:lang w:val="en-CA"/>
        </w:rPr>
      </w:pPr>
      <w:r>
        <w:rPr>
          <w:szCs w:val="22"/>
          <w:lang w:val="en-CA"/>
        </w:rPr>
        <w:t>Therefore, i</w:t>
      </w:r>
      <w:r w:rsidR="004527AA">
        <w:rPr>
          <w:szCs w:val="22"/>
          <w:lang w:val="en-CA"/>
        </w:rPr>
        <w:t>n this proposal, it is suggested to unify the restriction on the derivation of intra modes from the above adjacent blocks in the other CTUs.</w:t>
      </w:r>
    </w:p>
    <w:p w14:paraId="2C18F324" w14:textId="09581C6F" w:rsidR="004527AA" w:rsidRDefault="00E7648C" w:rsidP="004527AA">
      <w:pPr>
        <w:pStyle w:val="1"/>
        <w:rPr>
          <w:lang w:val="en-CA"/>
        </w:rPr>
      </w:pPr>
      <w:r>
        <w:rPr>
          <w:lang w:val="en-CA"/>
        </w:rPr>
        <w:t>Proposed method</w:t>
      </w:r>
    </w:p>
    <w:p w14:paraId="093CCEEF" w14:textId="1CC67284" w:rsidR="008A4B5A" w:rsidRPr="008A4B5A" w:rsidRDefault="00401C7B" w:rsidP="008A4B5A">
      <w:pPr>
        <w:pStyle w:val="2"/>
        <w:rPr>
          <w:lang w:val="en-CA" w:eastAsia="ko-KR"/>
        </w:rPr>
      </w:pPr>
      <w:r>
        <w:rPr>
          <w:lang w:val="en-CA" w:eastAsia="ko-KR"/>
        </w:rPr>
        <w:t>Method1: Consistently restrict to refer</w:t>
      </w:r>
      <w:r w:rsidR="008A4B5A" w:rsidRPr="00E7648C">
        <w:rPr>
          <w:rFonts w:hint="eastAsia"/>
          <w:lang w:val="en-CA" w:eastAsia="ko-KR"/>
        </w:rPr>
        <w:t xml:space="preserve"> the above neighbor modes</w:t>
      </w:r>
      <w:r>
        <w:rPr>
          <w:lang w:val="en-CA" w:eastAsia="ko-KR"/>
        </w:rPr>
        <w:t xml:space="preserve"> from the different CTU</w:t>
      </w:r>
    </w:p>
    <w:p w14:paraId="7D4D3A04" w14:textId="63B78EDA" w:rsidR="00E7648C" w:rsidRDefault="008A4B5A" w:rsidP="00E7648C">
      <w:pPr>
        <w:rPr>
          <w:lang w:val="en-CA" w:eastAsia="ko-KR"/>
        </w:rPr>
      </w:pPr>
      <w:r>
        <w:rPr>
          <w:lang w:val="en-CA" w:eastAsia="ko-KR"/>
        </w:rPr>
        <w:t>I</w:t>
      </w:r>
      <w:r w:rsidR="00746093">
        <w:rPr>
          <w:rFonts w:hint="eastAsia"/>
          <w:lang w:val="en-CA" w:eastAsia="ko-KR"/>
        </w:rPr>
        <w:t xml:space="preserve">t is proposed for the MPM or TIMD candidates </w:t>
      </w:r>
      <w:r w:rsidR="00746093">
        <w:rPr>
          <w:lang w:val="en-CA" w:eastAsia="ko-KR"/>
        </w:rPr>
        <w:t xml:space="preserve">from the above neighbor blocks </w:t>
      </w:r>
      <w:r w:rsidR="00746093">
        <w:rPr>
          <w:rFonts w:hint="eastAsia"/>
          <w:lang w:val="en-CA" w:eastAsia="ko-KR"/>
        </w:rPr>
        <w:t xml:space="preserve">to be </w:t>
      </w:r>
      <w:r w:rsidR="00746093">
        <w:rPr>
          <w:lang w:val="en-CA" w:eastAsia="ko-KR"/>
        </w:rPr>
        <w:t xml:space="preserve">consistently restricted. </w:t>
      </w:r>
      <w:r>
        <w:rPr>
          <w:lang w:val="en-CA" w:eastAsia="ko-KR"/>
        </w:rPr>
        <w:t>For the MPM construction, if</w:t>
      </w:r>
      <w:r w:rsidR="00746093">
        <w:rPr>
          <w:lang w:val="en-CA" w:eastAsia="ko-KR"/>
        </w:rPr>
        <w:t xml:space="preserve"> the </w:t>
      </w:r>
      <w:r>
        <w:rPr>
          <w:lang w:val="en-CA" w:eastAsia="ko-KR"/>
        </w:rPr>
        <w:t xml:space="preserve">current </w:t>
      </w:r>
      <w:r w:rsidR="00746093">
        <w:rPr>
          <w:lang w:val="en-CA" w:eastAsia="ko-KR"/>
        </w:rPr>
        <w:t>block which has smaller width than height, the above intra mode is restricted and the l</w:t>
      </w:r>
      <w:r>
        <w:rPr>
          <w:lang w:val="en-CA" w:eastAsia="ko-KR"/>
        </w:rPr>
        <w:t xml:space="preserve">eft mode can be derived when the neighbor intra modes are from the different CTUs. Then, </w:t>
      </w:r>
      <w:r w:rsidR="00D02F57">
        <w:rPr>
          <w:lang w:val="en-CA" w:eastAsia="ko-KR"/>
        </w:rPr>
        <w:t>intra modes of the IPM buffer</w:t>
      </w:r>
      <w:r>
        <w:rPr>
          <w:lang w:val="en-CA" w:eastAsia="ko-KR"/>
        </w:rPr>
        <w:t xml:space="preserve"> </w:t>
      </w:r>
      <w:r w:rsidR="00D02F57">
        <w:rPr>
          <w:lang w:val="en-CA" w:eastAsia="ko-KR"/>
        </w:rPr>
        <w:t xml:space="preserve">in </w:t>
      </w:r>
      <w:r>
        <w:rPr>
          <w:lang w:val="en-CA" w:eastAsia="ko-KR"/>
        </w:rPr>
        <w:t xml:space="preserve">the above, above-left, and above-right neighbors are not used as the candidates </w:t>
      </w:r>
      <w:r w:rsidR="00B36080">
        <w:rPr>
          <w:lang w:val="en-CA" w:eastAsia="ko-KR"/>
        </w:rPr>
        <w:t xml:space="preserve">of MPM </w:t>
      </w:r>
      <w:r>
        <w:rPr>
          <w:lang w:val="en-CA" w:eastAsia="ko-KR"/>
        </w:rPr>
        <w:t>if those modes are from the different CTUs. Lastly, the above-right and above-left neighbor intra modes in the TIMD process are not exploited when they are not in the same CTU.</w:t>
      </w:r>
    </w:p>
    <w:p w14:paraId="48F99D78" w14:textId="55F2BBD8" w:rsidR="008A4B5A" w:rsidRPr="00E7648C" w:rsidRDefault="00401C7B" w:rsidP="008A4B5A">
      <w:pPr>
        <w:pStyle w:val="2"/>
        <w:rPr>
          <w:lang w:val="en-CA" w:eastAsia="ko-KR"/>
        </w:rPr>
      </w:pPr>
      <w:r>
        <w:rPr>
          <w:lang w:val="en-CA" w:eastAsia="ko-KR"/>
        </w:rPr>
        <w:t xml:space="preserve">Method2: </w:t>
      </w:r>
      <w:r w:rsidR="008A4B5A">
        <w:rPr>
          <w:rFonts w:hint="eastAsia"/>
          <w:lang w:val="en-CA" w:eastAsia="ko-KR"/>
        </w:rPr>
        <w:t>No restriction for the above neighbor blocks</w:t>
      </w:r>
    </w:p>
    <w:p w14:paraId="54332404" w14:textId="5ADD5F1C" w:rsidR="008A4B5A" w:rsidRPr="008A4B5A" w:rsidRDefault="008A4B5A" w:rsidP="00E7648C">
      <w:pPr>
        <w:rPr>
          <w:lang w:val="en-CA" w:eastAsia="ko-KR"/>
        </w:rPr>
      </w:pPr>
      <w:r>
        <w:rPr>
          <w:rFonts w:hint="eastAsia"/>
          <w:lang w:val="en-CA" w:eastAsia="ko-KR"/>
        </w:rPr>
        <w:t xml:space="preserve">It is suggested to </w:t>
      </w:r>
      <w:r>
        <w:rPr>
          <w:lang w:val="en-CA" w:eastAsia="ko-KR"/>
        </w:rPr>
        <w:t xml:space="preserve">use </w:t>
      </w:r>
      <w:r>
        <w:rPr>
          <w:rFonts w:hint="eastAsia"/>
          <w:lang w:val="en-CA" w:eastAsia="ko-KR"/>
        </w:rPr>
        <w:t xml:space="preserve">the </w:t>
      </w:r>
      <w:r>
        <w:rPr>
          <w:lang w:val="en-CA" w:eastAsia="ko-KR"/>
        </w:rPr>
        <w:t xml:space="preserve">intra modes </w:t>
      </w:r>
      <w:r w:rsidR="000F342E">
        <w:rPr>
          <w:lang w:val="en-CA" w:eastAsia="ko-KR"/>
        </w:rPr>
        <w:t>of the intra or inter neighbor blocks</w:t>
      </w:r>
      <w:r w:rsidR="00D02F57">
        <w:rPr>
          <w:lang w:val="en-CA" w:eastAsia="ko-KR"/>
        </w:rPr>
        <w:t xml:space="preserve"> </w:t>
      </w:r>
      <w:r>
        <w:rPr>
          <w:lang w:val="en-CA" w:eastAsia="ko-KR"/>
        </w:rPr>
        <w:t xml:space="preserve">from the above, above-right, or above-left </w:t>
      </w:r>
      <w:r>
        <w:rPr>
          <w:rFonts w:hint="eastAsia"/>
          <w:lang w:val="en-CA" w:eastAsia="ko-KR"/>
        </w:rPr>
        <w:t>neighbor</w:t>
      </w:r>
      <w:r>
        <w:rPr>
          <w:lang w:val="en-CA" w:eastAsia="ko-KR"/>
        </w:rPr>
        <w:t xml:space="preserve"> blocks, regardless of the CTU </w:t>
      </w:r>
      <w:r w:rsidR="00A54CD3">
        <w:rPr>
          <w:lang w:val="en-CA" w:eastAsia="ko-KR"/>
        </w:rPr>
        <w:t>bound</w:t>
      </w:r>
      <w:r w:rsidR="002B08E0">
        <w:rPr>
          <w:lang w:val="en-CA" w:eastAsia="ko-KR"/>
        </w:rPr>
        <w:t>aries</w:t>
      </w:r>
      <w:r w:rsidR="00C17DA3">
        <w:rPr>
          <w:lang w:val="en-CA" w:eastAsia="ko-KR"/>
        </w:rPr>
        <w:t>.</w:t>
      </w:r>
      <w:r>
        <w:rPr>
          <w:lang w:val="en-CA" w:eastAsia="ko-KR"/>
        </w:rPr>
        <w:t xml:space="preserve"> </w:t>
      </w:r>
      <w:r w:rsidR="00A54CD3">
        <w:rPr>
          <w:lang w:val="en-CA" w:eastAsia="ko-KR"/>
        </w:rPr>
        <w:t xml:space="preserve">The </w:t>
      </w:r>
      <w:r w:rsidR="00C1131D">
        <w:rPr>
          <w:lang w:val="en-CA" w:eastAsia="ko-KR"/>
        </w:rPr>
        <w:t xml:space="preserve">CTU </w:t>
      </w:r>
      <w:r w:rsidR="00C17DA3">
        <w:rPr>
          <w:lang w:val="en-CA" w:eastAsia="ko-KR"/>
        </w:rPr>
        <w:t xml:space="preserve">boundary check </w:t>
      </w:r>
      <w:r w:rsidR="00A54CD3">
        <w:rPr>
          <w:lang w:val="en-CA" w:eastAsia="ko-KR"/>
        </w:rPr>
        <w:t xml:space="preserve">conditions </w:t>
      </w:r>
      <w:r>
        <w:rPr>
          <w:lang w:val="en-CA" w:eastAsia="ko-KR"/>
        </w:rPr>
        <w:t xml:space="preserve">for the second candidate, above-left and above-right candidates </w:t>
      </w:r>
      <w:r w:rsidR="00C1131D">
        <w:rPr>
          <w:lang w:val="en-CA" w:eastAsia="ko-KR"/>
        </w:rPr>
        <w:t xml:space="preserve">in </w:t>
      </w:r>
      <w:r>
        <w:rPr>
          <w:lang w:val="en-CA" w:eastAsia="ko-KR"/>
        </w:rPr>
        <w:t>the MPM construction</w:t>
      </w:r>
      <w:r w:rsidR="00C1131D">
        <w:rPr>
          <w:lang w:val="en-CA" w:eastAsia="ko-KR"/>
        </w:rPr>
        <w:t xml:space="preserve"> process</w:t>
      </w:r>
      <w:r>
        <w:rPr>
          <w:lang w:val="en-CA" w:eastAsia="ko-KR"/>
        </w:rPr>
        <w:t xml:space="preserve">, and </w:t>
      </w:r>
      <w:r w:rsidR="00C1131D">
        <w:rPr>
          <w:lang w:val="en-CA" w:eastAsia="ko-KR"/>
        </w:rPr>
        <w:t xml:space="preserve">the one for </w:t>
      </w:r>
      <w:r>
        <w:rPr>
          <w:lang w:val="en-CA" w:eastAsia="ko-KR"/>
        </w:rPr>
        <w:t xml:space="preserve">the above neighbor candidate </w:t>
      </w:r>
      <w:r w:rsidR="006B075C">
        <w:rPr>
          <w:lang w:val="en-CA" w:eastAsia="ko-KR"/>
        </w:rPr>
        <w:t>of</w:t>
      </w:r>
      <w:r>
        <w:rPr>
          <w:lang w:val="en-CA" w:eastAsia="ko-KR"/>
        </w:rPr>
        <w:t xml:space="preserve"> the TIMD process are removed.</w:t>
      </w:r>
    </w:p>
    <w:p w14:paraId="029A511B" w14:textId="7526307A" w:rsidR="00E7648C" w:rsidRDefault="00E7648C" w:rsidP="00E11923">
      <w:pPr>
        <w:pStyle w:val="1"/>
        <w:rPr>
          <w:lang w:val="en-CA" w:eastAsia="ko-KR"/>
        </w:rPr>
      </w:pPr>
      <w:r>
        <w:rPr>
          <w:rFonts w:hint="eastAsia"/>
          <w:lang w:val="en-CA" w:eastAsia="ko-KR"/>
        </w:rPr>
        <w:t>Experimental results</w:t>
      </w:r>
    </w:p>
    <w:p w14:paraId="2937B8B5" w14:textId="0EED5C30" w:rsidR="006B075C" w:rsidRPr="006B075C" w:rsidRDefault="006B075C" w:rsidP="006B075C">
      <w:pPr>
        <w:rPr>
          <w:lang w:val="en-CA" w:eastAsia="ko-KR"/>
        </w:rPr>
      </w:pPr>
      <w:r>
        <w:rPr>
          <w:rFonts w:hint="eastAsia"/>
          <w:lang w:val="en-CA" w:eastAsia="ko-KR"/>
        </w:rPr>
        <w:t>The</w:t>
      </w:r>
      <w:r>
        <w:rPr>
          <w:lang w:val="en-CA" w:eastAsia="ko-KR"/>
        </w:rPr>
        <w:t xml:space="preserve"> proposed methods are implemented in ECM-3.1. The experiments are conducted as described in </w:t>
      </w:r>
      <w:r>
        <w:rPr>
          <w:rFonts w:hint="eastAsia"/>
          <w:lang w:val="en-CA" w:eastAsia="ko-KR"/>
        </w:rPr>
        <w:t xml:space="preserve">the common test </w:t>
      </w:r>
      <w:r>
        <w:rPr>
          <w:lang w:val="en-CA" w:eastAsia="ko-KR"/>
        </w:rPr>
        <w:t xml:space="preserve">conditions </w:t>
      </w:r>
      <w:r>
        <w:rPr>
          <w:lang w:val="en-CA" w:eastAsia="ko-KR"/>
        </w:rPr>
        <w:fldChar w:fldCharType="begin"/>
      </w:r>
      <w:r>
        <w:rPr>
          <w:lang w:val="en-CA" w:eastAsia="ko-KR"/>
        </w:rPr>
        <w:instrText xml:space="preserve"> </w:instrText>
      </w:r>
      <w:r>
        <w:rPr>
          <w:rFonts w:hint="eastAsia"/>
          <w:lang w:val="en-CA" w:eastAsia="ko-KR"/>
        </w:rPr>
        <w:instrText>REF _Ref36827579 \n \h</w:instrText>
      </w:r>
      <w:r>
        <w:rPr>
          <w:lang w:val="en-CA" w:eastAsia="ko-KR"/>
        </w:rPr>
        <w:instrText xml:space="preserve"> </w:instrText>
      </w:r>
      <w:r>
        <w:rPr>
          <w:lang w:val="en-CA" w:eastAsia="ko-KR"/>
        </w:rPr>
      </w:r>
      <w:r>
        <w:rPr>
          <w:lang w:val="en-CA" w:eastAsia="ko-KR"/>
        </w:rPr>
        <w:fldChar w:fldCharType="separate"/>
      </w:r>
      <w:r>
        <w:rPr>
          <w:lang w:val="en-CA" w:eastAsia="ko-KR"/>
        </w:rPr>
        <w:t>[1]</w:t>
      </w:r>
      <w:r>
        <w:rPr>
          <w:lang w:val="en-CA" w:eastAsia="ko-KR"/>
        </w:rPr>
        <w:fldChar w:fldCharType="end"/>
      </w:r>
      <w:r>
        <w:rPr>
          <w:lang w:val="en-CA" w:eastAsia="ko-KR"/>
        </w:rPr>
        <w:t xml:space="preserve"> with all intra (AI) and random access (RA) configurations</w:t>
      </w:r>
      <w:r>
        <w:rPr>
          <w:rFonts w:hint="eastAsia"/>
          <w:lang w:val="en-CA" w:eastAsia="ko-KR"/>
        </w:rPr>
        <w:t>.</w:t>
      </w:r>
    </w:p>
    <w:p w14:paraId="0ECC266F" w14:textId="7212AF76" w:rsidR="00167882" w:rsidRPr="00167882" w:rsidRDefault="00E7648C">
      <w:pPr>
        <w:pStyle w:val="2"/>
        <w:rPr>
          <w:lang w:val="en-CA" w:eastAsia="ko-KR"/>
        </w:rPr>
      </w:pPr>
      <w:r w:rsidRPr="00167882">
        <w:rPr>
          <w:lang w:val="en-CA" w:eastAsia="ko-KR"/>
        </w:rPr>
        <w:t>Unified restriction to the above neighbor modes</w:t>
      </w:r>
    </w:p>
    <w:tbl>
      <w:tblPr>
        <w:tblW w:w="7080" w:type="dxa"/>
        <w:tblCellMar>
          <w:left w:w="99" w:type="dxa"/>
          <w:right w:w="99" w:type="dxa"/>
        </w:tblCellMar>
        <w:tblLook w:val="04A0" w:firstRow="1" w:lastRow="0" w:firstColumn="1" w:lastColumn="0" w:noHBand="0" w:noVBand="1"/>
      </w:tblPr>
      <w:tblGrid>
        <w:gridCol w:w="1180"/>
        <w:gridCol w:w="1274"/>
        <w:gridCol w:w="1273"/>
        <w:gridCol w:w="1273"/>
        <w:gridCol w:w="1040"/>
        <w:gridCol w:w="1040"/>
      </w:tblGrid>
      <w:tr w:rsidR="00167882" w:rsidRPr="00167882" w14:paraId="7739403E" w14:textId="77777777" w:rsidTr="00167882">
        <w:trPr>
          <w:trHeight w:val="255"/>
        </w:trPr>
        <w:tc>
          <w:tcPr>
            <w:tcW w:w="1180" w:type="dxa"/>
            <w:tcBorders>
              <w:top w:val="nil"/>
              <w:left w:val="nil"/>
              <w:bottom w:val="nil"/>
              <w:right w:val="nil"/>
            </w:tcBorders>
            <w:shd w:val="clear" w:color="auto" w:fill="auto"/>
            <w:noWrap/>
            <w:vAlign w:val="center"/>
            <w:hideMark/>
          </w:tcPr>
          <w:p w14:paraId="656FB384"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46ABCB"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67882">
              <w:rPr>
                <w:rFonts w:ascii="Arial" w:eastAsia="맑은 고딕" w:hAnsi="Arial" w:cs="Arial"/>
                <w:b/>
                <w:bCs/>
                <w:color w:val="000000"/>
                <w:sz w:val="18"/>
                <w:szCs w:val="18"/>
                <w:lang w:eastAsia="ko-KR"/>
              </w:rPr>
              <w:t xml:space="preserve">All Intra Main 10 </w:t>
            </w:r>
          </w:p>
        </w:tc>
      </w:tr>
      <w:tr w:rsidR="00167882" w:rsidRPr="00167882" w14:paraId="30F2500F" w14:textId="77777777" w:rsidTr="00167882">
        <w:trPr>
          <w:trHeight w:val="255"/>
        </w:trPr>
        <w:tc>
          <w:tcPr>
            <w:tcW w:w="1180" w:type="dxa"/>
            <w:tcBorders>
              <w:top w:val="nil"/>
              <w:left w:val="nil"/>
              <w:bottom w:val="nil"/>
              <w:right w:val="nil"/>
            </w:tcBorders>
            <w:shd w:val="clear" w:color="auto" w:fill="auto"/>
            <w:noWrap/>
            <w:vAlign w:val="center"/>
            <w:hideMark/>
          </w:tcPr>
          <w:p w14:paraId="6A627EE3"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AAA7C0"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67882">
              <w:rPr>
                <w:rFonts w:ascii="Arial" w:eastAsia="맑은 고딕" w:hAnsi="Arial" w:cs="Arial"/>
                <w:b/>
                <w:bCs/>
                <w:color w:val="000000"/>
                <w:sz w:val="18"/>
                <w:szCs w:val="18"/>
                <w:lang w:eastAsia="ko-KR"/>
              </w:rPr>
              <w:t>Over ECM-3.1</w:t>
            </w:r>
          </w:p>
        </w:tc>
      </w:tr>
      <w:tr w:rsidR="00167882" w:rsidRPr="00167882" w14:paraId="04CD342F" w14:textId="77777777" w:rsidTr="00167882">
        <w:trPr>
          <w:trHeight w:val="255"/>
        </w:trPr>
        <w:tc>
          <w:tcPr>
            <w:tcW w:w="1180" w:type="dxa"/>
            <w:tcBorders>
              <w:top w:val="nil"/>
              <w:left w:val="nil"/>
              <w:bottom w:val="nil"/>
              <w:right w:val="nil"/>
            </w:tcBorders>
            <w:shd w:val="clear" w:color="auto" w:fill="auto"/>
            <w:noWrap/>
            <w:vAlign w:val="center"/>
            <w:hideMark/>
          </w:tcPr>
          <w:p w14:paraId="5AF62B16"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30DFCA74"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466875B"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3C635EEA"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4B3CFAF8"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D74CC43"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DecT</w:t>
            </w:r>
          </w:p>
        </w:tc>
      </w:tr>
      <w:tr w:rsidR="00167882" w:rsidRPr="00167882" w14:paraId="71B4FBFC" w14:textId="77777777" w:rsidTr="00167882">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4F579CB4"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lastRenderedPageBreak/>
              <w:t>Class A1</w:t>
            </w:r>
          </w:p>
        </w:tc>
        <w:tc>
          <w:tcPr>
            <w:tcW w:w="1274" w:type="dxa"/>
            <w:tcBorders>
              <w:top w:val="nil"/>
              <w:left w:val="nil"/>
              <w:bottom w:val="nil"/>
              <w:right w:val="nil"/>
            </w:tcBorders>
            <w:shd w:val="clear" w:color="auto" w:fill="auto"/>
            <w:noWrap/>
            <w:vAlign w:val="center"/>
            <w:hideMark/>
          </w:tcPr>
          <w:p w14:paraId="6F2396FB"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0.01%</w:t>
            </w:r>
          </w:p>
        </w:tc>
        <w:tc>
          <w:tcPr>
            <w:tcW w:w="1273" w:type="dxa"/>
            <w:tcBorders>
              <w:top w:val="nil"/>
              <w:left w:val="nil"/>
              <w:bottom w:val="nil"/>
              <w:right w:val="nil"/>
            </w:tcBorders>
            <w:shd w:val="clear" w:color="auto" w:fill="auto"/>
            <w:noWrap/>
            <w:vAlign w:val="center"/>
            <w:hideMark/>
          </w:tcPr>
          <w:p w14:paraId="4364031C"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-0.14%</w:t>
            </w:r>
          </w:p>
        </w:tc>
        <w:tc>
          <w:tcPr>
            <w:tcW w:w="1273" w:type="dxa"/>
            <w:tcBorders>
              <w:top w:val="nil"/>
              <w:left w:val="nil"/>
              <w:bottom w:val="nil"/>
              <w:right w:val="single" w:sz="4" w:space="0" w:color="auto"/>
            </w:tcBorders>
            <w:shd w:val="clear" w:color="auto" w:fill="auto"/>
            <w:noWrap/>
            <w:vAlign w:val="center"/>
            <w:hideMark/>
          </w:tcPr>
          <w:p w14:paraId="6ED8209C"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0.02%</w:t>
            </w:r>
          </w:p>
        </w:tc>
        <w:tc>
          <w:tcPr>
            <w:tcW w:w="1040" w:type="dxa"/>
            <w:tcBorders>
              <w:top w:val="nil"/>
              <w:left w:val="nil"/>
              <w:bottom w:val="nil"/>
              <w:right w:val="nil"/>
            </w:tcBorders>
            <w:shd w:val="clear" w:color="auto" w:fill="auto"/>
            <w:noWrap/>
            <w:vAlign w:val="center"/>
            <w:hideMark/>
          </w:tcPr>
          <w:p w14:paraId="7467FFE6"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98%</w:t>
            </w:r>
          </w:p>
        </w:tc>
        <w:tc>
          <w:tcPr>
            <w:tcW w:w="1040" w:type="dxa"/>
            <w:tcBorders>
              <w:top w:val="nil"/>
              <w:left w:val="nil"/>
              <w:bottom w:val="nil"/>
              <w:right w:val="single" w:sz="8" w:space="0" w:color="auto"/>
            </w:tcBorders>
            <w:shd w:val="clear" w:color="auto" w:fill="auto"/>
            <w:noWrap/>
            <w:vAlign w:val="center"/>
            <w:hideMark/>
          </w:tcPr>
          <w:p w14:paraId="54D104E1"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r>
      <w:tr w:rsidR="00167882" w:rsidRPr="00167882" w14:paraId="11785E35" w14:textId="77777777" w:rsidTr="00167882">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4733E0FE"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2C4B4039"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-0.01%</w:t>
            </w:r>
          </w:p>
        </w:tc>
        <w:tc>
          <w:tcPr>
            <w:tcW w:w="1273" w:type="dxa"/>
            <w:tcBorders>
              <w:top w:val="nil"/>
              <w:left w:val="nil"/>
              <w:bottom w:val="nil"/>
              <w:right w:val="nil"/>
            </w:tcBorders>
            <w:shd w:val="clear" w:color="auto" w:fill="auto"/>
            <w:noWrap/>
            <w:vAlign w:val="center"/>
            <w:hideMark/>
          </w:tcPr>
          <w:p w14:paraId="5DEB9D47"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0.06%</w:t>
            </w:r>
          </w:p>
        </w:tc>
        <w:tc>
          <w:tcPr>
            <w:tcW w:w="1273" w:type="dxa"/>
            <w:tcBorders>
              <w:top w:val="nil"/>
              <w:left w:val="nil"/>
              <w:bottom w:val="nil"/>
              <w:right w:val="single" w:sz="4" w:space="0" w:color="auto"/>
            </w:tcBorders>
            <w:shd w:val="clear" w:color="auto" w:fill="auto"/>
            <w:noWrap/>
            <w:vAlign w:val="center"/>
            <w:hideMark/>
          </w:tcPr>
          <w:p w14:paraId="32FD8D14"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0.03%</w:t>
            </w:r>
          </w:p>
        </w:tc>
        <w:tc>
          <w:tcPr>
            <w:tcW w:w="1040" w:type="dxa"/>
            <w:tcBorders>
              <w:top w:val="nil"/>
              <w:left w:val="nil"/>
              <w:bottom w:val="nil"/>
              <w:right w:val="nil"/>
            </w:tcBorders>
            <w:shd w:val="clear" w:color="auto" w:fill="auto"/>
            <w:noWrap/>
            <w:vAlign w:val="center"/>
            <w:hideMark/>
          </w:tcPr>
          <w:p w14:paraId="4419FB67"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c>
          <w:tcPr>
            <w:tcW w:w="1040" w:type="dxa"/>
            <w:tcBorders>
              <w:top w:val="nil"/>
              <w:left w:val="nil"/>
              <w:bottom w:val="nil"/>
              <w:right w:val="single" w:sz="8" w:space="0" w:color="auto"/>
            </w:tcBorders>
            <w:shd w:val="clear" w:color="auto" w:fill="auto"/>
            <w:noWrap/>
            <w:vAlign w:val="center"/>
            <w:hideMark/>
          </w:tcPr>
          <w:p w14:paraId="33CE6EAB"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r>
      <w:tr w:rsidR="00167882" w:rsidRPr="00167882" w14:paraId="56DB2FCF" w14:textId="77777777" w:rsidTr="00167882">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51C2C0B0"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37670AF0"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0.00%</w:t>
            </w:r>
          </w:p>
        </w:tc>
        <w:tc>
          <w:tcPr>
            <w:tcW w:w="1273" w:type="dxa"/>
            <w:tcBorders>
              <w:top w:val="nil"/>
              <w:left w:val="nil"/>
              <w:bottom w:val="nil"/>
              <w:right w:val="nil"/>
            </w:tcBorders>
            <w:shd w:val="clear" w:color="auto" w:fill="auto"/>
            <w:noWrap/>
            <w:vAlign w:val="center"/>
            <w:hideMark/>
          </w:tcPr>
          <w:p w14:paraId="071B5B5A"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-0.03%</w:t>
            </w:r>
          </w:p>
        </w:tc>
        <w:tc>
          <w:tcPr>
            <w:tcW w:w="1273" w:type="dxa"/>
            <w:tcBorders>
              <w:top w:val="nil"/>
              <w:left w:val="nil"/>
              <w:bottom w:val="nil"/>
              <w:right w:val="single" w:sz="4" w:space="0" w:color="auto"/>
            </w:tcBorders>
            <w:shd w:val="clear" w:color="auto" w:fill="auto"/>
            <w:noWrap/>
            <w:vAlign w:val="center"/>
            <w:hideMark/>
          </w:tcPr>
          <w:p w14:paraId="3F8C4E15"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-0.14%</w:t>
            </w:r>
          </w:p>
        </w:tc>
        <w:tc>
          <w:tcPr>
            <w:tcW w:w="1040" w:type="dxa"/>
            <w:tcBorders>
              <w:top w:val="nil"/>
              <w:left w:val="nil"/>
              <w:bottom w:val="nil"/>
              <w:right w:val="nil"/>
            </w:tcBorders>
            <w:shd w:val="clear" w:color="auto" w:fill="auto"/>
            <w:noWrap/>
            <w:vAlign w:val="center"/>
            <w:hideMark/>
          </w:tcPr>
          <w:p w14:paraId="049C52ED"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c>
          <w:tcPr>
            <w:tcW w:w="1040" w:type="dxa"/>
            <w:tcBorders>
              <w:top w:val="nil"/>
              <w:left w:val="nil"/>
              <w:bottom w:val="nil"/>
              <w:right w:val="single" w:sz="8" w:space="0" w:color="auto"/>
            </w:tcBorders>
            <w:shd w:val="clear" w:color="auto" w:fill="auto"/>
            <w:noWrap/>
            <w:vAlign w:val="center"/>
            <w:hideMark/>
          </w:tcPr>
          <w:p w14:paraId="7C25F2A9"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100%</w:t>
            </w:r>
          </w:p>
        </w:tc>
      </w:tr>
      <w:tr w:rsidR="00167882" w:rsidRPr="00167882" w14:paraId="773EE868" w14:textId="77777777" w:rsidTr="00167882">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31C60020"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13FFA2FF"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0.00%</w:t>
            </w:r>
          </w:p>
        </w:tc>
        <w:tc>
          <w:tcPr>
            <w:tcW w:w="1273" w:type="dxa"/>
            <w:tcBorders>
              <w:top w:val="nil"/>
              <w:left w:val="nil"/>
              <w:bottom w:val="nil"/>
              <w:right w:val="nil"/>
            </w:tcBorders>
            <w:shd w:val="clear" w:color="auto" w:fill="auto"/>
            <w:noWrap/>
            <w:vAlign w:val="center"/>
            <w:hideMark/>
          </w:tcPr>
          <w:p w14:paraId="511CBC2B"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0.03%</w:t>
            </w:r>
          </w:p>
        </w:tc>
        <w:tc>
          <w:tcPr>
            <w:tcW w:w="1273" w:type="dxa"/>
            <w:tcBorders>
              <w:top w:val="nil"/>
              <w:left w:val="nil"/>
              <w:bottom w:val="nil"/>
              <w:right w:val="single" w:sz="4" w:space="0" w:color="auto"/>
            </w:tcBorders>
            <w:shd w:val="clear" w:color="auto" w:fill="auto"/>
            <w:noWrap/>
            <w:vAlign w:val="center"/>
            <w:hideMark/>
          </w:tcPr>
          <w:p w14:paraId="566BABEA"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-0.09%</w:t>
            </w:r>
          </w:p>
        </w:tc>
        <w:tc>
          <w:tcPr>
            <w:tcW w:w="1040" w:type="dxa"/>
            <w:tcBorders>
              <w:top w:val="nil"/>
              <w:left w:val="nil"/>
              <w:bottom w:val="nil"/>
              <w:right w:val="nil"/>
            </w:tcBorders>
            <w:shd w:val="clear" w:color="auto" w:fill="auto"/>
            <w:noWrap/>
            <w:vAlign w:val="center"/>
            <w:hideMark/>
          </w:tcPr>
          <w:p w14:paraId="7BAF183B"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98%</w:t>
            </w:r>
          </w:p>
        </w:tc>
        <w:tc>
          <w:tcPr>
            <w:tcW w:w="1040" w:type="dxa"/>
            <w:tcBorders>
              <w:top w:val="nil"/>
              <w:left w:val="nil"/>
              <w:bottom w:val="nil"/>
              <w:right w:val="single" w:sz="8" w:space="0" w:color="auto"/>
            </w:tcBorders>
            <w:shd w:val="clear" w:color="auto" w:fill="auto"/>
            <w:noWrap/>
            <w:vAlign w:val="center"/>
            <w:hideMark/>
          </w:tcPr>
          <w:p w14:paraId="074182AD"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r>
      <w:tr w:rsidR="00167882" w:rsidRPr="00167882" w14:paraId="2C473692" w14:textId="77777777" w:rsidTr="00167882">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4366DB83"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5C0002A3"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0.04%</w:t>
            </w:r>
          </w:p>
        </w:tc>
        <w:tc>
          <w:tcPr>
            <w:tcW w:w="1273" w:type="dxa"/>
            <w:tcBorders>
              <w:top w:val="nil"/>
              <w:left w:val="nil"/>
              <w:bottom w:val="nil"/>
              <w:right w:val="nil"/>
            </w:tcBorders>
            <w:shd w:val="clear" w:color="auto" w:fill="auto"/>
            <w:noWrap/>
            <w:vAlign w:val="center"/>
            <w:hideMark/>
          </w:tcPr>
          <w:p w14:paraId="0771FD16"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-0.22%</w:t>
            </w:r>
          </w:p>
        </w:tc>
        <w:tc>
          <w:tcPr>
            <w:tcW w:w="1273" w:type="dxa"/>
            <w:tcBorders>
              <w:top w:val="nil"/>
              <w:left w:val="nil"/>
              <w:bottom w:val="nil"/>
              <w:right w:val="single" w:sz="4" w:space="0" w:color="auto"/>
            </w:tcBorders>
            <w:shd w:val="clear" w:color="auto" w:fill="auto"/>
            <w:noWrap/>
            <w:vAlign w:val="center"/>
            <w:hideMark/>
          </w:tcPr>
          <w:p w14:paraId="3B06EE9D"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-0.01%</w:t>
            </w:r>
          </w:p>
        </w:tc>
        <w:tc>
          <w:tcPr>
            <w:tcW w:w="1040" w:type="dxa"/>
            <w:tcBorders>
              <w:top w:val="nil"/>
              <w:left w:val="nil"/>
              <w:bottom w:val="nil"/>
              <w:right w:val="nil"/>
            </w:tcBorders>
            <w:shd w:val="clear" w:color="auto" w:fill="auto"/>
            <w:noWrap/>
            <w:vAlign w:val="center"/>
            <w:hideMark/>
          </w:tcPr>
          <w:p w14:paraId="13FCCAAA"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c>
          <w:tcPr>
            <w:tcW w:w="1040" w:type="dxa"/>
            <w:tcBorders>
              <w:top w:val="nil"/>
              <w:left w:val="nil"/>
              <w:bottom w:val="nil"/>
              <w:right w:val="single" w:sz="8" w:space="0" w:color="auto"/>
            </w:tcBorders>
            <w:shd w:val="clear" w:color="auto" w:fill="auto"/>
            <w:noWrap/>
            <w:vAlign w:val="center"/>
            <w:hideMark/>
          </w:tcPr>
          <w:p w14:paraId="63F79620"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98%</w:t>
            </w:r>
          </w:p>
        </w:tc>
      </w:tr>
      <w:tr w:rsidR="00167882" w:rsidRPr="00167882" w14:paraId="7ED50E8E" w14:textId="77777777" w:rsidTr="00167882">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43055CED"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67882">
              <w:rPr>
                <w:rFonts w:ascii="Arial" w:eastAsia="맑은 고딕" w:hAnsi="Arial" w:cs="Arial"/>
                <w:b/>
                <w:bCs/>
                <w:color w:val="000000"/>
                <w:sz w:val="18"/>
                <w:szCs w:val="18"/>
                <w:lang w:eastAsia="ko-KR"/>
              </w:rPr>
              <w:t xml:space="preserve">Overall </w:t>
            </w:r>
          </w:p>
        </w:tc>
        <w:tc>
          <w:tcPr>
            <w:tcW w:w="1274" w:type="dxa"/>
            <w:tcBorders>
              <w:top w:val="single" w:sz="8" w:space="0" w:color="auto"/>
              <w:left w:val="nil"/>
              <w:bottom w:val="nil"/>
              <w:right w:val="nil"/>
            </w:tcBorders>
            <w:shd w:val="clear" w:color="auto" w:fill="auto"/>
            <w:noWrap/>
            <w:vAlign w:val="center"/>
            <w:hideMark/>
          </w:tcPr>
          <w:p w14:paraId="3FCABA6D"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0.01%</w:t>
            </w:r>
          </w:p>
        </w:tc>
        <w:tc>
          <w:tcPr>
            <w:tcW w:w="1273" w:type="dxa"/>
            <w:tcBorders>
              <w:top w:val="single" w:sz="8" w:space="0" w:color="auto"/>
              <w:left w:val="nil"/>
              <w:bottom w:val="nil"/>
              <w:right w:val="nil"/>
            </w:tcBorders>
            <w:shd w:val="clear" w:color="auto" w:fill="auto"/>
            <w:noWrap/>
            <w:vAlign w:val="center"/>
            <w:hideMark/>
          </w:tcPr>
          <w:p w14:paraId="5F5EC8A1"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-0.05%</w:t>
            </w:r>
          </w:p>
        </w:tc>
        <w:tc>
          <w:tcPr>
            <w:tcW w:w="1273" w:type="dxa"/>
            <w:tcBorders>
              <w:top w:val="single" w:sz="8" w:space="0" w:color="auto"/>
              <w:left w:val="nil"/>
              <w:bottom w:val="nil"/>
              <w:right w:val="single" w:sz="4" w:space="0" w:color="auto"/>
            </w:tcBorders>
            <w:shd w:val="clear" w:color="auto" w:fill="auto"/>
            <w:noWrap/>
            <w:vAlign w:val="center"/>
            <w:hideMark/>
          </w:tcPr>
          <w:p w14:paraId="5243AAF1"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-0.05%</w:t>
            </w:r>
          </w:p>
        </w:tc>
        <w:tc>
          <w:tcPr>
            <w:tcW w:w="1040" w:type="dxa"/>
            <w:tcBorders>
              <w:top w:val="single" w:sz="8" w:space="0" w:color="auto"/>
              <w:left w:val="nil"/>
              <w:bottom w:val="nil"/>
              <w:right w:val="nil"/>
            </w:tcBorders>
            <w:shd w:val="clear" w:color="auto" w:fill="auto"/>
            <w:noWrap/>
            <w:vAlign w:val="center"/>
            <w:hideMark/>
          </w:tcPr>
          <w:p w14:paraId="0901D352"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98%</w:t>
            </w:r>
          </w:p>
        </w:tc>
        <w:tc>
          <w:tcPr>
            <w:tcW w:w="1040" w:type="dxa"/>
            <w:tcBorders>
              <w:top w:val="single" w:sz="8" w:space="0" w:color="auto"/>
              <w:left w:val="nil"/>
              <w:bottom w:val="nil"/>
              <w:right w:val="single" w:sz="8" w:space="0" w:color="auto"/>
            </w:tcBorders>
            <w:shd w:val="clear" w:color="auto" w:fill="auto"/>
            <w:noWrap/>
            <w:vAlign w:val="center"/>
            <w:hideMark/>
          </w:tcPr>
          <w:p w14:paraId="26149641"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r>
      <w:tr w:rsidR="00167882" w:rsidRPr="00167882" w14:paraId="68341CCF" w14:textId="77777777" w:rsidTr="00652E28">
        <w:trPr>
          <w:trHeight w:val="255"/>
        </w:trPr>
        <w:tc>
          <w:tcPr>
            <w:tcW w:w="1180" w:type="dxa"/>
            <w:tcBorders>
              <w:top w:val="single" w:sz="8" w:space="0" w:color="auto"/>
              <w:left w:val="single" w:sz="8" w:space="0" w:color="auto"/>
              <w:right w:val="single" w:sz="8" w:space="0" w:color="auto"/>
            </w:tcBorders>
            <w:shd w:val="clear" w:color="auto" w:fill="auto"/>
            <w:noWrap/>
            <w:vAlign w:val="center"/>
            <w:hideMark/>
          </w:tcPr>
          <w:p w14:paraId="4E9C60B6"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Class D</w:t>
            </w:r>
          </w:p>
        </w:tc>
        <w:tc>
          <w:tcPr>
            <w:tcW w:w="1274" w:type="dxa"/>
            <w:tcBorders>
              <w:top w:val="single" w:sz="8" w:space="0" w:color="auto"/>
              <w:left w:val="nil"/>
              <w:right w:val="nil"/>
            </w:tcBorders>
            <w:shd w:val="clear" w:color="auto" w:fill="auto"/>
            <w:noWrap/>
            <w:vAlign w:val="center"/>
            <w:hideMark/>
          </w:tcPr>
          <w:p w14:paraId="6036FB29"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0.02%</w:t>
            </w:r>
          </w:p>
        </w:tc>
        <w:tc>
          <w:tcPr>
            <w:tcW w:w="1273" w:type="dxa"/>
            <w:tcBorders>
              <w:top w:val="single" w:sz="8" w:space="0" w:color="auto"/>
              <w:left w:val="nil"/>
              <w:right w:val="nil"/>
            </w:tcBorders>
            <w:shd w:val="clear" w:color="auto" w:fill="auto"/>
            <w:noWrap/>
            <w:vAlign w:val="center"/>
            <w:hideMark/>
          </w:tcPr>
          <w:p w14:paraId="384E33F4"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0.07%</w:t>
            </w:r>
          </w:p>
        </w:tc>
        <w:tc>
          <w:tcPr>
            <w:tcW w:w="1273" w:type="dxa"/>
            <w:tcBorders>
              <w:top w:val="single" w:sz="8" w:space="0" w:color="auto"/>
              <w:left w:val="nil"/>
              <w:right w:val="single" w:sz="4" w:space="0" w:color="auto"/>
            </w:tcBorders>
            <w:shd w:val="clear" w:color="auto" w:fill="auto"/>
            <w:noWrap/>
            <w:vAlign w:val="center"/>
            <w:hideMark/>
          </w:tcPr>
          <w:p w14:paraId="2B2BEC3C"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-0.06%</w:t>
            </w:r>
          </w:p>
        </w:tc>
        <w:tc>
          <w:tcPr>
            <w:tcW w:w="1040" w:type="dxa"/>
            <w:tcBorders>
              <w:top w:val="single" w:sz="8" w:space="0" w:color="auto"/>
              <w:left w:val="nil"/>
              <w:right w:val="nil"/>
            </w:tcBorders>
            <w:shd w:val="clear" w:color="auto" w:fill="auto"/>
            <w:noWrap/>
            <w:vAlign w:val="center"/>
            <w:hideMark/>
          </w:tcPr>
          <w:p w14:paraId="4F129668"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c>
          <w:tcPr>
            <w:tcW w:w="1040" w:type="dxa"/>
            <w:tcBorders>
              <w:top w:val="single" w:sz="8" w:space="0" w:color="auto"/>
              <w:left w:val="nil"/>
              <w:right w:val="single" w:sz="8" w:space="0" w:color="auto"/>
            </w:tcBorders>
            <w:shd w:val="clear" w:color="auto" w:fill="auto"/>
            <w:noWrap/>
            <w:vAlign w:val="center"/>
            <w:hideMark/>
          </w:tcPr>
          <w:p w14:paraId="1721011B"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99%</w:t>
            </w:r>
          </w:p>
        </w:tc>
      </w:tr>
      <w:tr w:rsidR="00167882" w:rsidRPr="00167882" w14:paraId="5DDEC0DB" w14:textId="77777777" w:rsidTr="00652E28">
        <w:trPr>
          <w:trHeight w:val="255"/>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32420D4A"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Class F</w:t>
            </w:r>
          </w:p>
        </w:tc>
        <w:tc>
          <w:tcPr>
            <w:tcW w:w="1274" w:type="dxa"/>
            <w:tcBorders>
              <w:top w:val="nil"/>
              <w:left w:val="nil"/>
              <w:bottom w:val="single" w:sz="8" w:space="0" w:color="auto"/>
              <w:right w:val="nil"/>
            </w:tcBorders>
            <w:shd w:val="clear" w:color="auto" w:fill="auto"/>
            <w:noWrap/>
            <w:vAlign w:val="center"/>
            <w:hideMark/>
          </w:tcPr>
          <w:p w14:paraId="2B048C6D"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0.03%</w:t>
            </w:r>
          </w:p>
        </w:tc>
        <w:tc>
          <w:tcPr>
            <w:tcW w:w="1273" w:type="dxa"/>
            <w:tcBorders>
              <w:top w:val="nil"/>
              <w:left w:val="nil"/>
              <w:bottom w:val="single" w:sz="8" w:space="0" w:color="auto"/>
              <w:right w:val="nil"/>
            </w:tcBorders>
            <w:shd w:val="clear" w:color="auto" w:fill="auto"/>
            <w:noWrap/>
            <w:vAlign w:val="center"/>
            <w:hideMark/>
          </w:tcPr>
          <w:p w14:paraId="688C0271"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0.04%</w:t>
            </w:r>
          </w:p>
        </w:tc>
        <w:tc>
          <w:tcPr>
            <w:tcW w:w="1273" w:type="dxa"/>
            <w:tcBorders>
              <w:top w:val="nil"/>
              <w:left w:val="nil"/>
              <w:bottom w:val="single" w:sz="8" w:space="0" w:color="auto"/>
              <w:right w:val="single" w:sz="4" w:space="0" w:color="auto"/>
            </w:tcBorders>
            <w:shd w:val="clear" w:color="auto" w:fill="auto"/>
            <w:noWrap/>
            <w:vAlign w:val="center"/>
            <w:hideMark/>
          </w:tcPr>
          <w:p w14:paraId="5E46A8E0"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-0.06%</w:t>
            </w:r>
          </w:p>
        </w:tc>
        <w:tc>
          <w:tcPr>
            <w:tcW w:w="1040" w:type="dxa"/>
            <w:tcBorders>
              <w:top w:val="nil"/>
              <w:left w:val="nil"/>
              <w:bottom w:val="single" w:sz="8" w:space="0" w:color="auto"/>
              <w:right w:val="nil"/>
            </w:tcBorders>
            <w:shd w:val="clear" w:color="auto" w:fill="auto"/>
            <w:noWrap/>
            <w:vAlign w:val="center"/>
            <w:hideMark/>
          </w:tcPr>
          <w:p w14:paraId="57C994EE"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101%</w:t>
            </w:r>
          </w:p>
        </w:tc>
        <w:tc>
          <w:tcPr>
            <w:tcW w:w="1040" w:type="dxa"/>
            <w:tcBorders>
              <w:top w:val="nil"/>
              <w:left w:val="nil"/>
              <w:bottom w:val="single" w:sz="8" w:space="0" w:color="auto"/>
              <w:right w:val="single" w:sz="8" w:space="0" w:color="auto"/>
            </w:tcBorders>
            <w:shd w:val="clear" w:color="auto" w:fill="auto"/>
            <w:noWrap/>
            <w:vAlign w:val="center"/>
            <w:hideMark/>
          </w:tcPr>
          <w:p w14:paraId="6B635C74"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67882">
              <w:rPr>
                <w:rFonts w:ascii="Arial" w:eastAsia="맑은 고딕" w:hAnsi="Arial" w:cs="Arial"/>
                <w:color w:val="000000"/>
                <w:sz w:val="18"/>
                <w:szCs w:val="18"/>
                <w:lang w:eastAsia="ko-KR"/>
              </w:rPr>
              <w:t>100%</w:t>
            </w:r>
          </w:p>
        </w:tc>
      </w:tr>
    </w:tbl>
    <w:p w14:paraId="42F64992" w14:textId="79968EDC" w:rsidR="006B075C" w:rsidRDefault="006B075C" w:rsidP="006B075C">
      <w:pPr>
        <w:rPr>
          <w:lang w:val="en-CA" w:eastAsia="ko-KR"/>
        </w:rPr>
      </w:pPr>
    </w:p>
    <w:tbl>
      <w:tblPr>
        <w:tblW w:w="7083" w:type="dxa"/>
        <w:tblCellMar>
          <w:left w:w="99" w:type="dxa"/>
          <w:right w:w="99" w:type="dxa"/>
        </w:tblCellMar>
        <w:tblLook w:val="04A0" w:firstRow="1" w:lastRow="0" w:firstColumn="1" w:lastColumn="0" w:noHBand="0" w:noVBand="1"/>
      </w:tblPr>
      <w:tblGrid>
        <w:gridCol w:w="1180"/>
        <w:gridCol w:w="1273"/>
        <w:gridCol w:w="1273"/>
        <w:gridCol w:w="1272"/>
        <w:gridCol w:w="1041"/>
        <w:gridCol w:w="1044"/>
      </w:tblGrid>
      <w:tr w:rsidR="004B07C1" w:rsidRPr="004B07C1" w14:paraId="1C2D4013" w14:textId="77777777" w:rsidTr="00652E28">
        <w:trPr>
          <w:trHeight w:val="255"/>
        </w:trPr>
        <w:tc>
          <w:tcPr>
            <w:tcW w:w="1180" w:type="dxa"/>
            <w:tcBorders>
              <w:top w:val="nil"/>
              <w:left w:val="nil"/>
              <w:bottom w:val="nil"/>
              <w:right w:val="nil"/>
            </w:tcBorders>
            <w:shd w:val="clear" w:color="auto" w:fill="auto"/>
            <w:noWrap/>
            <w:vAlign w:val="center"/>
            <w:hideMark/>
          </w:tcPr>
          <w:p w14:paraId="3723A546" w14:textId="77777777" w:rsidR="004B07C1" w:rsidRPr="004B07C1"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882CD8" w14:textId="77777777" w:rsidR="004B07C1" w:rsidRPr="004B07C1"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B07C1">
              <w:rPr>
                <w:rFonts w:ascii="Arial" w:eastAsia="맑은 고딕" w:hAnsi="Arial" w:cs="Arial"/>
                <w:b/>
                <w:bCs/>
                <w:color w:val="000000"/>
                <w:sz w:val="18"/>
                <w:szCs w:val="18"/>
                <w:lang w:eastAsia="ko-KR"/>
              </w:rPr>
              <w:t>Random Access Main 10</w:t>
            </w:r>
          </w:p>
        </w:tc>
      </w:tr>
      <w:tr w:rsidR="004B07C1" w:rsidRPr="0021608C" w14:paraId="0AD728FB" w14:textId="77777777" w:rsidTr="00652E28">
        <w:trPr>
          <w:trHeight w:val="255"/>
        </w:trPr>
        <w:tc>
          <w:tcPr>
            <w:tcW w:w="1180" w:type="dxa"/>
            <w:tcBorders>
              <w:top w:val="nil"/>
              <w:left w:val="nil"/>
              <w:bottom w:val="nil"/>
              <w:right w:val="nil"/>
            </w:tcBorders>
            <w:shd w:val="clear" w:color="auto" w:fill="auto"/>
            <w:noWrap/>
            <w:vAlign w:val="center"/>
            <w:hideMark/>
          </w:tcPr>
          <w:p w14:paraId="0EFFD812" w14:textId="77777777" w:rsidR="004B07C1" w:rsidRPr="004B07C1"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10E2BD"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1608C">
              <w:rPr>
                <w:rFonts w:ascii="Arial" w:eastAsia="맑은 고딕" w:hAnsi="Arial" w:cs="Arial"/>
                <w:b/>
                <w:bCs/>
                <w:color w:val="000000"/>
                <w:sz w:val="18"/>
                <w:szCs w:val="18"/>
                <w:lang w:eastAsia="ko-KR"/>
              </w:rPr>
              <w:t>Over ECM-3.1</w:t>
            </w:r>
          </w:p>
        </w:tc>
      </w:tr>
      <w:tr w:rsidR="004B07C1" w:rsidRPr="0021608C" w14:paraId="6CDE0971" w14:textId="77777777" w:rsidTr="00652E28">
        <w:trPr>
          <w:trHeight w:val="255"/>
        </w:trPr>
        <w:tc>
          <w:tcPr>
            <w:tcW w:w="1180" w:type="dxa"/>
            <w:tcBorders>
              <w:top w:val="nil"/>
              <w:left w:val="nil"/>
              <w:bottom w:val="nil"/>
              <w:right w:val="nil"/>
            </w:tcBorders>
            <w:shd w:val="clear" w:color="auto" w:fill="auto"/>
            <w:noWrap/>
            <w:vAlign w:val="center"/>
            <w:hideMark/>
          </w:tcPr>
          <w:p w14:paraId="7B4BE11F"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29086E74"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43822C49"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3E9C5AE"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6A51AA41"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EncT</w:t>
            </w:r>
          </w:p>
        </w:tc>
        <w:tc>
          <w:tcPr>
            <w:tcW w:w="1044" w:type="dxa"/>
            <w:tcBorders>
              <w:top w:val="nil"/>
              <w:left w:val="nil"/>
              <w:bottom w:val="single" w:sz="8" w:space="0" w:color="auto"/>
              <w:right w:val="single" w:sz="8" w:space="0" w:color="auto"/>
            </w:tcBorders>
            <w:shd w:val="clear" w:color="auto" w:fill="auto"/>
            <w:noWrap/>
            <w:vAlign w:val="center"/>
            <w:hideMark/>
          </w:tcPr>
          <w:p w14:paraId="59FD7E2A"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DecT</w:t>
            </w:r>
          </w:p>
        </w:tc>
      </w:tr>
      <w:tr w:rsidR="004B07C1" w:rsidRPr="0021608C" w14:paraId="1E08FF25" w14:textId="77777777" w:rsidTr="00652E2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1D1D1B61"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00B01E4D"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7F871D13"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7D736F71"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50872C13"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#DIV/0!</w:t>
            </w:r>
          </w:p>
        </w:tc>
        <w:tc>
          <w:tcPr>
            <w:tcW w:w="1044" w:type="dxa"/>
            <w:tcBorders>
              <w:top w:val="nil"/>
              <w:left w:val="nil"/>
              <w:bottom w:val="nil"/>
              <w:right w:val="single" w:sz="8" w:space="0" w:color="auto"/>
            </w:tcBorders>
            <w:shd w:val="clear" w:color="auto" w:fill="auto"/>
            <w:noWrap/>
            <w:vAlign w:val="center"/>
            <w:hideMark/>
          </w:tcPr>
          <w:p w14:paraId="6CB2AFA3"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#DIV/0!</w:t>
            </w:r>
          </w:p>
        </w:tc>
      </w:tr>
      <w:tr w:rsidR="004B07C1" w:rsidRPr="0021608C" w14:paraId="6A6D3FF2" w14:textId="77777777" w:rsidTr="00652E2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5A30FCE4"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462977D"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755A5605"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25A30630"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7A312963"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#DIV/0!</w:t>
            </w:r>
          </w:p>
        </w:tc>
        <w:tc>
          <w:tcPr>
            <w:tcW w:w="1044" w:type="dxa"/>
            <w:tcBorders>
              <w:top w:val="nil"/>
              <w:left w:val="nil"/>
              <w:bottom w:val="nil"/>
              <w:right w:val="single" w:sz="8" w:space="0" w:color="auto"/>
            </w:tcBorders>
            <w:shd w:val="clear" w:color="auto" w:fill="auto"/>
            <w:noWrap/>
            <w:vAlign w:val="center"/>
            <w:hideMark/>
          </w:tcPr>
          <w:p w14:paraId="4B0DC5E2"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#DIV/0!</w:t>
            </w:r>
          </w:p>
        </w:tc>
      </w:tr>
      <w:tr w:rsidR="004B07C1" w:rsidRPr="0021608C" w14:paraId="373150C6" w14:textId="77777777" w:rsidTr="00652E2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7C3B26BD"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044A1C39"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0.02%</w:t>
            </w:r>
          </w:p>
        </w:tc>
        <w:tc>
          <w:tcPr>
            <w:tcW w:w="1273" w:type="dxa"/>
            <w:tcBorders>
              <w:top w:val="nil"/>
              <w:left w:val="nil"/>
              <w:bottom w:val="nil"/>
              <w:right w:val="nil"/>
            </w:tcBorders>
            <w:shd w:val="clear" w:color="auto" w:fill="auto"/>
            <w:noWrap/>
            <w:vAlign w:val="center"/>
            <w:hideMark/>
          </w:tcPr>
          <w:p w14:paraId="2A29580D"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0.02%</w:t>
            </w:r>
          </w:p>
        </w:tc>
        <w:tc>
          <w:tcPr>
            <w:tcW w:w="1272" w:type="dxa"/>
            <w:tcBorders>
              <w:top w:val="nil"/>
              <w:left w:val="nil"/>
              <w:bottom w:val="nil"/>
              <w:right w:val="single" w:sz="4" w:space="0" w:color="auto"/>
            </w:tcBorders>
            <w:shd w:val="clear" w:color="auto" w:fill="auto"/>
            <w:noWrap/>
            <w:vAlign w:val="center"/>
            <w:hideMark/>
          </w:tcPr>
          <w:p w14:paraId="0F23BE0C"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0.08%</w:t>
            </w:r>
          </w:p>
        </w:tc>
        <w:tc>
          <w:tcPr>
            <w:tcW w:w="1041" w:type="dxa"/>
            <w:tcBorders>
              <w:top w:val="nil"/>
              <w:left w:val="nil"/>
              <w:bottom w:val="nil"/>
              <w:right w:val="nil"/>
            </w:tcBorders>
            <w:shd w:val="clear" w:color="auto" w:fill="auto"/>
            <w:noWrap/>
            <w:vAlign w:val="center"/>
            <w:hideMark/>
          </w:tcPr>
          <w:p w14:paraId="693E853C"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100%</w:t>
            </w:r>
          </w:p>
        </w:tc>
        <w:tc>
          <w:tcPr>
            <w:tcW w:w="1044" w:type="dxa"/>
            <w:tcBorders>
              <w:top w:val="nil"/>
              <w:left w:val="nil"/>
              <w:bottom w:val="nil"/>
              <w:right w:val="single" w:sz="8" w:space="0" w:color="auto"/>
            </w:tcBorders>
            <w:shd w:val="clear" w:color="auto" w:fill="auto"/>
            <w:noWrap/>
            <w:vAlign w:val="center"/>
            <w:hideMark/>
          </w:tcPr>
          <w:p w14:paraId="1E8A3573"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103%</w:t>
            </w:r>
          </w:p>
        </w:tc>
      </w:tr>
      <w:tr w:rsidR="004B07C1" w:rsidRPr="0021608C" w14:paraId="5F94119A" w14:textId="77777777" w:rsidTr="00652E2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79F48728"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34F1F175"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0.02%</w:t>
            </w:r>
          </w:p>
        </w:tc>
        <w:tc>
          <w:tcPr>
            <w:tcW w:w="1273" w:type="dxa"/>
            <w:tcBorders>
              <w:top w:val="nil"/>
              <w:left w:val="nil"/>
              <w:bottom w:val="nil"/>
              <w:right w:val="nil"/>
            </w:tcBorders>
            <w:shd w:val="clear" w:color="auto" w:fill="auto"/>
            <w:noWrap/>
            <w:vAlign w:val="center"/>
            <w:hideMark/>
          </w:tcPr>
          <w:p w14:paraId="40C8ECF2"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0.11%</w:t>
            </w:r>
          </w:p>
        </w:tc>
        <w:tc>
          <w:tcPr>
            <w:tcW w:w="1272" w:type="dxa"/>
            <w:tcBorders>
              <w:top w:val="nil"/>
              <w:left w:val="nil"/>
              <w:bottom w:val="nil"/>
              <w:right w:val="single" w:sz="4" w:space="0" w:color="auto"/>
            </w:tcBorders>
            <w:shd w:val="clear" w:color="auto" w:fill="auto"/>
            <w:noWrap/>
            <w:vAlign w:val="center"/>
            <w:hideMark/>
          </w:tcPr>
          <w:p w14:paraId="7736D8C7"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0.32%</w:t>
            </w:r>
          </w:p>
        </w:tc>
        <w:tc>
          <w:tcPr>
            <w:tcW w:w="1041" w:type="dxa"/>
            <w:tcBorders>
              <w:top w:val="nil"/>
              <w:left w:val="nil"/>
              <w:bottom w:val="nil"/>
              <w:right w:val="nil"/>
            </w:tcBorders>
            <w:shd w:val="clear" w:color="auto" w:fill="auto"/>
            <w:noWrap/>
            <w:vAlign w:val="center"/>
            <w:hideMark/>
          </w:tcPr>
          <w:p w14:paraId="0E273478"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99%</w:t>
            </w:r>
          </w:p>
        </w:tc>
        <w:tc>
          <w:tcPr>
            <w:tcW w:w="1044" w:type="dxa"/>
            <w:tcBorders>
              <w:top w:val="nil"/>
              <w:left w:val="nil"/>
              <w:bottom w:val="nil"/>
              <w:right w:val="single" w:sz="8" w:space="0" w:color="auto"/>
            </w:tcBorders>
            <w:shd w:val="clear" w:color="auto" w:fill="auto"/>
            <w:noWrap/>
            <w:vAlign w:val="center"/>
            <w:hideMark/>
          </w:tcPr>
          <w:p w14:paraId="1114A1E9"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100%</w:t>
            </w:r>
          </w:p>
        </w:tc>
      </w:tr>
      <w:tr w:rsidR="004B07C1" w:rsidRPr="0021608C" w14:paraId="2F2E2EB8" w14:textId="77777777" w:rsidTr="00652E2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4E74365B"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5B563319"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14F33175"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50BD1425"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0BAA397"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 xml:space="preserve">　</w:t>
            </w:r>
          </w:p>
        </w:tc>
        <w:tc>
          <w:tcPr>
            <w:tcW w:w="1044" w:type="dxa"/>
            <w:tcBorders>
              <w:top w:val="nil"/>
              <w:left w:val="nil"/>
              <w:bottom w:val="nil"/>
              <w:right w:val="single" w:sz="8" w:space="0" w:color="auto"/>
            </w:tcBorders>
            <w:shd w:val="clear" w:color="auto" w:fill="auto"/>
            <w:noWrap/>
            <w:vAlign w:val="center"/>
            <w:hideMark/>
          </w:tcPr>
          <w:p w14:paraId="13228AA9"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 xml:space="preserve">　</w:t>
            </w:r>
          </w:p>
        </w:tc>
      </w:tr>
      <w:tr w:rsidR="004B07C1" w:rsidRPr="0021608C" w14:paraId="07E81850" w14:textId="77777777" w:rsidTr="00652E2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19C3061A"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1608C">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69CDC695"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273" w:type="dxa"/>
            <w:tcBorders>
              <w:top w:val="single" w:sz="8" w:space="0" w:color="auto"/>
              <w:left w:val="nil"/>
              <w:bottom w:val="nil"/>
              <w:right w:val="nil"/>
            </w:tcBorders>
            <w:shd w:val="clear" w:color="auto" w:fill="auto"/>
            <w:noWrap/>
            <w:vAlign w:val="center"/>
            <w:hideMark/>
          </w:tcPr>
          <w:p w14:paraId="16482DFE"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272" w:type="dxa"/>
            <w:tcBorders>
              <w:top w:val="single" w:sz="8" w:space="0" w:color="auto"/>
              <w:left w:val="nil"/>
              <w:bottom w:val="nil"/>
              <w:right w:val="single" w:sz="4" w:space="0" w:color="auto"/>
            </w:tcBorders>
            <w:shd w:val="clear" w:color="auto" w:fill="auto"/>
            <w:noWrap/>
            <w:vAlign w:val="center"/>
            <w:hideMark/>
          </w:tcPr>
          <w:p w14:paraId="6A191B9F"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041" w:type="dxa"/>
            <w:tcBorders>
              <w:top w:val="single" w:sz="8" w:space="0" w:color="auto"/>
              <w:left w:val="nil"/>
              <w:bottom w:val="nil"/>
              <w:right w:val="nil"/>
            </w:tcBorders>
            <w:shd w:val="clear" w:color="auto" w:fill="auto"/>
            <w:noWrap/>
            <w:vAlign w:val="center"/>
            <w:hideMark/>
          </w:tcPr>
          <w:p w14:paraId="6045A55C"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#DIV/0!</w:t>
            </w:r>
          </w:p>
        </w:tc>
        <w:tc>
          <w:tcPr>
            <w:tcW w:w="1044" w:type="dxa"/>
            <w:tcBorders>
              <w:top w:val="single" w:sz="8" w:space="0" w:color="auto"/>
              <w:left w:val="nil"/>
              <w:bottom w:val="nil"/>
              <w:right w:val="single" w:sz="8" w:space="0" w:color="auto"/>
            </w:tcBorders>
            <w:shd w:val="clear" w:color="auto" w:fill="auto"/>
            <w:noWrap/>
            <w:vAlign w:val="center"/>
            <w:hideMark/>
          </w:tcPr>
          <w:p w14:paraId="6AE5AB43"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#DIV/0!</w:t>
            </w:r>
          </w:p>
        </w:tc>
      </w:tr>
      <w:tr w:rsidR="004B07C1" w:rsidRPr="0021608C" w14:paraId="384CDEA6" w14:textId="77777777" w:rsidTr="00652E28">
        <w:trPr>
          <w:trHeight w:val="255"/>
        </w:trPr>
        <w:tc>
          <w:tcPr>
            <w:tcW w:w="1180" w:type="dxa"/>
            <w:tcBorders>
              <w:top w:val="single" w:sz="8" w:space="0" w:color="auto"/>
              <w:left w:val="single" w:sz="8" w:space="0" w:color="auto"/>
              <w:right w:val="single" w:sz="8" w:space="0" w:color="auto"/>
            </w:tcBorders>
            <w:shd w:val="clear" w:color="auto" w:fill="auto"/>
            <w:noWrap/>
            <w:vAlign w:val="center"/>
            <w:hideMark/>
          </w:tcPr>
          <w:p w14:paraId="6DF968FC"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D</w:t>
            </w:r>
          </w:p>
        </w:tc>
        <w:tc>
          <w:tcPr>
            <w:tcW w:w="1273" w:type="dxa"/>
            <w:tcBorders>
              <w:top w:val="single" w:sz="8" w:space="0" w:color="auto"/>
              <w:left w:val="nil"/>
              <w:right w:val="nil"/>
            </w:tcBorders>
            <w:shd w:val="clear" w:color="auto" w:fill="auto"/>
            <w:noWrap/>
            <w:vAlign w:val="center"/>
            <w:hideMark/>
          </w:tcPr>
          <w:p w14:paraId="143D8708"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0.00%</w:t>
            </w:r>
          </w:p>
        </w:tc>
        <w:tc>
          <w:tcPr>
            <w:tcW w:w="1273" w:type="dxa"/>
            <w:tcBorders>
              <w:top w:val="single" w:sz="8" w:space="0" w:color="auto"/>
              <w:left w:val="nil"/>
              <w:right w:val="nil"/>
            </w:tcBorders>
            <w:shd w:val="clear" w:color="auto" w:fill="auto"/>
            <w:noWrap/>
            <w:vAlign w:val="center"/>
            <w:hideMark/>
          </w:tcPr>
          <w:p w14:paraId="1771FE92"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272" w:type="dxa"/>
            <w:tcBorders>
              <w:top w:val="single" w:sz="8" w:space="0" w:color="auto"/>
              <w:left w:val="nil"/>
              <w:right w:val="single" w:sz="4" w:space="0" w:color="auto"/>
            </w:tcBorders>
            <w:shd w:val="clear" w:color="auto" w:fill="auto"/>
            <w:noWrap/>
            <w:vAlign w:val="center"/>
            <w:hideMark/>
          </w:tcPr>
          <w:p w14:paraId="0B3FF784"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-0.14%</w:t>
            </w:r>
          </w:p>
        </w:tc>
        <w:tc>
          <w:tcPr>
            <w:tcW w:w="1041" w:type="dxa"/>
            <w:tcBorders>
              <w:top w:val="single" w:sz="8" w:space="0" w:color="auto"/>
              <w:left w:val="nil"/>
              <w:right w:val="nil"/>
            </w:tcBorders>
            <w:shd w:val="clear" w:color="auto" w:fill="auto"/>
            <w:noWrap/>
            <w:vAlign w:val="center"/>
            <w:hideMark/>
          </w:tcPr>
          <w:p w14:paraId="30073994"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99%</w:t>
            </w:r>
          </w:p>
        </w:tc>
        <w:tc>
          <w:tcPr>
            <w:tcW w:w="1044" w:type="dxa"/>
            <w:tcBorders>
              <w:top w:val="single" w:sz="8" w:space="0" w:color="auto"/>
              <w:left w:val="nil"/>
              <w:right w:val="single" w:sz="8" w:space="0" w:color="auto"/>
            </w:tcBorders>
            <w:shd w:val="clear" w:color="auto" w:fill="auto"/>
            <w:noWrap/>
            <w:vAlign w:val="center"/>
            <w:hideMark/>
          </w:tcPr>
          <w:p w14:paraId="2038A634"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100%</w:t>
            </w:r>
          </w:p>
        </w:tc>
      </w:tr>
      <w:tr w:rsidR="004B07C1" w:rsidRPr="0021608C" w14:paraId="79DF9BB8" w14:textId="77777777" w:rsidTr="00652E28">
        <w:trPr>
          <w:trHeight w:val="255"/>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78066443"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F</w:t>
            </w:r>
          </w:p>
        </w:tc>
        <w:tc>
          <w:tcPr>
            <w:tcW w:w="1273" w:type="dxa"/>
            <w:tcBorders>
              <w:top w:val="nil"/>
              <w:left w:val="nil"/>
              <w:bottom w:val="single" w:sz="8" w:space="0" w:color="auto"/>
              <w:right w:val="nil"/>
            </w:tcBorders>
            <w:shd w:val="clear" w:color="auto" w:fill="auto"/>
            <w:noWrap/>
            <w:vAlign w:val="center"/>
            <w:hideMark/>
          </w:tcPr>
          <w:p w14:paraId="28415601"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0.02%</w:t>
            </w:r>
          </w:p>
        </w:tc>
        <w:tc>
          <w:tcPr>
            <w:tcW w:w="1273" w:type="dxa"/>
            <w:tcBorders>
              <w:top w:val="nil"/>
              <w:left w:val="nil"/>
              <w:bottom w:val="single" w:sz="8" w:space="0" w:color="auto"/>
              <w:right w:val="nil"/>
            </w:tcBorders>
            <w:shd w:val="clear" w:color="auto" w:fill="auto"/>
            <w:noWrap/>
            <w:vAlign w:val="center"/>
            <w:hideMark/>
          </w:tcPr>
          <w:p w14:paraId="6D8D1AFC"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0.19%</w:t>
            </w:r>
          </w:p>
        </w:tc>
        <w:tc>
          <w:tcPr>
            <w:tcW w:w="1272" w:type="dxa"/>
            <w:tcBorders>
              <w:top w:val="nil"/>
              <w:left w:val="nil"/>
              <w:bottom w:val="single" w:sz="8" w:space="0" w:color="auto"/>
              <w:right w:val="single" w:sz="4" w:space="0" w:color="auto"/>
            </w:tcBorders>
            <w:shd w:val="clear" w:color="auto" w:fill="auto"/>
            <w:noWrap/>
            <w:vAlign w:val="center"/>
            <w:hideMark/>
          </w:tcPr>
          <w:p w14:paraId="59511F58"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0.02%</w:t>
            </w:r>
          </w:p>
        </w:tc>
        <w:tc>
          <w:tcPr>
            <w:tcW w:w="1041" w:type="dxa"/>
            <w:tcBorders>
              <w:top w:val="nil"/>
              <w:left w:val="nil"/>
              <w:bottom w:val="single" w:sz="8" w:space="0" w:color="auto"/>
              <w:right w:val="nil"/>
            </w:tcBorders>
            <w:shd w:val="clear" w:color="auto" w:fill="auto"/>
            <w:noWrap/>
            <w:vAlign w:val="center"/>
            <w:hideMark/>
          </w:tcPr>
          <w:p w14:paraId="182C5F18"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99%</w:t>
            </w:r>
          </w:p>
        </w:tc>
        <w:tc>
          <w:tcPr>
            <w:tcW w:w="1044" w:type="dxa"/>
            <w:tcBorders>
              <w:top w:val="nil"/>
              <w:left w:val="nil"/>
              <w:bottom w:val="single" w:sz="8" w:space="0" w:color="auto"/>
              <w:right w:val="single" w:sz="8" w:space="0" w:color="auto"/>
            </w:tcBorders>
            <w:shd w:val="clear" w:color="auto" w:fill="auto"/>
            <w:noWrap/>
            <w:vAlign w:val="center"/>
            <w:hideMark/>
          </w:tcPr>
          <w:p w14:paraId="7948D350" w14:textId="77777777" w:rsidR="004B07C1" w:rsidRPr="0021608C" w:rsidRDefault="004B07C1" w:rsidP="004B0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102%</w:t>
            </w:r>
          </w:p>
        </w:tc>
      </w:tr>
    </w:tbl>
    <w:p w14:paraId="50D5BC92" w14:textId="77777777" w:rsidR="004B07C1" w:rsidRPr="0021608C" w:rsidRDefault="004B07C1" w:rsidP="006B075C">
      <w:pPr>
        <w:rPr>
          <w:lang w:val="en-CA" w:eastAsia="ko-KR"/>
        </w:rPr>
      </w:pPr>
    </w:p>
    <w:p w14:paraId="02ACB202" w14:textId="77777777" w:rsidR="00E7648C" w:rsidRPr="0021608C" w:rsidRDefault="00E7648C" w:rsidP="00E7648C">
      <w:pPr>
        <w:pStyle w:val="2"/>
        <w:rPr>
          <w:lang w:val="en-CA" w:eastAsia="ko-KR"/>
        </w:rPr>
      </w:pPr>
      <w:r w:rsidRPr="0021608C">
        <w:rPr>
          <w:rFonts w:hint="eastAsia"/>
          <w:lang w:val="en-CA" w:eastAsia="ko-KR"/>
        </w:rPr>
        <w:t>No restriction for the above neighbor blocks</w:t>
      </w:r>
    </w:p>
    <w:tbl>
      <w:tblPr>
        <w:tblW w:w="7055" w:type="dxa"/>
        <w:tblCellMar>
          <w:left w:w="99" w:type="dxa"/>
          <w:right w:w="99" w:type="dxa"/>
        </w:tblCellMar>
        <w:tblLook w:val="04A0" w:firstRow="1" w:lastRow="0" w:firstColumn="1" w:lastColumn="0" w:noHBand="0" w:noVBand="1"/>
      </w:tblPr>
      <w:tblGrid>
        <w:gridCol w:w="1200"/>
        <w:gridCol w:w="1295"/>
        <w:gridCol w:w="1295"/>
        <w:gridCol w:w="1194"/>
        <w:gridCol w:w="1159"/>
        <w:gridCol w:w="912"/>
      </w:tblGrid>
      <w:tr w:rsidR="006B075C" w:rsidRPr="0021608C" w14:paraId="564971F0" w14:textId="77777777" w:rsidTr="00652E28">
        <w:trPr>
          <w:trHeight w:val="255"/>
        </w:trPr>
        <w:tc>
          <w:tcPr>
            <w:tcW w:w="1200" w:type="dxa"/>
            <w:tcBorders>
              <w:top w:val="nil"/>
              <w:left w:val="nil"/>
              <w:bottom w:val="nil"/>
              <w:right w:val="nil"/>
            </w:tcBorders>
            <w:shd w:val="clear" w:color="auto" w:fill="auto"/>
            <w:noWrap/>
            <w:vAlign w:val="center"/>
            <w:hideMark/>
          </w:tcPr>
          <w:p w14:paraId="4E7C0F1A"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5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5C4180"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1608C">
              <w:rPr>
                <w:rFonts w:ascii="Arial" w:eastAsia="맑은 고딕" w:hAnsi="Arial" w:cs="Arial"/>
                <w:b/>
                <w:bCs/>
                <w:color w:val="000000"/>
                <w:sz w:val="18"/>
                <w:szCs w:val="18"/>
                <w:lang w:eastAsia="ko-KR"/>
              </w:rPr>
              <w:t xml:space="preserve">All Intra Main 10 </w:t>
            </w:r>
          </w:p>
        </w:tc>
      </w:tr>
      <w:tr w:rsidR="006B075C" w:rsidRPr="0021608C" w14:paraId="12FF8334" w14:textId="77777777" w:rsidTr="00652E28">
        <w:trPr>
          <w:trHeight w:val="255"/>
        </w:trPr>
        <w:tc>
          <w:tcPr>
            <w:tcW w:w="1200" w:type="dxa"/>
            <w:tcBorders>
              <w:top w:val="nil"/>
              <w:left w:val="nil"/>
              <w:bottom w:val="nil"/>
              <w:right w:val="nil"/>
            </w:tcBorders>
            <w:shd w:val="clear" w:color="auto" w:fill="auto"/>
            <w:noWrap/>
            <w:vAlign w:val="center"/>
            <w:hideMark/>
          </w:tcPr>
          <w:p w14:paraId="5AA4E4FE"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5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F1D831"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1608C">
              <w:rPr>
                <w:rFonts w:ascii="Arial" w:eastAsia="맑은 고딕" w:hAnsi="Arial" w:cs="Arial"/>
                <w:b/>
                <w:bCs/>
                <w:color w:val="000000"/>
                <w:sz w:val="18"/>
                <w:szCs w:val="18"/>
                <w:lang w:eastAsia="ko-KR"/>
              </w:rPr>
              <w:t>Over ECM-3.1</w:t>
            </w:r>
          </w:p>
        </w:tc>
      </w:tr>
      <w:tr w:rsidR="006B075C" w:rsidRPr="0021608C" w14:paraId="531C41F4" w14:textId="77777777" w:rsidTr="00652E28">
        <w:trPr>
          <w:trHeight w:val="255"/>
        </w:trPr>
        <w:tc>
          <w:tcPr>
            <w:tcW w:w="1200" w:type="dxa"/>
            <w:tcBorders>
              <w:top w:val="nil"/>
              <w:left w:val="nil"/>
              <w:bottom w:val="nil"/>
              <w:right w:val="nil"/>
            </w:tcBorders>
            <w:shd w:val="clear" w:color="auto" w:fill="auto"/>
            <w:noWrap/>
            <w:vAlign w:val="center"/>
            <w:hideMark/>
          </w:tcPr>
          <w:p w14:paraId="6F592C98"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5" w:type="dxa"/>
            <w:tcBorders>
              <w:top w:val="nil"/>
              <w:left w:val="single" w:sz="8" w:space="0" w:color="auto"/>
              <w:bottom w:val="single" w:sz="8" w:space="0" w:color="auto"/>
              <w:right w:val="nil"/>
            </w:tcBorders>
            <w:shd w:val="clear" w:color="auto" w:fill="auto"/>
            <w:noWrap/>
            <w:vAlign w:val="center"/>
            <w:hideMark/>
          </w:tcPr>
          <w:p w14:paraId="4B10B7BB"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Y</w:t>
            </w:r>
          </w:p>
        </w:tc>
        <w:tc>
          <w:tcPr>
            <w:tcW w:w="1295" w:type="dxa"/>
            <w:tcBorders>
              <w:top w:val="nil"/>
              <w:left w:val="nil"/>
              <w:bottom w:val="single" w:sz="8" w:space="0" w:color="auto"/>
              <w:right w:val="nil"/>
            </w:tcBorders>
            <w:shd w:val="clear" w:color="auto" w:fill="auto"/>
            <w:noWrap/>
            <w:vAlign w:val="center"/>
            <w:hideMark/>
          </w:tcPr>
          <w:p w14:paraId="5B656C28"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U</w:t>
            </w:r>
          </w:p>
        </w:tc>
        <w:tc>
          <w:tcPr>
            <w:tcW w:w="1194" w:type="dxa"/>
            <w:tcBorders>
              <w:top w:val="nil"/>
              <w:left w:val="nil"/>
              <w:bottom w:val="single" w:sz="8" w:space="0" w:color="auto"/>
              <w:right w:val="single" w:sz="4" w:space="0" w:color="auto"/>
            </w:tcBorders>
            <w:shd w:val="clear" w:color="auto" w:fill="auto"/>
            <w:noWrap/>
            <w:vAlign w:val="center"/>
            <w:hideMark/>
          </w:tcPr>
          <w:p w14:paraId="5CF31199"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w:t>
            </w:r>
          </w:p>
        </w:tc>
        <w:tc>
          <w:tcPr>
            <w:tcW w:w="1159" w:type="dxa"/>
            <w:tcBorders>
              <w:top w:val="nil"/>
              <w:left w:val="nil"/>
              <w:bottom w:val="single" w:sz="8" w:space="0" w:color="auto"/>
              <w:right w:val="nil"/>
            </w:tcBorders>
            <w:shd w:val="clear" w:color="auto" w:fill="auto"/>
            <w:noWrap/>
            <w:vAlign w:val="center"/>
            <w:hideMark/>
          </w:tcPr>
          <w:p w14:paraId="73F6F6F7"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EncT</w:t>
            </w:r>
          </w:p>
        </w:tc>
        <w:tc>
          <w:tcPr>
            <w:tcW w:w="912" w:type="dxa"/>
            <w:tcBorders>
              <w:top w:val="nil"/>
              <w:left w:val="nil"/>
              <w:bottom w:val="single" w:sz="8" w:space="0" w:color="auto"/>
              <w:right w:val="single" w:sz="8" w:space="0" w:color="auto"/>
            </w:tcBorders>
            <w:shd w:val="clear" w:color="auto" w:fill="auto"/>
            <w:noWrap/>
            <w:vAlign w:val="center"/>
            <w:hideMark/>
          </w:tcPr>
          <w:p w14:paraId="646D6082"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DecT</w:t>
            </w:r>
          </w:p>
        </w:tc>
      </w:tr>
      <w:tr w:rsidR="006B075C" w:rsidRPr="0021608C" w14:paraId="19961D39" w14:textId="77777777" w:rsidTr="00652E28">
        <w:trPr>
          <w:trHeight w:val="255"/>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E1B089A"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A1</w:t>
            </w:r>
          </w:p>
        </w:tc>
        <w:tc>
          <w:tcPr>
            <w:tcW w:w="1295" w:type="dxa"/>
            <w:tcBorders>
              <w:top w:val="nil"/>
              <w:left w:val="nil"/>
              <w:bottom w:val="nil"/>
              <w:right w:val="nil"/>
            </w:tcBorders>
            <w:shd w:val="clear" w:color="auto" w:fill="auto"/>
            <w:noWrap/>
            <w:vAlign w:val="center"/>
            <w:hideMark/>
          </w:tcPr>
          <w:p w14:paraId="6E25E96A"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0.00%</w:t>
            </w:r>
          </w:p>
        </w:tc>
        <w:tc>
          <w:tcPr>
            <w:tcW w:w="1295" w:type="dxa"/>
            <w:tcBorders>
              <w:top w:val="nil"/>
              <w:left w:val="nil"/>
              <w:bottom w:val="nil"/>
              <w:right w:val="nil"/>
            </w:tcBorders>
            <w:shd w:val="clear" w:color="auto" w:fill="auto"/>
            <w:noWrap/>
            <w:vAlign w:val="center"/>
            <w:hideMark/>
          </w:tcPr>
          <w:p w14:paraId="3F786FE2"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0.06%</w:t>
            </w:r>
          </w:p>
        </w:tc>
        <w:tc>
          <w:tcPr>
            <w:tcW w:w="1194" w:type="dxa"/>
            <w:tcBorders>
              <w:top w:val="nil"/>
              <w:left w:val="nil"/>
              <w:bottom w:val="nil"/>
              <w:right w:val="single" w:sz="4" w:space="0" w:color="auto"/>
            </w:tcBorders>
            <w:shd w:val="clear" w:color="auto" w:fill="auto"/>
            <w:noWrap/>
            <w:vAlign w:val="center"/>
            <w:hideMark/>
          </w:tcPr>
          <w:p w14:paraId="0A690BFE"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-0.04%</w:t>
            </w:r>
          </w:p>
        </w:tc>
        <w:tc>
          <w:tcPr>
            <w:tcW w:w="1159" w:type="dxa"/>
            <w:tcBorders>
              <w:top w:val="nil"/>
              <w:left w:val="nil"/>
              <w:bottom w:val="nil"/>
              <w:right w:val="nil"/>
            </w:tcBorders>
            <w:shd w:val="clear" w:color="auto" w:fill="auto"/>
            <w:noWrap/>
            <w:vAlign w:val="center"/>
            <w:hideMark/>
          </w:tcPr>
          <w:p w14:paraId="7AFDCF69"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98%</w:t>
            </w:r>
          </w:p>
        </w:tc>
        <w:tc>
          <w:tcPr>
            <w:tcW w:w="912" w:type="dxa"/>
            <w:tcBorders>
              <w:top w:val="nil"/>
              <w:left w:val="nil"/>
              <w:bottom w:val="nil"/>
              <w:right w:val="single" w:sz="8" w:space="0" w:color="auto"/>
            </w:tcBorders>
            <w:shd w:val="clear" w:color="auto" w:fill="auto"/>
            <w:noWrap/>
            <w:vAlign w:val="center"/>
            <w:hideMark/>
          </w:tcPr>
          <w:p w14:paraId="760ADB90"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99%</w:t>
            </w:r>
          </w:p>
        </w:tc>
      </w:tr>
      <w:tr w:rsidR="006B075C" w:rsidRPr="0021608C" w14:paraId="0826D5DA" w14:textId="77777777" w:rsidTr="00652E28">
        <w:trPr>
          <w:trHeight w:val="255"/>
        </w:trPr>
        <w:tc>
          <w:tcPr>
            <w:tcW w:w="1200" w:type="dxa"/>
            <w:tcBorders>
              <w:top w:val="nil"/>
              <w:left w:val="single" w:sz="8" w:space="0" w:color="auto"/>
              <w:bottom w:val="nil"/>
              <w:right w:val="single" w:sz="8" w:space="0" w:color="auto"/>
            </w:tcBorders>
            <w:shd w:val="clear" w:color="auto" w:fill="auto"/>
            <w:noWrap/>
            <w:vAlign w:val="center"/>
            <w:hideMark/>
          </w:tcPr>
          <w:p w14:paraId="2EEBDB91"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A2</w:t>
            </w:r>
          </w:p>
        </w:tc>
        <w:tc>
          <w:tcPr>
            <w:tcW w:w="1295" w:type="dxa"/>
            <w:tcBorders>
              <w:top w:val="nil"/>
              <w:left w:val="nil"/>
              <w:bottom w:val="nil"/>
              <w:right w:val="nil"/>
            </w:tcBorders>
            <w:shd w:val="clear" w:color="auto" w:fill="auto"/>
            <w:noWrap/>
            <w:vAlign w:val="center"/>
            <w:hideMark/>
          </w:tcPr>
          <w:p w14:paraId="29530492"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295" w:type="dxa"/>
            <w:tcBorders>
              <w:top w:val="nil"/>
              <w:left w:val="nil"/>
              <w:bottom w:val="nil"/>
              <w:right w:val="nil"/>
            </w:tcBorders>
            <w:shd w:val="clear" w:color="auto" w:fill="auto"/>
            <w:noWrap/>
            <w:vAlign w:val="center"/>
            <w:hideMark/>
          </w:tcPr>
          <w:p w14:paraId="70E32609"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0.02%</w:t>
            </w:r>
          </w:p>
        </w:tc>
        <w:tc>
          <w:tcPr>
            <w:tcW w:w="1194" w:type="dxa"/>
            <w:tcBorders>
              <w:top w:val="nil"/>
              <w:left w:val="nil"/>
              <w:bottom w:val="nil"/>
              <w:right w:val="single" w:sz="4" w:space="0" w:color="auto"/>
            </w:tcBorders>
            <w:shd w:val="clear" w:color="auto" w:fill="auto"/>
            <w:noWrap/>
            <w:vAlign w:val="center"/>
            <w:hideMark/>
          </w:tcPr>
          <w:p w14:paraId="55370EAB"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0.05%</w:t>
            </w:r>
          </w:p>
        </w:tc>
        <w:tc>
          <w:tcPr>
            <w:tcW w:w="1159" w:type="dxa"/>
            <w:tcBorders>
              <w:top w:val="nil"/>
              <w:left w:val="nil"/>
              <w:bottom w:val="nil"/>
              <w:right w:val="nil"/>
            </w:tcBorders>
            <w:shd w:val="clear" w:color="auto" w:fill="auto"/>
            <w:noWrap/>
            <w:vAlign w:val="center"/>
            <w:hideMark/>
          </w:tcPr>
          <w:p w14:paraId="3C3AA970"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98%</w:t>
            </w:r>
          </w:p>
        </w:tc>
        <w:tc>
          <w:tcPr>
            <w:tcW w:w="912" w:type="dxa"/>
            <w:tcBorders>
              <w:top w:val="nil"/>
              <w:left w:val="nil"/>
              <w:bottom w:val="nil"/>
              <w:right w:val="single" w:sz="8" w:space="0" w:color="auto"/>
            </w:tcBorders>
            <w:shd w:val="clear" w:color="auto" w:fill="auto"/>
            <w:noWrap/>
            <w:vAlign w:val="center"/>
            <w:hideMark/>
          </w:tcPr>
          <w:p w14:paraId="3182F612"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99%</w:t>
            </w:r>
          </w:p>
        </w:tc>
      </w:tr>
      <w:tr w:rsidR="006B075C" w:rsidRPr="0021608C" w14:paraId="6A2E4181" w14:textId="77777777" w:rsidTr="00652E28">
        <w:trPr>
          <w:trHeight w:val="255"/>
        </w:trPr>
        <w:tc>
          <w:tcPr>
            <w:tcW w:w="1200" w:type="dxa"/>
            <w:tcBorders>
              <w:top w:val="nil"/>
              <w:left w:val="single" w:sz="8" w:space="0" w:color="auto"/>
              <w:bottom w:val="nil"/>
              <w:right w:val="single" w:sz="8" w:space="0" w:color="auto"/>
            </w:tcBorders>
            <w:shd w:val="clear" w:color="auto" w:fill="auto"/>
            <w:noWrap/>
            <w:vAlign w:val="center"/>
            <w:hideMark/>
          </w:tcPr>
          <w:p w14:paraId="54E6C058"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B</w:t>
            </w:r>
          </w:p>
        </w:tc>
        <w:tc>
          <w:tcPr>
            <w:tcW w:w="1295" w:type="dxa"/>
            <w:tcBorders>
              <w:top w:val="nil"/>
              <w:left w:val="nil"/>
              <w:bottom w:val="nil"/>
              <w:right w:val="nil"/>
            </w:tcBorders>
            <w:shd w:val="clear" w:color="auto" w:fill="auto"/>
            <w:noWrap/>
            <w:vAlign w:val="center"/>
            <w:hideMark/>
          </w:tcPr>
          <w:p w14:paraId="336DD9FE"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295" w:type="dxa"/>
            <w:tcBorders>
              <w:top w:val="nil"/>
              <w:left w:val="nil"/>
              <w:bottom w:val="nil"/>
              <w:right w:val="nil"/>
            </w:tcBorders>
            <w:shd w:val="clear" w:color="auto" w:fill="auto"/>
            <w:noWrap/>
            <w:vAlign w:val="center"/>
            <w:hideMark/>
          </w:tcPr>
          <w:p w14:paraId="1850BFF0"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-0.03%</w:t>
            </w:r>
          </w:p>
        </w:tc>
        <w:tc>
          <w:tcPr>
            <w:tcW w:w="1194" w:type="dxa"/>
            <w:tcBorders>
              <w:top w:val="nil"/>
              <w:left w:val="nil"/>
              <w:bottom w:val="nil"/>
              <w:right w:val="single" w:sz="4" w:space="0" w:color="auto"/>
            </w:tcBorders>
            <w:shd w:val="clear" w:color="auto" w:fill="auto"/>
            <w:noWrap/>
            <w:vAlign w:val="center"/>
            <w:hideMark/>
          </w:tcPr>
          <w:p w14:paraId="6CE02BC8"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-0.11%</w:t>
            </w:r>
          </w:p>
        </w:tc>
        <w:tc>
          <w:tcPr>
            <w:tcW w:w="1159" w:type="dxa"/>
            <w:tcBorders>
              <w:top w:val="nil"/>
              <w:left w:val="nil"/>
              <w:bottom w:val="nil"/>
              <w:right w:val="nil"/>
            </w:tcBorders>
            <w:shd w:val="clear" w:color="auto" w:fill="auto"/>
            <w:noWrap/>
            <w:vAlign w:val="center"/>
            <w:hideMark/>
          </w:tcPr>
          <w:p w14:paraId="6EFC9070"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98%</w:t>
            </w:r>
          </w:p>
        </w:tc>
        <w:tc>
          <w:tcPr>
            <w:tcW w:w="912" w:type="dxa"/>
            <w:tcBorders>
              <w:top w:val="nil"/>
              <w:left w:val="nil"/>
              <w:bottom w:val="nil"/>
              <w:right w:val="single" w:sz="8" w:space="0" w:color="auto"/>
            </w:tcBorders>
            <w:shd w:val="clear" w:color="auto" w:fill="auto"/>
            <w:noWrap/>
            <w:vAlign w:val="center"/>
            <w:hideMark/>
          </w:tcPr>
          <w:p w14:paraId="6A3E1165"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99%</w:t>
            </w:r>
          </w:p>
        </w:tc>
      </w:tr>
      <w:tr w:rsidR="006B075C" w:rsidRPr="0021608C" w14:paraId="2E22B4F5" w14:textId="77777777" w:rsidTr="00652E28">
        <w:trPr>
          <w:trHeight w:val="255"/>
        </w:trPr>
        <w:tc>
          <w:tcPr>
            <w:tcW w:w="1200" w:type="dxa"/>
            <w:tcBorders>
              <w:top w:val="nil"/>
              <w:left w:val="single" w:sz="8" w:space="0" w:color="auto"/>
              <w:bottom w:val="nil"/>
              <w:right w:val="single" w:sz="8" w:space="0" w:color="auto"/>
            </w:tcBorders>
            <w:shd w:val="clear" w:color="auto" w:fill="auto"/>
            <w:noWrap/>
            <w:vAlign w:val="center"/>
            <w:hideMark/>
          </w:tcPr>
          <w:p w14:paraId="0B93EEB3"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C</w:t>
            </w:r>
          </w:p>
        </w:tc>
        <w:tc>
          <w:tcPr>
            <w:tcW w:w="1295" w:type="dxa"/>
            <w:tcBorders>
              <w:top w:val="nil"/>
              <w:left w:val="nil"/>
              <w:bottom w:val="nil"/>
              <w:right w:val="nil"/>
            </w:tcBorders>
            <w:shd w:val="clear" w:color="auto" w:fill="auto"/>
            <w:noWrap/>
            <w:vAlign w:val="center"/>
            <w:hideMark/>
          </w:tcPr>
          <w:p w14:paraId="4538EDAB"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295" w:type="dxa"/>
            <w:tcBorders>
              <w:top w:val="nil"/>
              <w:left w:val="nil"/>
              <w:bottom w:val="nil"/>
              <w:right w:val="nil"/>
            </w:tcBorders>
            <w:shd w:val="clear" w:color="auto" w:fill="auto"/>
            <w:noWrap/>
            <w:vAlign w:val="center"/>
            <w:hideMark/>
          </w:tcPr>
          <w:p w14:paraId="34028C25"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-0.02%</w:t>
            </w:r>
          </w:p>
        </w:tc>
        <w:tc>
          <w:tcPr>
            <w:tcW w:w="1194" w:type="dxa"/>
            <w:tcBorders>
              <w:top w:val="nil"/>
              <w:left w:val="nil"/>
              <w:bottom w:val="nil"/>
              <w:right w:val="single" w:sz="4" w:space="0" w:color="auto"/>
            </w:tcBorders>
            <w:shd w:val="clear" w:color="auto" w:fill="auto"/>
            <w:noWrap/>
            <w:vAlign w:val="center"/>
            <w:hideMark/>
          </w:tcPr>
          <w:p w14:paraId="60C724CE"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159" w:type="dxa"/>
            <w:tcBorders>
              <w:top w:val="nil"/>
              <w:left w:val="nil"/>
              <w:bottom w:val="nil"/>
              <w:right w:val="nil"/>
            </w:tcBorders>
            <w:shd w:val="clear" w:color="auto" w:fill="auto"/>
            <w:noWrap/>
            <w:vAlign w:val="center"/>
            <w:hideMark/>
          </w:tcPr>
          <w:p w14:paraId="52DBE9F9"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97%</w:t>
            </w:r>
          </w:p>
        </w:tc>
        <w:tc>
          <w:tcPr>
            <w:tcW w:w="912" w:type="dxa"/>
            <w:tcBorders>
              <w:top w:val="nil"/>
              <w:left w:val="nil"/>
              <w:bottom w:val="nil"/>
              <w:right w:val="single" w:sz="8" w:space="0" w:color="auto"/>
            </w:tcBorders>
            <w:shd w:val="clear" w:color="auto" w:fill="auto"/>
            <w:noWrap/>
            <w:vAlign w:val="center"/>
            <w:hideMark/>
          </w:tcPr>
          <w:p w14:paraId="59ABC7F4"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98%</w:t>
            </w:r>
          </w:p>
        </w:tc>
      </w:tr>
      <w:tr w:rsidR="006B075C" w:rsidRPr="0021608C" w14:paraId="3F289B3D" w14:textId="77777777" w:rsidTr="00652E28">
        <w:trPr>
          <w:trHeight w:val="255"/>
        </w:trPr>
        <w:tc>
          <w:tcPr>
            <w:tcW w:w="1200" w:type="dxa"/>
            <w:tcBorders>
              <w:top w:val="nil"/>
              <w:left w:val="single" w:sz="8" w:space="0" w:color="auto"/>
              <w:bottom w:val="nil"/>
              <w:right w:val="single" w:sz="8" w:space="0" w:color="auto"/>
            </w:tcBorders>
            <w:shd w:val="clear" w:color="auto" w:fill="auto"/>
            <w:noWrap/>
            <w:vAlign w:val="center"/>
            <w:hideMark/>
          </w:tcPr>
          <w:p w14:paraId="0484E244"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E</w:t>
            </w:r>
          </w:p>
        </w:tc>
        <w:tc>
          <w:tcPr>
            <w:tcW w:w="1295" w:type="dxa"/>
            <w:tcBorders>
              <w:top w:val="nil"/>
              <w:left w:val="nil"/>
              <w:bottom w:val="nil"/>
              <w:right w:val="nil"/>
            </w:tcBorders>
            <w:shd w:val="clear" w:color="auto" w:fill="auto"/>
            <w:noWrap/>
            <w:vAlign w:val="center"/>
            <w:hideMark/>
          </w:tcPr>
          <w:p w14:paraId="78E8F436"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0.00%</w:t>
            </w:r>
          </w:p>
        </w:tc>
        <w:tc>
          <w:tcPr>
            <w:tcW w:w="1295" w:type="dxa"/>
            <w:tcBorders>
              <w:top w:val="nil"/>
              <w:left w:val="nil"/>
              <w:bottom w:val="nil"/>
              <w:right w:val="nil"/>
            </w:tcBorders>
            <w:shd w:val="clear" w:color="auto" w:fill="auto"/>
            <w:noWrap/>
            <w:vAlign w:val="center"/>
            <w:hideMark/>
          </w:tcPr>
          <w:p w14:paraId="1BEDAD96"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-0.09%</w:t>
            </w:r>
          </w:p>
        </w:tc>
        <w:tc>
          <w:tcPr>
            <w:tcW w:w="1194" w:type="dxa"/>
            <w:tcBorders>
              <w:top w:val="nil"/>
              <w:left w:val="nil"/>
              <w:bottom w:val="nil"/>
              <w:right w:val="single" w:sz="4" w:space="0" w:color="auto"/>
            </w:tcBorders>
            <w:shd w:val="clear" w:color="auto" w:fill="auto"/>
            <w:noWrap/>
            <w:vAlign w:val="center"/>
            <w:hideMark/>
          </w:tcPr>
          <w:p w14:paraId="0829119D"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0.03%</w:t>
            </w:r>
          </w:p>
        </w:tc>
        <w:tc>
          <w:tcPr>
            <w:tcW w:w="1159" w:type="dxa"/>
            <w:tcBorders>
              <w:top w:val="nil"/>
              <w:left w:val="nil"/>
              <w:bottom w:val="nil"/>
              <w:right w:val="nil"/>
            </w:tcBorders>
            <w:shd w:val="clear" w:color="auto" w:fill="auto"/>
            <w:noWrap/>
            <w:vAlign w:val="center"/>
            <w:hideMark/>
          </w:tcPr>
          <w:p w14:paraId="2A955767"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97%</w:t>
            </w:r>
          </w:p>
        </w:tc>
        <w:tc>
          <w:tcPr>
            <w:tcW w:w="912" w:type="dxa"/>
            <w:tcBorders>
              <w:top w:val="nil"/>
              <w:left w:val="nil"/>
              <w:bottom w:val="nil"/>
              <w:right w:val="single" w:sz="8" w:space="0" w:color="auto"/>
            </w:tcBorders>
            <w:shd w:val="clear" w:color="auto" w:fill="auto"/>
            <w:noWrap/>
            <w:vAlign w:val="center"/>
            <w:hideMark/>
          </w:tcPr>
          <w:p w14:paraId="3E46DA11"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97%</w:t>
            </w:r>
          </w:p>
        </w:tc>
      </w:tr>
      <w:tr w:rsidR="006B075C" w:rsidRPr="0021608C" w14:paraId="50CFED6D" w14:textId="77777777" w:rsidTr="00652E28">
        <w:trPr>
          <w:trHeight w:val="255"/>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13D83D91"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1608C">
              <w:rPr>
                <w:rFonts w:ascii="Arial" w:eastAsia="맑은 고딕" w:hAnsi="Arial" w:cs="Arial"/>
                <w:b/>
                <w:bCs/>
                <w:color w:val="000000"/>
                <w:sz w:val="18"/>
                <w:szCs w:val="18"/>
                <w:lang w:eastAsia="ko-KR"/>
              </w:rPr>
              <w:t xml:space="preserve">Overall </w:t>
            </w:r>
          </w:p>
        </w:tc>
        <w:tc>
          <w:tcPr>
            <w:tcW w:w="1295" w:type="dxa"/>
            <w:tcBorders>
              <w:top w:val="single" w:sz="8" w:space="0" w:color="auto"/>
              <w:left w:val="nil"/>
              <w:bottom w:val="nil"/>
              <w:right w:val="nil"/>
            </w:tcBorders>
            <w:shd w:val="clear" w:color="auto" w:fill="auto"/>
            <w:noWrap/>
            <w:vAlign w:val="center"/>
            <w:hideMark/>
          </w:tcPr>
          <w:p w14:paraId="69BEA550"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295" w:type="dxa"/>
            <w:tcBorders>
              <w:top w:val="single" w:sz="8" w:space="0" w:color="auto"/>
              <w:left w:val="nil"/>
              <w:bottom w:val="nil"/>
              <w:right w:val="nil"/>
            </w:tcBorders>
            <w:shd w:val="clear" w:color="auto" w:fill="auto"/>
            <w:noWrap/>
            <w:vAlign w:val="center"/>
            <w:hideMark/>
          </w:tcPr>
          <w:p w14:paraId="51D8CC65"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194" w:type="dxa"/>
            <w:tcBorders>
              <w:top w:val="single" w:sz="8" w:space="0" w:color="auto"/>
              <w:left w:val="nil"/>
              <w:bottom w:val="nil"/>
              <w:right w:val="single" w:sz="4" w:space="0" w:color="auto"/>
            </w:tcBorders>
            <w:shd w:val="clear" w:color="auto" w:fill="auto"/>
            <w:noWrap/>
            <w:vAlign w:val="center"/>
            <w:hideMark/>
          </w:tcPr>
          <w:p w14:paraId="052632D6"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-0.03%</w:t>
            </w:r>
          </w:p>
        </w:tc>
        <w:tc>
          <w:tcPr>
            <w:tcW w:w="1159" w:type="dxa"/>
            <w:tcBorders>
              <w:top w:val="single" w:sz="8" w:space="0" w:color="auto"/>
              <w:left w:val="nil"/>
              <w:bottom w:val="nil"/>
              <w:right w:val="nil"/>
            </w:tcBorders>
            <w:shd w:val="clear" w:color="auto" w:fill="auto"/>
            <w:noWrap/>
            <w:vAlign w:val="center"/>
            <w:hideMark/>
          </w:tcPr>
          <w:p w14:paraId="2578DDB0"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98%</w:t>
            </w:r>
          </w:p>
        </w:tc>
        <w:tc>
          <w:tcPr>
            <w:tcW w:w="912" w:type="dxa"/>
            <w:tcBorders>
              <w:top w:val="single" w:sz="8" w:space="0" w:color="auto"/>
              <w:left w:val="nil"/>
              <w:bottom w:val="nil"/>
              <w:right w:val="single" w:sz="8" w:space="0" w:color="auto"/>
            </w:tcBorders>
            <w:shd w:val="clear" w:color="auto" w:fill="auto"/>
            <w:noWrap/>
            <w:vAlign w:val="center"/>
            <w:hideMark/>
          </w:tcPr>
          <w:p w14:paraId="28DD6748"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98%</w:t>
            </w:r>
          </w:p>
        </w:tc>
        <w:bookmarkStart w:id="0" w:name="_GoBack"/>
        <w:bookmarkEnd w:id="0"/>
      </w:tr>
      <w:tr w:rsidR="006B075C" w:rsidRPr="0021608C" w14:paraId="2C6E27DC" w14:textId="77777777" w:rsidTr="00652E28">
        <w:trPr>
          <w:trHeight w:val="255"/>
        </w:trPr>
        <w:tc>
          <w:tcPr>
            <w:tcW w:w="1200" w:type="dxa"/>
            <w:tcBorders>
              <w:top w:val="single" w:sz="8" w:space="0" w:color="auto"/>
              <w:left w:val="single" w:sz="8" w:space="0" w:color="auto"/>
              <w:right w:val="single" w:sz="8" w:space="0" w:color="auto"/>
            </w:tcBorders>
            <w:shd w:val="clear" w:color="auto" w:fill="auto"/>
            <w:noWrap/>
            <w:vAlign w:val="center"/>
            <w:hideMark/>
          </w:tcPr>
          <w:p w14:paraId="53D4583F"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D</w:t>
            </w:r>
          </w:p>
        </w:tc>
        <w:tc>
          <w:tcPr>
            <w:tcW w:w="1295" w:type="dxa"/>
            <w:tcBorders>
              <w:top w:val="single" w:sz="8" w:space="0" w:color="auto"/>
              <w:left w:val="nil"/>
              <w:right w:val="nil"/>
            </w:tcBorders>
            <w:shd w:val="clear" w:color="auto" w:fill="auto"/>
            <w:noWrap/>
            <w:vAlign w:val="center"/>
            <w:hideMark/>
          </w:tcPr>
          <w:p w14:paraId="144A4713"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295" w:type="dxa"/>
            <w:tcBorders>
              <w:top w:val="single" w:sz="8" w:space="0" w:color="auto"/>
              <w:left w:val="nil"/>
              <w:right w:val="nil"/>
            </w:tcBorders>
            <w:shd w:val="clear" w:color="auto" w:fill="auto"/>
            <w:noWrap/>
            <w:vAlign w:val="center"/>
            <w:hideMark/>
          </w:tcPr>
          <w:p w14:paraId="009563BF"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0.04%</w:t>
            </w:r>
          </w:p>
        </w:tc>
        <w:tc>
          <w:tcPr>
            <w:tcW w:w="1194" w:type="dxa"/>
            <w:tcBorders>
              <w:top w:val="single" w:sz="8" w:space="0" w:color="auto"/>
              <w:left w:val="nil"/>
              <w:right w:val="single" w:sz="4" w:space="0" w:color="auto"/>
            </w:tcBorders>
            <w:shd w:val="clear" w:color="auto" w:fill="auto"/>
            <w:noWrap/>
            <w:vAlign w:val="center"/>
            <w:hideMark/>
          </w:tcPr>
          <w:p w14:paraId="7E204091"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-0.11%</w:t>
            </w:r>
          </w:p>
        </w:tc>
        <w:tc>
          <w:tcPr>
            <w:tcW w:w="1159" w:type="dxa"/>
            <w:tcBorders>
              <w:top w:val="single" w:sz="8" w:space="0" w:color="auto"/>
              <w:left w:val="nil"/>
              <w:right w:val="nil"/>
            </w:tcBorders>
            <w:shd w:val="clear" w:color="auto" w:fill="auto"/>
            <w:noWrap/>
            <w:vAlign w:val="center"/>
            <w:hideMark/>
          </w:tcPr>
          <w:p w14:paraId="365A04FF"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98%</w:t>
            </w:r>
          </w:p>
        </w:tc>
        <w:tc>
          <w:tcPr>
            <w:tcW w:w="912" w:type="dxa"/>
            <w:tcBorders>
              <w:top w:val="single" w:sz="8" w:space="0" w:color="auto"/>
              <w:left w:val="nil"/>
              <w:right w:val="single" w:sz="8" w:space="0" w:color="auto"/>
            </w:tcBorders>
            <w:shd w:val="clear" w:color="auto" w:fill="auto"/>
            <w:noWrap/>
            <w:vAlign w:val="center"/>
            <w:hideMark/>
          </w:tcPr>
          <w:p w14:paraId="367E757E"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98%</w:t>
            </w:r>
          </w:p>
        </w:tc>
      </w:tr>
      <w:tr w:rsidR="006B075C" w:rsidRPr="0021608C" w14:paraId="3F397D96" w14:textId="77777777" w:rsidTr="00652E28">
        <w:trPr>
          <w:trHeight w:val="255"/>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14:paraId="18FBE888"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F</w:t>
            </w:r>
          </w:p>
        </w:tc>
        <w:tc>
          <w:tcPr>
            <w:tcW w:w="1295" w:type="dxa"/>
            <w:tcBorders>
              <w:top w:val="nil"/>
              <w:left w:val="nil"/>
              <w:bottom w:val="single" w:sz="4" w:space="0" w:color="auto"/>
              <w:right w:val="nil"/>
            </w:tcBorders>
            <w:shd w:val="clear" w:color="auto" w:fill="auto"/>
            <w:noWrap/>
            <w:vAlign w:val="center"/>
            <w:hideMark/>
          </w:tcPr>
          <w:p w14:paraId="1314796F"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295" w:type="dxa"/>
            <w:tcBorders>
              <w:top w:val="nil"/>
              <w:left w:val="nil"/>
              <w:bottom w:val="single" w:sz="4" w:space="0" w:color="auto"/>
              <w:right w:val="nil"/>
            </w:tcBorders>
            <w:shd w:val="clear" w:color="auto" w:fill="auto"/>
            <w:noWrap/>
            <w:vAlign w:val="center"/>
            <w:hideMark/>
          </w:tcPr>
          <w:p w14:paraId="13834A81"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0.15%</w:t>
            </w:r>
          </w:p>
        </w:tc>
        <w:tc>
          <w:tcPr>
            <w:tcW w:w="1194" w:type="dxa"/>
            <w:tcBorders>
              <w:top w:val="nil"/>
              <w:left w:val="nil"/>
              <w:bottom w:val="single" w:sz="4" w:space="0" w:color="auto"/>
              <w:right w:val="single" w:sz="4" w:space="0" w:color="auto"/>
            </w:tcBorders>
            <w:shd w:val="clear" w:color="auto" w:fill="auto"/>
            <w:noWrap/>
            <w:vAlign w:val="center"/>
            <w:hideMark/>
          </w:tcPr>
          <w:p w14:paraId="2ECDECAA"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159" w:type="dxa"/>
            <w:tcBorders>
              <w:top w:val="nil"/>
              <w:left w:val="nil"/>
              <w:bottom w:val="single" w:sz="4" w:space="0" w:color="auto"/>
              <w:right w:val="nil"/>
            </w:tcBorders>
            <w:shd w:val="clear" w:color="auto" w:fill="auto"/>
            <w:noWrap/>
            <w:vAlign w:val="center"/>
            <w:hideMark/>
          </w:tcPr>
          <w:p w14:paraId="2CFCF945"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101%</w:t>
            </w:r>
          </w:p>
        </w:tc>
        <w:tc>
          <w:tcPr>
            <w:tcW w:w="912" w:type="dxa"/>
            <w:tcBorders>
              <w:top w:val="nil"/>
              <w:left w:val="nil"/>
              <w:bottom w:val="single" w:sz="4" w:space="0" w:color="auto"/>
              <w:right w:val="single" w:sz="8" w:space="0" w:color="auto"/>
            </w:tcBorders>
            <w:shd w:val="clear" w:color="auto" w:fill="auto"/>
            <w:noWrap/>
            <w:vAlign w:val="center"/>
            <w:hideMark/>
          </w:tcPr>
          <w:p w14:paraId="7FF398CA" w14:textId="77777777" w:rsidR="006B075C" w:rsidRPr="0021608C" w:rsidRDefault="006B075C" w:rsidP="006B0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101%</w:t>
            </w:r>
          </w:p>
        </w:tc>
      </w:tr>
    </w:tbl>
    <w:p w14:paraId="7C984D50" w14:textId="14679669" w:rsidR="006B075C" w:rsidRPr="0021608C" w:rsidRDefault="006B075C" w:rsidP="006B075C">
      <w:pPr>
        <w:rPr>
          <w:lang w:val="en-CA" w:eastAsia="ko-KR"/>
        </w:rPr>
      </w:pPr>
    </w:p>
    <w:tbl>
      <w:tblPr>
        <w:tblW w:w="7080" w:type="dxa"/>
        <w:tblCellMar>
          <w:left w:w="99" w:type="dxa"/>
          <w:right w:w="99" w:type="dxa"/>
        </w:tblCellMar>
        <w:tblLook w:val="04A0" w:firstRow="1" w:lastRow="0" w:firstColumn="1" w:lastColumn="0" w:noHBand="0" w:noVBand="1"/>
      </w:tblPr>
      <w:tblGrid>
        <w:gridCol w:w="1180"/>
        <w:gridCol w:w="1273"/>
        <w:gridCol w:w="1273"/>
        <w:gridCol w:w="1272"/>
        <w:gridCol w:w="1041"/>
        <w:gridCol w:w="1041"/>
      </w:tblGrid>
      <w:tr w:rsidR="00167882" w:rsidRPr="0021608C" w14:paraId="19542E3F" w14:textId="77777777" w:rsidTr="00167882">
        <w:trPr>
          <w:trHeight w:val="255"/>
        </w:trPr>
        <w:tc>
          <w:tcPr>
            <w:tcW w:w="1180" w:type="dxa"/>
            <w:tcBorders>
              <w:top w:val="nil"/>
              <w:left w:val="nil"/>
              <w:bottom w:val="nil"/>
              <w:right w:val="nil"/>
            </w:tcBorders>
            <w:shd w:val="clear" w:color="auto" w:fill="auto"/>
            <w:noWrap/>
            <w:vAlign w:val="center"/>
            <w:hideMark/>
          </w:tcPr>
          <w:p w14:paraId="4B929F02"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EAEB5D"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1608C">
              <w:rPr>
                <w:rFonts w:ascii="Arial" w:eastAsia="맑은 고딕" w:hAnsi="Arial" w:cs="Arial"/>
                <w:b/>
                <w:bCs/>
                <w:color w:val="000000"/>
                <w:sz w:val="18"/>
                <w:szCs w:val="18"/>
                <w:lang w:eastAsia="ko-KR"/>
              </w:rPr>
              <w:t>Random Access Main 10</w:t>
            </w:r>
          </w:p>
        </w:tc>
      </w:tr>
      <w:tr w:rsidR="00167882" w:rsidRPr="0021608C" w14:paraId="07CA85F0" w14:textId="77777777" w:rsidTr="00167882">
        <w:trPr>
          <w:trHeight w:val="255"/>
        </w:trPr>
        <w:tc>
          <w:tcPr>
            <w:tcW w:w="1180" w:type="dxa"/>
            <w:tcBorders>
              <w:top w:val="nil"/>
              <w:left w:val="nil"/>
              <w:bottom w:val="nil"/>
              <w:right w:val="nil"/>
            </w:tcBorders>
            <w:shd w:val="clear" w:color="auto" w:fill="auto"/>
            <w:noWrap/>
            <w:vAlign w:val="center"/>
            <w:hideMark/>
          </w:tcPr>
          <w:p w14:paraId="4D7EEA19"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E7984D"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1608C">
              <w:rPr>
                <w:rFonts w:ascii="Arial" w:eastAsia="맑은 고딕" w:hAnsi="Arial" w:cs="Arial"/>
                <w:b/>
                <w:bCs/>
                <w:color w:val="000000"/>
                <w:sz w:val="18"/>
                <w:szCs w:val="18"/>
                <w:lang w:eastAsia="ko-KR"/>
              </w:rPr>
              <w:t>Over ECM-3.1</w:t>
            </w:r>
          </w:p>
        </w:tc>
      </w:tr>
      <w:tr w:rsidR="00167882" w:rsidRPr="0021608C" w14:paraId="2463BF71" w14:textId="77777777" w:rsidTr="00167882">
        <w:trPr>
          <w:trHeight w:val="255"/>
        </w:trPr>
        <w:tc>
          <w:tcPr>
            <w:tcW w:w="1180" w:type="dxa"/>
            <w:tcBorders>
              <w:top w:val="nil"/>
              <w:left w:val="nil"/>
              <w:bottom w:val="nil"/>
              <w:right w:val="nil"/>
            </w:tcBorders>
            <w:shd w:val="clear" w:color="auto" w:fill="auto"/>
            <w:noWrap/>
            <w:vAlign w:val="center"/>
            <w:hideMark/>
          </w:tcPr>
          <w:p w14:paraId="7F80F1FE"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10D0AB1E"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0414B88"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53FB6BA2"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6F5D0DC6"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5FE662A8"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DecT</w:t>
            </w:r>
          </w:p>
        </w:tc>
      </w:tr>
      <w:tr w:rsidR="00167882" w:rsidRPr="0021608C" w14:paraId="5C428911" w14:textId="77777777" w:rsidTr="00167882">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21B427EC"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76C425B"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2F3A6AB0"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6F1B9C4E"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11484949"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#DIV/0!</w:t>
            </w:r>
          </w:p>
        </w:tc>
        <w:tc>
          <w:tcPr>
            <w:tcW w:w="1041" w:type="dxa"/>
            <w:tcBorders>
              <w:top w:val="nil"/>
              <w:left w:val="nil"/>
              <w:bottom w:val="nil"/>
              <w:right w:val="single" w:sz="8" w:space="0" w:color="auto"/>
            </w:tcBorders>
            <w:shd w:val="clear" w:color="auto" w:fill="auto"/>
            <w:noWrap/>
            <w:vAlign w:val="center"/>
            <w:hideMark/>
          </w:tcPr>
          <w:p w14:paraId="1D302D32"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#DIV/0!</w:t>
            </w:r>
          </w:p>
        </w:tc>
      </w:tr>
      <w:tr w:rsidR="00167882" w:rsidRPr="0021608C" w14:paraId="653149AD" w14:textId="77777777" w:rsidTr="00167882">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7F9129F6"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7F03CBEF"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4FB37C8B"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33BDCFEA"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13DE21AC"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#DIV/0!</w:t>
            </w:r>
          </w:p>
        </w:tc>
        <w:tc>
          <w:tcPr>
            <w:tcW w:w="1041" w:type="dxa"/>
            <w:tcBorders>
              <w:top w:val="nil"/>
              <w:left w:val="nil"/>
              <w:bottom w:val="nil"/>
              <w:right w:val="single" w:sz="8" w:space="0" w:color="auto"/>
            </w:tcBorders>
            <w:shd w:val="clear" w:color="auto" w:fill="auto"/>
            <w:noWrap/>
            <w:vAlign w:val="center"/>
            <w:hideMark/>
          </w:tcPr>
          <w:p w14:paraId="4BBE78E8"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#DIV/0!</w:t>
            </w:r>
          </w:p>
        </w:tc>
      </w:tr>
      <w:tr w:rsidR="00167882" w:rsidRPr="0021608C" w14:paraId="64287BE0" w14:textId="77777777" w:rsidTr="00167882">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EE4532E"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0857E3AE"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0.00%</w:t>
            </w:r>
          </w:p>
        </w:tc>
        <w:tc>
          <w:tcPr>
            <w:tcW w:w="1273" w:type="dxa"/>
            <w:tcBorders>
              <w:top w:val="nil"/>
              <w:left w:val="nil"/>
              <w:bottom w:val="nil"/>
              <w:right w:val="nil"/>
            </w:tcBorders>
            <w:shd w:val="clear" w:color="auto" w:fill="auto"/>
            <w:noWrap/>
            <w:vAlign w:val="center"/>
            <w:hideMark/>
          </w:tcPr>
          <w:p w14:paraId="2EC64721"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0.05%</w:t>
            </w:r>
          </w:p>
        </w:tc>
        <w:tc>
          <w:tcPr>
            <w:tcW w:w="1272" w:type="dxa"/>
            <w:tcBorders>
              <w:top w:val="nil"/>
              <w:left w:val="nil"/>
              <w:bottom w:val="nil"/>
              <w:right w:val="single" w:sz="4" w:space="0" w:color="auto"/>
            </w:tcBorders>
            <w:shd w:val="clear" w:color="auto" w:fill="auto"/>
            <w:noWrap/>
            <w:vAlign w:val="center"/>
            <w:hideMark/>
          </w:tcPr>
          <w:p w14:paraId="07A38A51"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0.21%</w:t>
            </w:r>
          </w:p>
        </w:tc>
        <w:tc>
          <w:tcPr>
            <w:tcW w:w="1041" w:type="dxa"/>
            <w:tcBorders>
              <w:top w:val="nil"/>
              <w:left w:val="nil"/>
              <w:bottom w:val="nil"/>
              <w:right w:val="nil"/>
            </w:tcBorders>
            <w:shd w:val="clear" w:color="auto" w:fill="auto"/>
            <w:noWrap/>
            <w:vAlign w:val="center"/>
            <w:hideMark/>
          </w:tcPr>
          <w:p w14:paraId="27FE0A49"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57DD6996"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102%</w:t>
            </w:r>
          </w:p>
        </w:tc>
      </w:tr>
      <w:tr w:rsidR="00167882" w:rsidRPr="0021608C" w14:paraId="47847AC5" w14:textId="77777777" w:rsidTr="00167882">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00253F28"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2FF4A1E5"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273" w:type="dxa"/>
            <w:tcBorders>
              <w:top w:val="nil"/>
              <w:left w:val="nil"/>
              <w:bottom w:val="nil"/>
              <w:right w:val="nil"/>
            </w:tcBorders>
            <w:shd w:val="clear" w:color="auto" w:fill="auto"/>
            <w:noWrap/>
            <w:vAlign w:val="center"/>
            <w:hideMark/>
          </w:tcPr>
          <w:p w14:paraId="56F3A928"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0.07%</w:t>
            </w:r>
          </w:p>
        </w:tc>
        <w:tc>
          <w:tcPr>
            <w:tcW w:w="1272" w:type="dxa"/>
            <w:tcBorders>
              <w:top w:val="nil"/>
              <w:left w:val="nil"/>
              <w:bottom w:val="nil"/>
              <w:right w:val="single" w:sz="4" w:space="0" w:color="auto"/>
            </w:tcBorders>
            <w:shd w:val="clear" w:color="auto" w:fill="auto"/>
            <w:noWrap/>
            <w:vAlign w:val="center"/>
            <w:hideMark/>
          </w:tcPr>
          <w:p w14:paraId="5CAD3906"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0.25%</w:t>
            </w:r>
          </w:p>
        </w:tc>
        <w:tc>
          <w:tcPr>
            <w:tcW w:w="1041" w:type="dxa"/>
            <w:tcBorders>
              <w:top w:val="nil"/>
              <w:left w:val="nil"/>
              <w:bottom w:val="nil"/>
              <w:right w:val="nil"/>
            </w:tcBorders>
            <w:shd w:val="clear" w:color="auto" w:fill="auto"/>
            <w:noWrap/>
            <w:vAlign w:val="center"/>
            <w:hideMark/>
          </w:tcPr>
          <w:p w14:paraId="7C717EAE"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2915E1CF"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101%</w:t>
            </w:r>
          </w:p>
        </w:tc>
      </w:tr>
      <w:tr w:rsidR="00167882" w:rsidRPr="0021608C" w14:paraId="13C82672" w14:textId="77777777" w:rsidTr="00167882">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4066B6BA"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3F7CCB45"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18EFDC5"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55AA3107"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7D27B7CD"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77C320A4"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 xml:space="preserve">　</w:t>
            </w:r>
          </w:p>
        </w:tc>
      </w:tr>
      <w:tr w:rsidR="00167882" w:rsidRPr="0021608C" w14:paraId="7AA48AD5" w14:textId="77777777" w:rsidTr="00167882">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0077A86D"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1608C">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09851C3E"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273" w:type="dxa"/>
            <w:tcBorders>
              <w:top w:val="single" w:sz="8" w:space="0" w:color="auto"/>
              <w:left w:val="nil"/>
              <w:bottom w:val="nil"/>
              <w:right w:val="nil"/>
            </w:tcBorders>
            <w:shd w:val="clear" w:color="auto" w:fill="auto"/>
            <w:noWrap/>
            <w:vAlign w:val="center"/>
            <w:hideMark/>
          </w:tcPr>
          <w:p w14:paraId="5299244E"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272" w:type="dxa"/>
            <w:tcBorders>
              <w:top w:val="single" w:sz="8" w:space="0" w:color="auto"/>
              <w:left w:val="nil"/>
              <w:bottom w:val="nil"/>
              <w:right w:val="single" w:sz="4" w:space="0" w:color="auto"/>
            </w:tcBorders>
            <w:shd w:val="clear" w:color="auto" w:fill="auto"/>
            <w:noWrap/>
            <w:vAlign w:val="center"/>
            <w:hideMark/>
          </w:tcPr>
          <w:p w14:paraId="5812A900"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#VALUE!</w:t>
            </w:r>
          </w:p>
        </w:tc>
        <w:tc>
          <w:tcPr>
            <w:tcW w:w="1041" w:type="dxa"/>
            <w:tcBorders>
              <w:top w:val="single" w:sz="8" w:space="0" w:color="auto"/>
              <w:left w:val="nil"/>
              <w:bottom w:val="nil"/>
              <w:right w:val="nil"/>
            </w:tcBorders>
            <w:shd w:val="clear" w:color="auto" w:fill="auto"/>
            <w:noWrap/>
            <w:vAlign w:val="center"/>
            <w:hideMark/>
          </w:tcPr>
          <w:p w14:paraId="5EEA534B"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#DIV/0!</w:t>
            </w:r>
          </w:p>
        </w:tc>
        <w:tc>
          <w:tcPr>
            <w:tcW w:w="1041" w:type="dxa"/>
            <w:tcBorders>
              <w:top w:val="single" w:sz="8" w:space="0" w:color="auto"/>
              <w:left w:val="nil"/>
              <w:bottom w:val="nil"/>
              <w:right w:val="single" w:sz="8" w:space="0" w:color="auto"/>
            </w:tcBorders>
            <w:shd w:val="clear" w:color="auto" w:fill="auto"/>
            <w:noWrap/>
            <w:vAlign w:val="center"/>
            <w:hideMark/>
          </w:tcPr>
          <w:p w14:paraId="5E8A4C78"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#DIV/0!</w:t>
            </w:r>
          </w:p>
        </w:tc>
      </w:tr>
      <w:tr w:rsidR="00167882" w:rsidRPr="0021608C" w14:paraId="551CBC17" w14:textId="77777777" w:rsidTr="00652E28">
        <w:trPr>
          <w:trHeight w:val="255"/>
        </w:trPr>
        <w:tc>
          <w:tcPr>
            <w:tcW w:w="1180" w:type="dxa"/>
            <w:tcBorders>
              <w:top w:val="single" w:sz="8" w:space="0" w:color="auto"/>
              <w:left w:val="single" w:sz="8" w:space="0" w:color="auto"/>
              <w:right w:val="single" w:sz="8" w:space="0" w:color="auto"/>
            </w:tcBorders>
            <w:shd w:val="clear" w:color="auto" w:fill="auto"/>
            <w:noWrap/>
            <w:vAlign w:val="center"/>
            <w:hideMark/>
          </w:tcPr>
          <w:p w14:paraId="156EF528"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D</w:t>
            </w:r>
          </w:p>
        </w:tc>
        <w:tc>
          <w:tcPr>
            <w:tcW w:w="1273" w:type="dxa"/>
            <w:tcBorders>
              <w:top w:val="single" w:sz="8" w:space="0" w:color="auto"/>
              <w:left w:val="nil"/>
              <w:right w:val="nil"/>
            </w:tcBorders>
            <w:shd w:val="clear" w:color="auto" w:fill="auto"/>
            <w:noWrap/>
            <w:vAlign w:val="center"/>
            <w:hideMark/>
          </w:tcPr>
          <w:p w14:paraId="5CBFC909"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0.00%</w:t>
            </w:r>
          </w:p>
        </w:tc>
        <w:tc>
          <w:tcPr>
            <w:tcW w:w="1273" w:type="dxa"/>
            <w:tcBorders>
              <w:top w:val="single" w:sz="8" w:space="0" w:color="auto"/>
              <w:left w:val="nil"/>
              <w:right w:val="nil"/>
            </w:tcBorders>
            <w:shd w:val="clear" w:color="auto" w:fill="auto"/>
            <w:noWrap/>
            <w:vAlign w:val="center"/>
            <w:hideMark/>
          </w:tcPr>
          <w:p w14:paraId="44903F60"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0.20%</w:t>
            </w:r>
          </w:p>
        </w:tc>
        <w:tc>
          <w:tcPr>
            <w:tcW w:w="1272" w:type="dxa"/>
            <w:tcBorders>
              <w:top w:val="single" w:sz="8" w:space="0" w:color="auto"/>
              <w:left w:val="nil"/>
              <w:right w:val="single" w:sz="4" w:space="0" w:color="auto"/>
            </w:tcBorders>
            <w:shd w:val="clear" w:color="auto" w:fill="auto"/>
            <w:noWrap/>
            <w:vAlign w:val="center"/>
            <w:hideMark/>
          </w:tcPr>
          <w:p w14:paraId="6CDC2F4C"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-0.09%</w:t>
            </w:r>
          </w:p>
        </w:tc>
        <w:tc>
          <w:tcPr>
            <w:tcW w:w="1041" w:type="dxa"/>
            <w:tcBorders>
              <w:top w:val="single" w:sz="8" w:space="0" w:color="auto"/>
              <w:left w:val="nil"/>
              <w:right w:val="nil"/>
            </w:tcBorders>
            <w:shd w:val="clear" w:color="auto" w:fill="auto"/>
            <w:noWrap/>
            <w:vAlign w:val="center"/>
            <w:hideMark/>
          </w:tcPr>
          <w:p w14:paraId="560F6640"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100%</w:t>
            </w:r>
          </w:p>
        </w:tc>
        <w:tc>
          <w:tcPr>
            <w:tcW w:w="1041" w:type="dxa"/>
            <w:tcBorders>
              <w:top w:val="single" w:sz="8" w:space="0" w:color="auto"/>
              <w:left w:val="nil"/>
              <w:right w:val="single" w:sz="8" w:space="0" w:color="auto"/>
            </w:tcBorders>
            <w:shd w:val="clear" w:color="auto" w:fill="auto"/>
            <w:noWrap/>
            <w:vAlign w:val="center"/>
            <w:hideMark/>
          </w:tcPr>
          <w:p w14:paraId="27D297F8"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100%</w:t>
            </w:r>
          </w:p>
        </w:tc>
      </w:tr>
      <w:tr w:rsidR="00167882" w:rsidRPr="00167882" w14:paraId="28939711" w14:textId="77777777" w:rsidTr="00652E28">
        <w:trPr>
          <w:trHeight w:val="255"/>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4A68A4A2"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Class F</w:t>
            </w:r>
          </w:p>
        </w:tc>
        <w:tc>
          <w:tcPr>
            <w:tcW w:w="1273" w:type="dxa"/>
            <w:tcBorders>
              <w:top w:val="nil"/>
              <w:left w:val="nil"/>
              <w:bottom w:val="single" w:sz="8" w:space="0" w:color="auto"/>
              <w:right w:val="nil"/>
            </w:tcBorders>
            <w:shd w:val="clear" w:color="auto" w:fill="auto"/>
            <w:noWrap/>
            <w:vAlign w:val="center"/>
            <w:hideMark/>
          </w:tcPr>
          <w:p w14:paraId="2B80B25F"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0.02%</w:t>
            </w:r>
          </w:p>
        </w:tc>
        <w:tc>
          <w:tcPr>
            <w:tcW w:w="1273" w:type="dxa"/>
            <w:tcBorders>
              <w:top w:val="nil"/>
              <w:left w:val="nil"/>
              <w:bottom w:val="single" w:sz="8" w:space="0" w:color="auto"/>
              <w:right w:val="nil"/>
            </w:tcBorders>
            <w:shd w:val="clear" w:color="auto" w:fill="auto"/>
            <w:noWrap/>
            <w:vAlign w:val="center"/>
            <w:hideMark/>
          </w:tcPr>
          <w:p w14:paraId="03479FFC"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0.01%</w:t>
            </w:r>
          </w:p>
        </w:tc>
        <w:tc>
          <w:tcPr>
            <w:tcW w:w="1272" w:type="dxa"/>
            <w:tcBorders>
              <w:top w:val="nil"/>
              <w:left w:val="nil"/>
              <w:bottom w:val="single" w:sz="8" w:space="0" w:color="auto"/>
              <w:right w:val="single" w:sz="4" w:space="0" w:color="auto"/>
            </w:tcBorders>
            <w:shd w:val="clear" w:color="auto" w:fill="auto"/>
            <w:noWrap/>
            <w:vAlign w:val="center"/>
            <w:hideMark/>
          </w:tcPr>
          <w:p w14:paraId="6DD1463C"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-0.25%</w:t>
            </w:r>
          </w:p>
        </w:tc>
        <w:tc>
          <w:tcPr>
            <w:tcW w:w="1041" w:type="dxa"/>
            <w:tcBorders>
              <w:top w:val="nil"/>
              <w:left w:val="nil"/>
              <w:bottom w:val="single" w:sz="8" w:space="0" w:color="auto"/>
              <w:right w:val="nil"/>
            </w:tcBorders>
            <w:shd w:val="clear" w:color="auto" w:fill="auto"/>
            <w:noWrap/>
            <w:vAlign w:val="center"/>
            <w:hideMark/>
          </w:tcPr>
          <w:p w14:paraId="108054C7" w14:textId="77777777" w:rsidR="00167882" w:rsidRPr="0021608C"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102%</w:t>
            </w:r>
          </w:p>
        </w:tc>
        <w:tc>
          <w:tcPr>
            <w:tcW w:w="1041" w:type="dxa"/>
            <w:tcBorders>
              <w:top w:val="nil"/>
              <w:left w:val="nil"/>
              <w:bottom w:val="single" w:sz="8" w:space="0" w:color="auto"/>
              <w:right w:val="single" w:sz="8" w:space="0" w:color="auto"/>
            </w:tcBorders>
            <w:shd w:val="clear" w:color="auto" w:fill="auto"/>
            <w:noWrap/>
            <w:vAlign w:val="center"/>
            <w:hideMark/>
          </w:tcPr>
          <w:p w14:paraId="26410CC5" w14:textId="77777777" w:rsidR="00167882" w:rsidRPr="00167882" w:rsidRDefault="00167882" w:rsidP="00167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1608C">
              <w:rPr>
                <w:rFonts w:ascii="Arial" w:eastAsia="맑은 고딕" w:hAnsi="Arial" w:cs="Arial"/>
                <w:color w:val="000000"/>
                <w:sz w:val="18"/>
                <w:szCs w:val="18"/>
                <w:lang w:eastAsia="ko-KR"/>
              </w:rPr>
              <w:t>102%</w:t>
            </w:r>
          </w:p>
        </w:tc>
      </w:tr>
    </w:tbl>
    <w:p w14:paraId="16E2F3FA" w14:textId="77777777" w:rsidR="00167882" w:rsidRPr="006B075C" w:rsidRDefault="00167882" w:rsidP="006B075C">
      <w:pPr>
        <w:rPr>
          <w:lang w:val="en-CA" w:eastAsia="ko-KR"/>
        </w:rPr>
      </w:pPr>
    </w:p>
    <w:p w14:paraId="7604D894" w14:textId="1406F731" w:rsidR="00A54CD3" w:rsidRDefault="00A54CD3" w:rsidP="004D575D">
      <w:pPr>
        <w:pStyle w:val="1"/>
        <w:rPr>
          <w:lang w:val="en-CA" w:eastAsia="ko-KR"/>
        </w:rPr>
      </w:pPr>
      <w:r>
        <w:rPr>
          <w:rFonts w:hint="eastAsia"/>
          <w:lang w:val="en-CA" w:eastAsia="ko-KR"/>
        </w:rPr>
        <w:lastRenderedPageBreak/>
        <w:t>Conclusion</w:t>
      </w:r>
    </w:p>
    <w:p w14:paraId="32F59FFA" w14:textId="31B8459E" w:rsidR="00A54CD3" w:rsidRPr="00A54CD3" w:rsidRDefault="002B08E0" w:rsidP="00A54CD3">
      <w:pPr>
        <w:rPr>
          <w:lang w:val="en-CA" w:eastAsia="ko-KR"/>
        </w:rPr>
      </w:pPr>
      <w:r>
        <w:rPr>
          <w:rFonts w:hint="eastAsia"/>
          <w:lang w:val="en-CA" w:eastAsia="ko-KR"/>
        </w:rPr>
        <w:t xml:space="preserve">It is proposed to </w:t>
      </w:r>
      <w:r>
        <w:rPr>
          <w:lang w:val="en-CA" w:eastAsia="ko-KR"/>
        </w:rPr>
        <w:t>unify the restriction of neighbor intra modes when those are in the above CTU boundaries. This method can be less costly when the line buffer is implemented, since the intra modes are not necessary to be stored. Moreover, it is confirmed that the advantage of using the neighbor intra modes above the CTU boundary is negligible. Therefore, it is recommended to restrict the above neighbor intra modes in the different CTUs.</w:t>
      </w:r>
    </w:p>
    <w:p w14:paraId="19B2A946" w14:textId="09761019" w:rsidR="00E7648C" w:rsidRDefault="006B075C" w:rsidP="004D575D">
      <w:pPr>
        <w:pStyle w:val="1"/>
        <w:rPr>
          <w:lang w:val="en-CA" w:eastAsia="ko-KR"/>
        </w:rPr>
      </w:pPr>
      <w:r w:rsidRPr="006B075C">
        <w:rPr>
          <w:rFonts w:hint="eastAsia"/>
          <w:lang w:val="en-CA" w:eastAsia="ko-KR"/>
        </w:rPr>
        <w:t>Reference</w:t>
      </w:r>
      <w:r>
        <w:rPr>
          <w:lang w:val="en-CA" w:eastAsia="ko-KR"/>
        </w:rPr>
        <w:t>(s)</w:t>
      </w:r>
    </w:p>
    <w:p w14:paraId="49CB3CB6" w14:textId="6AC015EB" w:rsidR="006B075C" w:rsidRPr="006B075C" w:rsidRDefault="006B075C" w:rsidP="0022695F">
      <w:pPr>
        <w:numPr>
          <w:ilvl w:val="0"/>
          <w:numId w:val="15"/>
        </w:numPr>
        <w:tabs>
          <w:tab w:val="clear" w:pos="360"/>
          <w:tab w:val="clear" w:pos="1080"/>
          <w:tab w:val="left" w:pos="426"/>
        </w:tabs>
        <w:rPr>
          <w:lang w:val="en-CA"/>
        </w:rPr>
      </w:pPr>
      <w:bookmarkStart w:id="1" w:name="_Ref36827579"/>
      <w:r w:rsidRPr="006B075C">
        <w:rPr>
          <w:szCs w:val="22"/>
          <w:lang w:val="en-CA"/>
        </w:rPr>
        <w:t xml:space="preserve">M. Karczewicz, Y. Ye, “Common Test Conditions and evaluation procedures for enhanced compression tool testing,” Document of </w:t>
      </w:r>
      <w:r>
        <w:rPr>
          <w:szCs w:val="22"/>
          <w:lang w:val="en-CA"/>
        </w:rPr>
        <w:t>J</w:t>
      </w:r>
      <w:r w:rsidRPr="006B075C">
        <w:rPr>
          <w:szCs w:val="22"/>
          <w:lang w:val="en-CA"/>
        </w:rPr>
        <w:t>oint Video Experts Team (JVET)</w:t>
      </w:r>
      <w:r>
        <w:rPr>
          <w:szCs w:val="22"/>
          <w:lang w:val="en-CA"/>
        </w:rPr>
        <w:t xml:space="preserve"> </w:t>
      </w:r>
      <w:r w:rsidRPr="006B075C">
        <w:rPr>
          <w:szCs w:val="22"/>
          <w:lang w:val="en-CA"/>
        </w:rPr>
        <w:t>of ITU-T SG 16 WP 3 and ISO/IEC JTC 1/SC 29, JVET-</w:t>
      </w:r>
      <w:r>
        <w:rPr>
          <w:szCs w:val="22"/>
          <w:lang w:val="en-CA"/>
        </w:rPr>
        <w:t>X2017</w:t>
      </w:r>
      <w:r w:rsidRPr="006B075C">
        <w:rPr>
          <w:szCs w:val="22"/>
          <w:lang w:val="en-CA"/>
        </w:rPr>
        <w:t xml:space="preserve">, </w:t>
      </w:r>
      <w:r w:rsidRPr="00272360">
        <w:rPr>
          <w:lang w:val="en-CA"/>
        </w:rPr>
        <w:t>24th Meeting, by teleconference, 6–15 October 2021</w:t>
      </w:r>
      <w:r w:rsidRPr="006B075C">
        <w:rPr>
          <w:szCs w:val="22"/>
          <w:lang w:val="en-CA"/>
        </w:rPr>
        <w:t>.</w:t>
      </w:r>
      <w:bookmarkEnd w:id="1"/>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D785926" w:rsidR="00342FF4" w:rsidRPr="005B217D" w:rsidRDefault="000806D3"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8C8CC" w14:textId="77777777" w:rsidR="00225622" w:rsidRDefault="00225622">
      <w:r>
        <w:separator/>
      </w:r>
    </w:p>
  </w:endnote>
  <w:endnote w:type="continuationSeparator" w:id="0">
    <w:p w14:paraId="431E6124" w14:textId="77777777" w:rsidR="00225622" w:rsidRDefault="00225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2B671B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B73E6">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1608C">
      <w:rPr>
        <w:rStyle w:val="a5"/>
        <w:noProof/>
      </w:rPr>
      <w:t>2022-01-05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D11D8" w14:textId="77777777" w:rsidR="00225622" w:rsidRDefault="00225622">
      <w:r>
        <w:separator/>
      </w:r>
    </w:p>
  </w:footnote>
  <w:footnote w:type="continuationSeparator" w:id="0">
    <w:p w14:paraId="452E459A" w14:textId="77777777" w:rsidR="00225622" w:rsidRDefault="002256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C514B"/>
    <w:multiLevelType w:val="hybridMultilevel"/>
    <w:tmpl w:val="E81E7D9A"/>
    <w:lvl w:ilvl="0" w:tplc="6BA867E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61876"/>
    <w:multiLevelType w:val="hybridMultilevel"/>
    <w:tmpl w:val="114E649A"/>
    <w:lvl w:ilvl="0" w:tplc="6BA867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93DA1"/>
    <w:multiLevelType w:val="hybridMultilevel"/>
    <w:tmpl w:val="25A0BFA0"/>
    <w:lvl w:ilvl="0" w:tplc="37DA34E8">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F62600"/>
    <w:multiLevelType w:val="hybridMultilevel"/>
    <w:tmpl w:val="D668DF5A"/>
    <w:lvl w:ilvl="0" w:tplc="18C0D34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2"/>
  </w:num>
  <w:num w:numId="13">
    <w:abstractNumId w:val="6"/>
  </w:num>
  <w:num w:numId="14">
    <w:abstractNumId w:val="2"/>
  </w:num>
  <w:num w:numId="15">
    <w:abstractNumId w:val="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5235F"/>
    <w:rsid w:val="00055D8E"/>
    <w:rsid w:val="00065039"/>
    <w:rsid w:val="0007614F"/>
    <w:rsid w:val="000806D3"/>
    <w:rsid w:val="00081398"/>
    <w:rsid w:val="00084393"/>
    <w:rsid w:val="000865E1"/>
    <w:rsid w:val="00092AF4"/>
    <w:rsid w:val="00094479"/>
    <w:rsid w:val="000962AC"/>
    <w:rsid w:val="000B0C0F"/>
    <w:rsid w:val="000B1C6B"/>
    <w:rsid w:val="000B4142"/>
    <w:rsid w:val="000B4FF9"/>
    <w:rsid w:val="000C09AC"/>
    <w:rsid w:val="000C2BAA"/>
    <w:rsid w:val="000D4444"/>
    <w:rsid w:val="000D61B1"/>
    <w:rsid w:val="000E00F3"/>
    <w:rsid w:val="000F158C"/>
    <w:rsid w:val="000F342E"/>
    <w:rsid w:val="00102F3D"/>
    <w:rsid w:val="00121A3F"/>
    <w:rsid w:val="00124E38"/>
    <w:rsid w:val="0012580B"/>
    <w:rsid w:val="00131F90"/>
    <w:rsid w:val="0013458C"/>
    <w:rsid w:val="0013526E"/>
    <w:rsid w:val="00146152"/>
    <w:rsid w:val="00155526"/>
    <w:rsid w:val="00167882"/>
    <w:rsid w:val="00171371"/>
    <w:rsid w:val="00175A24"/>
    <w:rsid w:val="00187E58"/>
    <w:rsid w:val="00193882"/>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07663"/>
    <w:rsid w:val="00215DFC"/>
    <w:rsid w:val="0021608C"/>
    <w:rsid w:val="002212DF"/>
    <w:rsid w:val="00222CD4"/>
    <w:rsid w:val="00225016"/>
    <w:rsid w:val="002253CA"/>
    <w:rsid w:val="00225622"/>
    <w:rsid w:val="002264A6"/>
    <w:rsid w:val="00227BA7"/>
    <w:rsid w:val="0023011C"/>
    <w:rsid w:val="002375C1"/>
    <w:rsid w:val="0024153B"/>
    <w:rsid w:val="00247E1E"/>
    <w:rsid w:val="00256FAE"/>
    <w:rsid w:val="00263398"/>
    <w:rsid w:val="00263B99"/>
    <w:rsid w:val="002647D8"/>
    <w:rsid w:val="00266F06"/>
    <w:rsid w:val="00275BCF"/>
    <w:rsid w:val="00280613"/>
    <w:rsid w:val="00291E36"/>
    <w:rsid w:val="00292257"/>
    <w:rsid w:val="002923B2"/>
    <w:rsid w:val="00295ABF"/>
    <w:rsid w:val="002A54E0"/>
    <w:rsid w:val="002B08E0"/>
    <w:rsid w:val="002B1595"/>
    <w:rsid w:val="002B191D"/>
    <w:rsid w:val="002B2E83"/>
    <w:rsid w:val="002D0AF6"/>
    <w:rsid w:val="002D6E28"/>
    <w:rsid w:val="002F164D"/>
    <w:rsid w:val="003021BC"/>
    <w:rsid w:val="00306206"/>
    <w:rsid w:val="00317D85"/>
    <w:rsid w:val="00327C56"/>
    <w:rsid w:val="003315A1"/>
    <w:rsid w:val="003339FA"/>
    <w:rsid w:val="003373EC"/>
    <w:rsid w:val="00337B39"/>
    <w:rsid w:val="00342FF4"/>
    <w:rsid w:val="00344E5A"/>
    <w:rsid w:val="00346148"/>
    <w:rsid w:val="003600C4"/>
    <w:rsid w:val="003669EA"/>
    <w:rsid w:val="003706CC"/>
    <w:rsid w:val="00374393"/>
    <w:rsid w:val="00377710"/>
    <w:rsid w:val="003A2D8E"/>
    <w:rsid w:val="003A7CE6"/>
    <w:rsid w:val="003B425F"/>
    <w:rsid w:val="003C20E4"/>
    <w:rsid w:val="003D34B1"/>
    <w:rsid w:val="003D6342"/>
    <w:rsid w:val="003E6F90"/>
    <w:rsid w:val="003E73ED"/>
    <w:rsid w:val="003F5D0F"/>
    <w:rsid w:val="00401C7B"/>
    <w:rsid w:val="00414101"/>
    <w:rsid w:val="004219CF"/>
    <w:rsid w:val="00421C32"/>
    <w:rsid w:val="004234F0"/>
    <w:rsid w:val="00427EEC"/>
    <w:rsid w:val="004300B0"/>
    <w:rsid w:val="00432643"/>
    <w:rsid w:val="00433DDB"/>
    <w:rsid w:val="00435A29"/>
    <w:rsid w:val="00437619"/>
    <w:rsid w:val="004527AA"/>
    <w:rsid w:val="00465A1E"/>
    <w:rsid w:val="0049445A"/>
    <w:rsid w:val="004957D9"/>
    <w:rsid w:val="004A2A63"/>
    <w:rsid w:val="004B07C1"/>
    <w:rsid w:val="004B210C"/>
    <w:rsid w:val="004B6170"/>
    <w:rsid w:val="004D405F"/>
    <w:rsid w:val="004E4F4F"/>
    <w:rsid w:val="004E6789"/>
    <w:rsid w:val="004F61E3"/>
    <w:rsid w:val="00502E10"/>
    <w:rsid w:val="0050354E"/>
    <w:rsid w:val="005035A5"/>
    <w:rsid w:val="00505BB2"/>
    <w:rsid w:val="0051015C"/>
    <w:rsid w:val="00516CF1"/>
    <w:rsid w:val="00531AE9"/>
    <w:rsid w:val="00536188"/>
    <w:rsid w:val="00550A66"/>
    <w:rsid w:val="00567EC7"/>
    <w:rsid w:val="00570013"/>
    <w:rsid w:val="005753EC"/>
    <w:rsid w:val="005801A2"/>
    <w:rsid w:val="00583B97"/>
    <w:rsid w:val="005952A5"/>
    <w:rsid w:val="005A33A1"/>
    <w:rsid w:val="005B217D"/>
    <w:rsid w:val="005B4BEB"/>
    <w:rsid w:val="005C385F"/>
    <w:rsid w:val="005C3983"/>
    <w:rsid w:val="005C7C26"/>
    <w:rsid w:val="005E1AC6"/>
    <w:rsid w:val="005E3F2B"/>
    <w:rsid w:val="005F6F1B"/>
    <w:rsid w:val="00615995"/>
    <w:rsid w:val="00616155"/>
    <w:rsid w:val="00624B33"/>
    <w:rsid w:val="006274C6"/>
    <w:rsid w:val="0063041A"/>
    <w:rsid w:val="00630AA2"/>
    <w:rsid w:val="00631D8B"/>
    <w:rsid w:val="00646707"/>
    <w:rsid w:val="00652E28"/>
    <w:rsid w:val="00657F7E"/>
    <w:rsid w:val="00662E58"/>
    <w:rsid w:val="006637F2"/>
    <w:rsid w:val="006642A5"/>
    <w:rsid w:val="00664DCF"/>
    <w:rsid w:val="006A0E5C"/>
    <w:rsid w:val="006A48E6"/>
    <w:rsid w:val="006B075C"/>
    <w:rsid w:val="006B73E6"/>
    <w:rsid w:val="006C5D39"/>
    <w:rsid w:val="006D6D9B"/>
    <w:rsid w:val="006E2810"/>
    <w:rsid w:val="006E5417"/>
    <w:rsid w:val="006F0794"/>
    <w:rsid w:val="006F7528"/>
    <w:rsid w:val="007023DE"/>
    <w:rsid w:val="00712F60"/>
    <w:rsid w:val="00720E3B"/>
    <w:rsid w:val="00736741"/>
    <w:rsid w:val="0074393F"/>
    <w:rsid w:val="00745F6B"/>
    <w:rsid w:val="00746093"/>
    <w:rsid w:val="0075175B"/>
    <w:rsid w:val="0075585E"/>
    <w:rsid w:val="00770571"/>
    <w:rsid w:val="007768FF"/>
    <w:rsid w:val="007824D3"/>
    <w:rsid w:val="00793E05"/>
    <w:rsid w:val="00796EE3"/>
    <w:rsid w:val="007A7D29"/>
    <w:rsid w:val="007B4AB8"/>
    <w:rsid w:val="007C081C"/>
    <w:rsid w:val="007D1181"/>
    <w:rsid w:val="007E01A3"/>
    <w:rsid w:val="007F0E05"/>
    <w:rsid w:val="007F1F8B"/>
    <w:rsid w:val="007F6205"/>
    <w:rsid w:val="007F67A1"/>
    <w:rsid w:val="00801A7B"/>
    <w:rsid w:val="00811C05"/>
    <w:rsid w:val="00811F81"/>
    <w:rsid w:val="008206C8"/>
    <w:rsid w:val="0086387C"/>
    <w:rsid w:val="00874A6C"/>
    <w:rsid w:val="00876C65"/>
    <w:rsid w:val="00881A44"/>
    <w:rsid w:val="00882F72"/>
    <w:rsid w:val="0088314E"/>
    <w:rsid w:val="00893DC4"/>
    <w:rsid w:val="008A4B4C"/>
    <w:rsid w:val="008A4B5A"/>
    <w:rsid w:val="008C239F"/>
    <w:rsid w:val="008E480C"/>
    <w:rsid w:val="00907757"/>
    <w:rsid w:val="009135D3"/>
    <w:rsid w:val="009212B0"/>
    <w:rsid w:val="00921FA1"/>
    <w:rsid w:val="009234A5"/>
    <w:rsid w:val="00933453"/>
    <w:rsid w:val="009336F7"/>
    <w:rsid w:val="0093636C"/>
    <w:rsid w:val="009374A7"/>
    <w:rsid w:val="00937F03"/>
    <w:rsid w:val="009449F2"/>
    <w:rsid w:val="00947102"/>
    <w:rsid w:val="00955F6D"/>
    <w:rsid w:val="00977C16"/>
    <w:rsid w:val="0098551D"/>
    <w:rsid w:val="00985DCB"/>
    <w:rsid w:val="0099518F"/>
    <w:rsid w:val="009A523D"/>
    <w:rsid w:val="009B02A1"/>
    <w:rsid w:val="009B3361"/>
    <w:rsid w:val="009B7F3F"/>
    <w:rsid w:val="009C5BA7"/>
    <w:rsid w:val="009D7CE6"/>
    <w:rsid w:val="009E448E"/>
    <w:rsid w:val="009F496B"/>
    <w:rsid w:val="00A01439"/>
    <w:rsid w:val="00A02E61"/>
    <w:rsid w:val="00A05CFF"/>
    <w:rsid w:val="00A13048"/>
    <w:rsid w:val="00A24E92"/>
    <w:rsid w:val="00A46843"/>
    <w:rsid w:val="00A54CD3"/>
    <w:rsid w:val="00A56B97"/>
    <w:rsid w:val="00A6093D"/>
    <w:rsid w:val="00A703CE"/>
    <w:rsid w:val="00A72017"/>
    <w:rsid w:val="00A767DC"/>
    <w:rsid w:val="00A76A6D"/>
    <w:rsid w:val="00A83253"/>
    <w:rsid w:val="00AA6E84"/>
    <w:rsid w:val="00AB1A1C"/>
    <w:rsid w:val="00AB4721"/>
    <w:rsid w:val="00AB7405"/>
    <w:rsid w:val="00AD05A8"/>
    <w:rsid w:val="00AE341B"/>
    <w:rsid w:val="00AF3236"/>
    <w:rsid w:val="00AF51C5"/>
    <w:rsid w:val="00B01905"/>
    <w:rsid w:val="00B07CA7"/>
    <w:rsid w:val="00B1279A"/>
    <w:rsid w:val="00B36080"/>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39D5"/>
    <w:rsid w:val="00BC10BA"/>
    <w:rsid w:val="00BC5340"/>
    <w:rsid w:val="00BC5AFD"/>
    <w:rsid w:val="00C00DDE"/>
    <w:rsid w:val="00C04F43"/>
    <w:rsid w:val="00C05271"/>
    <w:rsid w:val="00C0609D"/>
    <w:rsid w:val="00C11273"/>
    <w:rsid w:val="00C1131D"/>
    <w:rsid w:val="00C115AB"/>
    <w:rsid w:val="00C17DA3"/>
    <w:rsid w:val="00C26CCB"/>
    <w:rsid w:val="00C30249"/>
    <w:rsid w:val="00C3723B"/>
    <w:rsid w:val="00C42466"/>
    <w:rsid w:val="00C606C9"/>
    <w:rsid w:val="00C80288"/>
    <w:rsid w:val="00C836F0"/>
    <w:rsid w:val="00C84003"/>
    <w:rsid w:val="00C90650"/>
    <w:rsid w:val="00C97D78"/>
    <w:rsid w:val="00CB3DFA"/>
    <w:rsid w:val="00CC2AAE"/>
    <w:rsid w:val="00CC5A42"/>
    <w:rsid w:val="00CD0EAB"/>
    <w:rsid w:val="00CE5E02"/>
    <w:rsid w:val="00CF34DB"/>
    <w:rsid w:val="00CF3917"/>
    <w:rsid w:val="00CF558F"/>
    <w:rsid w:val="00D010C0"/>
    <w:rsid w:val="00D02F57"/>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59D5"/>
    <w:rsid w:val="00DE6B43"/>
    <w:rsid w:val="00E11923"/>
    <w:rsid w:val="00E262D4"/>
    <w:rsid w:val="00E36250"/>
    <w:rsid w:val="00E47F2D"/>
    <w:rsid w:val="00E54511"/>
    <w:rsid w:val="00E60EDC"/>
    <w:rsid w:val="00E61DAC"/>
    <w:rsid w:val="00E6726A"/>
    <w:rsid w:val="00E72B80"/>
    <w:rsid w:val="00E75FE3"/>
    <w:rsid w:val="00E7648C"/>
    <w:rsid w:val="00E86C4C"/>
    <w:rsid w:val="00E907A3"/>
    <w:rsid w:val="00EA5AE0"/>
    <w:rsid w:val="00EB56E1"/>
    <w:rsid w:val="00EB7AB1"/>
    <w:rsid w:val="00EC32BD"/>
    <w:rsid w:val="00EE7CD8"/>
    <w:rsid w:val="00EF37F6"/>
    <w:rsid w:val="00EF48CC"/>
    <w:rsid w:val="00F00801"/>
    <w:rsid w:val="00F00B82"/>
    <w:rsid w:val="00F2488D"/>
    <w:rsid w:val="00F601A0"/>
    <w:rsid w:val="00F712E9"/>
    <w:rsid w:val="00F73032"/>
    <w:rsid w:val="00F848FC"/>
    <w:rsid w:val="00F87117"/>
    <w:rsid w:val="00F906F6"/>
    <w:rsid w:val="00F9282A"/>
    <w:rsid w:val="00F96BAD"/>
    <w:rsid w:val="00FA139D"/>
    <w:rsid w:val="00FA587D"/>
    <w:rsid w:val="00FA60F5"/>
    <w:rsid w:val="00FB0E84"/>
    <w:rsid w:val="00FC2405"/>
    <w:rsid w:val="00FD01C2"/>
    <w:rsid w:val="00FE595C"/>
    <w:rsid w:val="00FE6D03"/>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28B96B88-5516-4CC7-A4FC-6C179A38A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uiPriority w:val="34"/>
    <w:qFormat/>
    <w:rsid w:val="00432643"/>
    <w:pPr>
      <w:ind w:leftChars="400" w:left="800"/>
    </w:pPr>
  </w:style>
  <w:style w:type="character" w:styleId="ac">
    <w:name w:val="annotation reference"/>
    <w:basedOn w:val="a0"/>
    <w:rsid w:val="00F87117"/>
    <w:rPr>
      <w:sz w:val="18"/>
      <w:szCs w:val="18"/>
    </w:rPr>
  </w:style>
  <w:style w:type="paragraph" w:styleId="ad">
    <w:name w:val="annotation text"/>
    <w:basedOn w:val="a"/>
    <w:link w:val="Char0"/>
    <w:rsid w:val="00F87117"/>
    <w:pPr>
      <w:jc w:val="left"/>
    </w:pPr>
  </w:style>
  <w:style w:type="character" w:customStyle="1" w:styleId="Char0">
    <w:name w:val="메모 텍스트 Char"/>
    <w:basedOn w:val="a0"/>
    <w:link w:val="ad"/>
    <w:rsid w:val="00F87117"/>
    <w:rPr>
      <w:sz w:val="22"/>
    </w:rPr>
  </w:style>
  <w:style w:type="paragraph" w:styleId="ae">
    <w:name w:val="annotation subject"/>
    <w:basedOn w:val="ad"/>
    <w:next w:val="ad"/>
    <w:link w:val="Char1"/>
    <w:semiHidden/>
    <w:unhideWhenUsed/>
    <w:rsid w:val="00F87117"/>
    <w:rPr>
      <w:b/>
      <w:bCs/>
    </w:rPr>
  </w:style>
  <w:style w:type="character" w:customStyle="1" w:styleId="Char1">
    <w:name w:val="메모 주제 Char"/>
    <w:basedOn w:val="Char0"/>
    <w:link w:val="ae"/>
    <w:semiHidden/>
    <w:rsid w:val="00F87117"/>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03306">
      <w:bodyDiv w:val="1"/>
      <w:marLeft w:val="0"/>
      <w:marRight w:val="0"/>
      <w:marTop w:val="0"/>
      <w:marBottom w:val="0"/>
      <w:divBdr>
        <w:top w:val="none" w:sz="0" w:space="0" w:color="auto"/>
        <w:left w:val="none" w:sz="0" w:space="0" w:color="auto"/>
        <w:bottom w:val="none" w:sz="0" w:space="0" w:color="auto"/>
        <w:right w:val="none" w:sz="0" w:space="0" w:color="auto"/>
      </w:divBdr>
    </w:div>
    <w:div w:id="534001589">
      <w:bodyDiv w:val="1"/>
      <w:marLeft w:val="0"/>
      <w:marRight w:val="0"/>
      <w:marTop w:val="0"/>
      <w:marBottom w:val="0"/>
      <w:divBdr>
        <w:top w:val="none" w:sz="0" w:space="0" w:color="auto"/>
        <w:left w:val="none" w:sz="0" w:space="0" w:color="auto"/>
        <w:bottom w:val="none" w:sz="0" w:space="0" w:color="auto"/>
        <w:right w:val="none" w:sz="0" w:space="0" w:color="auto"/>
      </w:divBdr>
    </w:div>
    <w:div w:id="882867468">
      <w:bodyDiv w:val="1"/>
      <w:marLeft w:val="0"/>
      <w:marRight w:val="0"/>
      <w:marTop w:val="0"/>
      <w:marBottom w:val="0"/>
      <w:divBdr>
        <w:top w:val="none" w:sz="0" w:space="0" w:color="auto"/>
        <w:left w:val="none" w:sz="0" w:space="0" w:color="auto"/>
        <w:bottom w:val="none" w:sz="0" w:space="0" w:color="auto"/>
        <w:right w:val="none" w:sz="0" w:space="0" w:color="auto"/>
      </w:divBdr>
    </w:div>
    <w:div w:id="1105341645">
      <w:bodyDiv w:val="1"/>
      <w:marLeft w:val="0"/>
      <w:marRight w:val="0"/>
      <w:marTop w:val="0"/>
      <w:marBottom w:val="0"/>
      <w:divBdr>
        <w:top w:val="none" w:sz="0" w:space="0" w:color="auto"/>
        <w:left w:val="none" w:sz="0" w:space="0" w:color="auto"/>
        <w:bottom w:val="none" w:sz="0" w:space="0" w:color="auto"/>
        <w:right w:val="none" w:sz="0" w:space="0" w:color="auto"/>
      </w:divBdr>
    </w:div>
    <w:div w:id="1580678956">
      <w:bodyDiv w:val="1"/>
      <w:marLeft w:val="0"/>
      <w:marRight w:val="0"/>
      <w:marTop w:val="0"/>
      <w:marBottom w:val="0"/>
      <w:divBdr>
        <w:top w:val="none" w:sz="0" w:space="0" w:color="auto"/>
        <w:left w:val="none" w:sz="0" w:space="0" w:color="auto"/>
        <w:bottom w:val="none" w:sz="0" w:space="0" w:color="auto"/>
        <w:right w:val="none" w:sz="0" w:space="0" w:color="auto"/>
      </w:divBdr>
    </w:div>
    <w:div w:id="16196764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unmi.yoo@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1174</Words>
  <Characters>6696</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7855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유선미/선임연구원/차세대표준(연)ABM팀(sunmi.yoo@lge.com)</cp:lastModifiedBy>
  <cp:revision>2</cp:revision>
  <cp:lastPrinted>1901-01-01T08:00:00Z</cp:lastPrinted>
  <dcterms:created xsi:type="dcterms:W3CDTF">2022-01-05T21:38:00Z</dcterms:created>
  <dcterms:modified xsi:type="dcterms:W3CDTF">2022-01-05T21:38:00Z</dcterms:modified>
</cp:coreProperties>
</file>