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141446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4C2966">
              <w:rPr>
                <w:lang w:val="en-CA"/>
              </w:rPr>
              <w:t>0129</w:t>
            </w:r>
            <w:r w:rsidR="006A0E5C" w:rsidRPr="006A0E5C">
              <w:rPr>
                <w:lang w:val="en-CA"/>
              </w:rPr>
              <w:t>-v</w:t>
            </w:r>
            <w:r w:rsidR="00A16A82">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57FA30B" w:rsidR="00E61DAC" w:rsidRPr="005B217D" w:rsidRDefault="00572042" w:rsidP="009D7CE6">
            <w:pPr>
              <w:spacing w:before="60" w:after="60"/>
              <w:rPr>
                <w:b/>
                <w:szCs w:val="22"/>
                <w:lang w:val="en-CA"/>
              </w:rPr>
            </w:pPr>
            <w:r>
              <w:rPr>
                <w:b/>
                <w:szCs w:val="22"/>
                <w:lang w:val="en-CA"/>
              </w:rPr>
              <w:t xml:space="preserve">Non-EE2: </w:t>
            </w:r>
            <w:r w:rsidR="00FE026C">
              <w:rPr>
                <w:b/>
                <w:szCs w:val="22"/>
                <w:lang w:val="en-CA"/>
              </w:rPr>
              <w:t>MVD and</w:t>
            </w:r>
            <w:r w:rsidR="005D56D3">
              <w:rPr>
                <w:b/>
                <w:szCs w:val="22"/>
                <w:lang w:val="en-CA"/>
              </w:rPr>
              <w:t xml:space="preserve"> merge index signaling of AMVP-merge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34735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7AF53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28AD260" w14:textId="77777777" w:rsidR="00D3070F" w:rsidRPr="00432F60" w:rsidRDefault="00D3070F" w:rsidP="00D3070F">
            <w:pPr>
              <w:spacing w:before="60" w:after="60"/>
              <w:rPr>
                <w:szCs w:val="22"/>
                <w:lang w:val="de-DE"/>
              </w:rPr>
            </w:pPr>
            <w:r w:rsidRPr="00432F60">
              <w:rPr>
                <w:szCs w:val="22"/>
                <w:lang w:val="de-DE"/>
              </w:rPr>
              <w:t>Zhi Zhang</w:t>
            </w:r>
          </w:p>
          <w:p w14:paraId="42B5757B" w14:textId="77777777" w:rsidR="00D3070F" w:rsidRPr="00432F60" w:rsidRDefault="00D3070F" w:rsidP="00D3070F">
            <w:pPr>
              <w:spacing w:before="60" w:after="60"/>
              <w:rPr>
                <w:lang w:val="de-DE"/>
              </w:rPr>
            </w:pPr>
            <w:r w:rsidRPr="00432F60">
              <w:rPr>
                <w:lang w:val="de-DE"/>
              </w:rPr>
              <w:t>Han Huang</w:t>
            </w:r>
          </w:p>
          <w:p w14:paraId="4668C9E6" w14:textId="77777777" w:rsidR="00D3070F" w:rsidRPr="00432F60" w:rsidRDefault="00D3070F" w:rsidP="00D3070F">
            <w:pPr>
              <w:spacing w:before="60" w:after="60"/>
              <w:rPr>
                <w:szCs w:val="22"/>
                <w:lang w:val="de-DE"/>
              </w:rPr>
            </w:pPr>
            <w:r w:rsidRPr="00432F60">
              <w:rPr>
                <w:lang w:val="de-DE"/>
              </w:rPr>
              <w:t>Chun-Chi Chen</w:t>
            </w:r>
          </w:p>
          <w:p w14:paraId="3D164AB5" w14:textId="77777777" w:rsidR="00D3070F" w:rsidRPr="00432F60" w:rsidRDefault="00D3070F" w:rsidP="00D3070F">
            <w:pPr>
              <w:spacing w:before="60" w:after="60"/>
              <w:rPr>
                <w:lang w:val="de-DE" w:eastAsia="ko-KR"/>
              </w:rPr>
            </w:pPr>
            <w:r w:rsidRPr="00432F60">
              <w:rPr>
                <w:lang w:val="de-DE" w:eastAsia="ko-KR"/>
              </w:rPr>
              <w:t>Vadim Seregin</w:t>
            </w:r>
          </w:p>
          <w:p w14:paraId="49D81240" w14:textId="11D1571B" w:rsidR="00E61DAC" w:rsidRPr="00D3070F" w:rsidRDefault="00D3070F">
            <w:pPr>
              <w:spacing w:before="60" w:after="60"/>
              <w:rPr>
                <w:lang w:val="en-CA"/>
              </w:rPr>
            </w:pPr>
            <w:r w:rsidRPr="00162763">
              <w:rPr>
                <w:lang w:val="en-CA"/>
              </w:rPr>
              <w:t>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33A2A9F" w14:textId="6C5C34CA" w:rsidR="00356ABD" w:rsidRDefault="00DF5C5E" w:rsidP="00356ABD">
            <w:pPr>
              <w:spacing w:before="60" w:after="60"/>
              <w:rPr>
                <w:rStyle w:val="Hyperlink"/>
                <w:lang w:val="en-CA"/>
              </w:rPr>
            </w:pPr>
            <w:hyperlink r:id="rId9" w:history="1">
              <w:r w:rsidR="00356ABD" w:rsidRPr="00162763">
                <w:rPr>
                  <w:rStyle w:val="Hyperlink"/>
                  <w:lang w:val="en-CA"/>
                </w:rPr>
                <w:t>zhizhang@qti.qualcomm.com</w:t>
              </w:r>
            </w:hyperlink>
          </w:p>
          <w:p w14:paraId="1981FD2A" w14:textId="77777777" w:rsidR="00356ABD" w:rsidRPr="00162763" w:rsidRDefault="00DF5C5E" w:rsidP="00356ABD">
            <w:pPr>
              <w:spacing w:before="60" w:after="60"/>
              <w:rPr>
                <w:rStyle w:val="Hyperlink"/>
                <w:lang w:val="en-CA"/>
              </w:rPr>
            </w:pPr>
            <w:hyperlink r:id="rId10" w:history="1">
              <w:r w:rsidR="00356ABD" w:rsidRPr="00162763">
                <w:rPr>
                  <w:rStyle w:val="Hyperlink"/>
                  <w:lang w:val="en-CA"/>
                </w:rPr>
                <w:t>hanhuang@qti.qualcomm.com</w:t>
              </w:r>
            </w:hyperlink>
          </w:p>
          <w:p w14:paraId="2ADA0136" w14:textId="77777777" w:rsidR="00356ABD" w:rsidRPr="00162763" w:rsidRDefault="00DF5C5E" w:rsidP="00356ABD">
            <w:pPr>
              <w:spacing w:before="60" w:after="60"/>
              <w:rPr>
                <w:rStyle w:val="Hyperlink"/>
                <w:lang w:val="en-CA"/>
              </w:rPr>
            </w:pPr>
            <w:hyperlink r:id="rId11" w:history="1">
              <w:r w:rsidR="00356ABD" w:rsidRPr="00162763">
                <w:rPr>
                  <w:rStyle w:val="Hyperlink"/>
                  <w:lang w:val="en-CA"/>
                </w:rPr>
                <w:t>chunchic@qti.qualcomm.com</w:t>
              </w:r>
            </w:hyperlink>
          </w:p>
          <w:p w14:paraId="086D3D00" w14:textId="77777777" w:rsidR="00356ABD" w:rsidRPr="00162763" w:rsidRDefault="00DF5C5E" w:rsidP="00356ABD">
            <w:pPr>
              <w:spacing w:before="60" w:after="60"/>
              <w:rPr>
                <w:rStyle w:val="Hyperlink"/>
                <w:lang w:val="en-CA"/>
              </w:rPr>
            </w:pPr>
            <w:hyperlink r:id="rId12" w:history="1">
              <w:r w:rsidR="00356ABD" w:rsidRPr="00162763">
                <w:rPr>
                  <w:rStyle w:val="Hyperlink"/>
                  <w:lang w:val="en-CA"/>
                </w:rPr>
                <w:t>vseregin@qti.qualcomm.com</w:t>
              </w:r>
            </w:hyperlink>
          </w:p>
          <w:p w14:paraId="32C2ABFD" w14:textId="4724DDC2" w:rsidR="00E61DAC" w:rsidRPr="005B217D" w:rsidRDefault="00DF5C5E" w:rsidP="00356ABD">
            <w:pPr>
              <w:spacing w:before="60" w:after="60"/>
              <w:rPr>
                <w:szCs w:val="22"/>
                <w:lang w:val="en-CA"/>
              </w:rPr>
            </w:pPr>
            <w:hyperlink r:id="rId13" w:history="1">
              <w:r w:rsidR="00356ABD" w:rsidRPr="00162763">
                <w:rPr>
                  <w:rStyle w:val="Hyperlink"/>
                  <w:lang w:val="en-CA"/>
                </w:rPr>
                <w:t>martak@qti.qualcomm.com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6A3513" w:rsidR="00E61DAC" w:rsidRPr="005B217D" w:rsidRDefault="00346059">
            <w:pPr>
              <w:spacing w:before="60" w:after="60"/>
              <w:rPr>
                <w:szCs w:val="22"/>
                <w:lang w:val="en-CA"/>
              </w:rPr>
            </w:pPr>
            <w:r w:rsidRPr="00162763">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9A6E86A" w:rsidR="00263398" w:rsidRPr="005B217D" w:rsidRDefault="00C71F68" w:rsidP="00F573CE">
      <w:pPr>
        <w:rPr>
          <w:szCs w:val="22"/>
          <w:lang w:val="en-CA"/>
        </w:rPr>
      </w:pPr>
      <w:r>
        <w:rPr>
          <w:szCs w:val="22"/>
          <w:lang w:val="en-CA"/>
        </w:rPr>
        <w:t xml:space="preserve">This contribution proposes to not signal MVD when AMVP-merge mode is used for the current block and template matching is enabled. It also proposes to add one pair of AMVP-merge MVPs. </w:t>
      </w:r>
      <w:r w:rsidRPr="00162763">
        <w:rPr>
          <w:lang w:val="en-CA"/>
        </w:rPr>
        <w:t>The proposed method was implemented on top of ECM-</w:t>
      </w:r>
      <w:r w:rsidR="00792ECE">
        <w:rPr>
          <w:lang w:val="en-CA"/>
        </w:rPr>
        <w:t>3</w:t>
      </w:r>
      <w:r w:rsidRPr="00162763">
        <w:rPr>
          <w:lang w:val="en-CA"/>
        </w:rPr>
        <w:t>.</w:t>
      </w:r>
      <w:r w:rsidR="00792ECE">
        <w:rPr>
          <w:lang w:val="en-CA"/>
        </w:rPr>
        <w:t>1</w:t>
      </w:r>
      <w:r w:rsidRPr="00162763">
        <w:rPr>
          <w:lang w:val="en-CA"/>
        </w:rPr>
        <w:t xml:space="preserve">, and it reports the </w:t>
      </w:r>
      <w:r w:rsidR="004105C7">
        <w:rPr>
          <w:lang w:val="en-CA"/>
        </w:rPr>
        <w:t>BD-rate</w:t>
      </w:r>
      <w:r w:rsidRPr="00162763">
        <w:rPr>
          <w:lang w:val="en-CA"/>
        </w:rPr>
        <w:t xml:space="preserve"> </w:t>
      </w:r>
      <w:r w:rsidR="00116C1A" w:rsidRPr="00432F60">
        <w:t>-0.</w:t>
      </w:r>
      <w:r w:rsidR="009C0662">
        <w:t>0</w:t>
      </w:r>
      <w:r w:rsidR="00116C1A" w:rsidRPr="00432F60">
        <w:t>8% (Y), -0.1</w:t>
      </w:r>
      <w:r w:rsidR="00D3746D">
        <w:t>4</w:t>
      </w:r>
      <w:r w:rsidR="00116C1A" w:rsidRPr="00432F60">
        <w:t xml:space="preserve"> (U), -0.</w:t>
      </w:r>
      <w:r w:rsidR="00D3746D">
        <w:t>12</w:t>
      </w:r>
      <w:r w:rsidR="00116C1A" w:rsidRPr="00432F60">
        <w:t>% (V)</w:t>
      </w:r>
      <w:r w:rsidR="00C00708">
        <w:t xml:space="preserve"> </w:t>
      </w:r>
      <w:r w:rsidRPr="00162763">
        <w:rPr>
          <w:lang w:val="en-CA"/>
        </w:rPr>
        <w:t>for random access configuration</w:t>
      </w:r>
      <w:r w:rsidR="0060403A">
        <w:rPr>
          <w:lang w:val="en-CA"/>
        </w:rPr>
        <w:t xml:space="preserve"> with 100% encoding and 100% decoding</w:t>
      </w:r>
      <w:r w:rsidR="00B162D7">
        <w:rPr>
          <w:lang w:val="en-CA"/>
        </w:rPr>
        <w:t xml:space="preserve"> run</w:t>
      </w:r>
      <w:r w:rsidR="0060403A">
        <w:rPr>
          <w:lang w:val="en-CA"/>
        </w:rPr>
        <w:t xml:space="preserve"> time</w:t>
      </w:r>
      <w:r w:rsidR="001E461C">
        <w:rPr>
          <w:lang w:val="en-CA"/>
        </w:rPr>
        <w:t xml:space="preserve"> compared to ECM3.1</w:t>
      </w:r>
      <w:r w:rsidR="00116C1A">
        <w:rPr>
          <w:lang w:val="en-CA"/>
        </w:rPr>
        <w:t>.</w:t>
      </w:r>
    </w:p>
    <w:p w14:paraId="7D2AC1F0" w14:textId="1C770F89" w:rsidR="00745F6B" w:rsidRPr="005B217D" w:rsidRDefault="00745F6B" w:rsidP="00E11923">
      <w:pPr>
        <w:pStyle w:val="Heading1"/>
        <w:rPr>
          <w:lang w:val="en-CA"/>
        </w:rPr>
      </w:pPr>
      <w:r w:rsidRPr="005B217D">
        <w:rPr>
          <w:lang w:val="en-CA"/>
        </w:rPr>
        <w:t>Introduction</w:t>
      </w:r>
    </w:p>
    <w:p w14:paraId="5E5106F6" w14:textId="6D891920" w:rsidR="004F1AE4" w:rsidRDefault="009868B3" w:rsidP="001125BC">
      <w:pPr>
        <w:rPr>
          <w:szCs w:val="22"/>
          <w:lang w:val="en-CA"/>
        </w:rPr>
      </w:pPr>
      <w:r>
        <w:rPr>
          <w:szCs w:val="22"/>
          <w:lang w:val="en-CA"/>
        </w:rPr>
        <w:t>In ECM3.1 the AMVP part of bilateral matching (BM) AMVP-merge mode</w:t>
      </w:r>
      <w:r w:rsidR="00862869">
        <w:rPr>
          <w:szCs w:val="22"/>
          <w:lang w:val="en-CA"/>
        </w:rPr>
        <w:t xml:space="preserve"> [1]</w:t>
      </w:r>
      <w:r>
        <w:rPr>
          <w:szCs w:val="22"/>
          <w:lang w:val="en-CA"/>
        </w:rPr>
        <w:t xml:space="preserve"> is signaled as a regular </w:t>
      </w:r>
      <w:proofErr w:type="spellStart"/>
      <w:r>
        <w:rPr>
          <w:szCs w:val="22"/>
          <w:lang w:val="en-CA"/>
        </w:rPr>
        <w:t>uni</w:t>
      </w:r>
      <w:proofErr w:type="spellEnd"/>
      <w:r>
        <w:rPr>
          <w:szCs w:val="22"/>
          <w:lang w:val="en-CA"/>
        </w:rPr>
        <w:t xml:space="preserve">-directional AMVP, i.e., </w:t>
      </w:r>
      <w:r w:rsidR="001125BC">
        <w:rPr>
          <w:szCs w:val="22"/>
          <w:lang w:val="en-CA"/>
        </w:rPr>
        <w:t>reference index, MVP index and MVD are signaled. When template matching is enabled, the AMVP MVP is first refined by template matching, and then refined by bilateral matching. The final MV of the AMVP part is derived by applying TM</w:t>
      </w:r>
      <w:r w:rsidR="002F1348">
        <w:rPr>
          <w:szCs w:val="22"/>
          <w:lang w:val="en-CA"/>
        </w:rPr>
        <w:t xml:space="preserve"> refined</w:t>
      </w:r>
      <w:r w:rsidR="001125BC">
        <w:rPr>
          <w:szCs w:val="22"/>
          <w:lang w:val="en-CA"/>
        </w:rPr>
        <w:t xml:space="preserve"> MVD, BM </w:t>
      </w:r>
      <w:r w:rsidR="002F1348">
        <w:rPr>
          <w:szCs w:val="22"/>
          <w:lang w:val="en-CA"/>
        </w:rPr>
        <w:t xml:space="preserve">refined </w:t>
      </w:r>
      <w:r w:rsidR="001125BC">
        <w:rPr>
          <w:szCs w:val="22"/>
          <w:lang w:val="en-CA"/>
        </w:rPr>
        <w:t>MVD and signal MVD to the AMVP MVP.</w:t>
      </w:r>
    </w:p>
    <w:p w14:paraId="509853C1" w14:textId="2BC2D5A7" w:rsidR="00754649" w:rsidRPr="005B217D" w:rsidRDefault="00FE026C" w:rsidP="001125BC">
      <w:pPr>
        <w:rPr>
          <w:szCs w:val="22"/>
          <w:lang w:val="en-CA"/>
        </w:rPr>
      </w:pPr>
      <w:r>
        <w:rPr>
          <w:szCs w:val="22"/>
          <w:lang w:val="en-CA"/>
        </w:rPr>
        <w:t>The merge index is not signaled, and t</w:t>
      </w:r>
      <w:r w:rsidR="00754649">
        <w:rPr>
          <w:szCs w:val="22"/>
          <w:lang w:val="en-CA"/>
        </w:rPr>
        <w:t xml:space="preserve">he merge part of BM AMVP-merge mode selects one merge candidate </w:t>
      </w:r>
      <w:r w:rsidR="00754649" w:rsidRPr="00162763">
        <w:rPr>
          <w:lang w:val="en-CA"/>
        </w:rPr>
        <w:t>from the candidate list with smallest template or bilateral matching cost</w:t>
      </w:r>
      <w:r w:rsidR="00754649">
        <w:rPr>
          <w:szCs w:val="22"/>
          <w:lang w:val="en-CA"/>
        </w:rPr>
        <w:t>.</w:t>
      </w:r>
    </w:p>
    <w:p w14:paraId="375CA84A" w14:textId="11038FA3" w:rsidR="004F1AE4" w:rsidRDefault="004F1AE4" w:rsidP="00E11923">
      <w:pPr>
        <w:pStyle w:val="Heading1"/>
        <w:rPr>
          <w:lang w:val="en-CA"/>
        </w:rPr>
      </w:pPr>
      <w:r>
        <w:rPr>
          <w:lang w:val="en-CA"/>
        </w:rPr>
        <w:t>Propos</w:t>
      </w:r>
      <w:r w:rsidR="00131C21">
        <w:rPr>
          <w:lang w:val="en-CA"/>
        </w:rPr>
        <w:t>ed method</w:t>
      </w:r>
    </w:p>
    <w:p w14:paraId="18B0838B" w14:textId="77777777" w:rsidR="0054050D" w:rsidRDefault="0054050D" w:rsidP="004F1AE4">
      <w:pPr>
        <w:rPr>
          <w:lang w:val="en-CA"/>
        </w:rPr>
      </w:pPr>
      <w:r>
        <w:rPr>
          <w:lang w:val="en-CA"/>
        </w:rPr>
        <w:t>We propose to not signal the MVD when BM AMVP-merge mode is used for the current block and template matching is enabled.</w:t>
      </w:r>
    </w:p>
    <w:p w14:paraId="31AEFFD9" w14:textId="0D21FBEF" w:rsidR="004F1AE4" w:rsidRDefault="00754649" w:rsidP="004F1AE4">
      <w:pPr>
        <w:rPr>
          <w:lang w:val="en-CA"/>
        </w:rPr>
      </w:pPr>
      <w:r>
        <w:rPr>
          <w:lang w:val="en-CA"/>
        </w:rPr>
        <w:t>We also propose to</w:t>
      </w:r>
      <w:r w:rsidR="00E043F3">
        <w:rPr>
          <w:lang w:val="en-CA"/>
        </w:rPr>
        <w:t xml:space="preserve"> </w:t>
      </w:r>
      <w:r w:rsidR="0098609B">
        <w:rPr>
          <w:lang w:val="en-CA"/>
        </w:rPr>
        <w:t>add one pair of AMVP</w:t>
      </w:r>
      <w:r w:rsidR="0019497C">
        <w:rPr>
          <w:lang w:val="en-CA"/>
        </w:rPr>
        <w:t>-</w:t>
      </w:r>
      <w:r w:rsidR="0098609B">
        <w:rPr>
          <w:lang w:val="en-CA"/>
        </w:rPr>
        <w:t>merge MVP</w:t>
      </w:r>
      <w:r w:rsidR="00C71F68">
        <w:rPr>
          <w:lang w:val="en-CA"/>
        </w:rPr>
        <w:t>s</w:t>
      </w:r>
      <w:r w:rsidR="00E043F3">
        <w:rPr>
          <w:lang w:val="en-CA"/>
        </w:rPr>
        <w:t xml:space="preserve">. </w:t>
      </w:r>
      <w:r w:rsidR="002F1348">
        <w:rPr>
          <w:lang w:val="en-CA"/>
        </w:rPr>
        <w:t>The merge candidate</w:t>
      </w:r>
      <w:r w:rsidR="006E6BCE">
        <w:rPr>
          <w:lang w:val="en-CA"/>
        </w:rPr>
        <w:t xml:space="preserve"> list</w:t>
      </w:r>
      <w:r w:rsidR="002F1348">
        <w:rPr>
          <w:lang w:val="en-CA"/>
        </w:rPr>
        <w:t xml:space="preserve"> is sorted based on the BM cost in increase order. </w:t>
      </w:r>
      <w:r w:rsidR="0098609B">
        <w:rPr>
          <w:lang w:val="en-CA"/>
        </w:rPr>
        <w:t>An index (0 or 1) is signaled to indicate which merge candidate in the sorted merge candidate list to use</w:t>
      </w:r>
      <w:r w:rsidR="001E5BA9">
        <w:rPr>
          <w:lang w:val="en-CA"/>
        </w:rPr>
        <w:t>.</w:t>
      </w:r>
      <w:r w:rsidR="0098609B">
        <w:rPr>
          <w:lang w:val="en-CA"/>
        </w:rPr>
        <w:t xml:space="preserve"> </w:t>
      </w:r>
      <w:r w:rsidR="002F1348">
        <w:rPr>
          <w:lang w:val="en-CA"/>
        </w:rPr>
        <w:t xml:space="preserve">When there is only one candidate in merge candidate list, the </w:t>
      </w:r>
      <w:r w:rsidR="000D0CB1">
        <w:rPr>
          <w:lang w:val="en-CA"/>
        </w:rPr>
        <w:t>pair of AMVP MVP and merge MVP without bilateral matching MV refinement is padded.</w:t>
      </w:r>
    </w:p>
    <w:p w14:paraId="6BCAABCE" w14:textId="592DEF93" w:rsidR="0065712D" w:rsidRDefault="0065712D" w:rsidP="004F1AE4">
      <w:pPr>
        <w:rPr>
          <w:lang w:val="en-CA"/>
        </w:rPr>
      </w:pPr>
    </w:p>
    <w:p w14:paraId="524CD06A" w14:textId="67E44F91" w:rsidR="0065712D" w:rsidRDefault="0065712D" w:rsidP="004F1AE4">
      <w:pPr>
        <w:rPr>
          <w:lang w:val="en-CA"/>
        </w:rPr>
      </w:pPr>
    </w:p>
    <w:p w14:paraId="3CCD5E72" w14:textId="77777777" w:rsidR="0065712D" w:rsidRPr="004F1AE4" w:rsidRDefault="0065712D" w:rsidP="004F1AE4">
      <w:pPr>
        <w:rPr>
          <w:lang w:val="en-CA"/>
        </w:rPr>
      </w:pPr>
    </w:p>
    <w:p w14:paraId="29DC4E4E" w14:textId="2371D428" w:rsidR="007D61A6" w:rsidRDefault="007D61A6" w:rsidP="00E11923">
      <w:pPr>
        <w:pStyle w:val="Heading1"/>
        <w:rPr>
          <w:lang w:val="en-CA"/>
        </w:rPr>
      </w:pPr>
      <w:r>
        <w:rPr>
          <w:lang w:val="en-CA"/>
        </w:rPr>
        <w:lastRenderedPageBreak/>
        <w:t>Simulation results</w:t>
      </w:r>
    </w:p>
    <w:p w14:paraId="19BCB17A" w14:textId="76F15648" w:rsidR="000E2B46" w:rsidRDefault="00952084" w:rsidP="00952084">
      <w:pPr>
        <w:rPr>
          <w:lang w:val="en-CA"/>
        </w:rPr>
      </w:pPr>
      <w:r w:rsidRPr="00162763">
        <w:rPr>
          <w:lang w:val="en-CA"/>
        </w:rPr>
        <w:t>The proposed method was implemented on top of ECM-</w:t>
      </w:r>
      <w:r w:rsidR="004B1A1F">
        <w:rPr>
          <w:lang w:val="en-CA"/>
        </w:rPr>
        <w:t>3</w:t>
      </w:r>
      <w:r w:rsidRPr="00162763">
        <w:rPr>
          <w:lang w:val="en-CA"/>
        </w:rPr>
        <w:t>.</w:t>
      </w:r>
      <w:r w:rsidR="004B1A1F">
        <w:rPr>
          <w:lang w:val="en-CA"/>
        </w:rPr>
        <w:t>1</w:t>
      </w:r>
      <w:r w:rsidRPr="00162763">
        <w:rPr>
          <w:lang w:val="en-CA"/>
        </w:rPr>
        <w:t>. The performance was evaluated using the common test conditions as defined in [</w:t>
      </w:r>
      <w:r w:rsidR="00BD0A67">
        <w:rPr>
          <w:lang w:val="en-CA"/>
        </w:rPr>
        <w:t>3</w:t>
      </w:r>
      <w:r w:rsidRPr="00162763">
        <w:rPr>
          <w:lang w:val="en-CA"/>
        </w:rPr>
        <w:t>].</w:t>
      </w:r>
      <w:r w:rsidR="001E565D">
        <w:rPr>
          <w:lang w:val="en-CA"/>
        </w:rPr>
        <w:t xml:space="preserve"> We report the test results by using ECM3.1 as anchor</w:t>
      </w:r>
      <w:r w:rsidR="006D4E97">
        <w:rPr>
          <w:lang w:val="en-C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787"/>
        <w:gridCol w:w="787"/>
        <w:gridCol w:w="787"/>
        <w:gridCol w:w="677"/>
        <w:gridCol w:w="677"/>
      </w:tblGrid>
      <w:tr w:rsidR="005F032E" w:rsidRPr="005F032E" w14:paraId="4008B5C3" w14:textId="77777777" w:rsidTr="004974EA">
        <w:trPr>
          <w:trHeight w:val="255"/>
          <w:jc w:val="center"/>
        </w:trPr>
        <w:tc>
          <w:tcPr>
            <w:tcW w:w="0" w:type="auto"/>
            <w:shd w:val="clear" w:color="auto" w:fill="auto"/>
            <w:noWrap/>
            <w:vAlign w:val="center"/>
            <w:hideMark/>
          </w:tcPr>
          <w:p w14:paraId="1B3BEEE9" w14:textId="77777777" w:rsidR="005F032E" w:rsidRPr="005F032E" w:rsidRDefault="005F032E"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0" w:type="auto"/>
            <w:gridSpan w:val="5"/>
            <w:shd w:val="clear" w:color="auto" w:fill="auto"/>
            <w:noWrap/>
            <w:vAlign w:val="center"/>
            <w:hideMark/>
          </w:tcPr>
          <w:p w14:paraId="6549171E" w14:textId="77777777" w:rsidR="005F032E" w:rsidRPr="005F032E" w:rsidRDefault="005F032E"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F032E">
              <w:rPr>
                <w:rFonts w:ascii="Arial" w:hAnsi="Arial" w:cs="Arial"/>
                <w:b/>
                <w:bCs/>
                <w:color w:val="000000"/>
                <w:sz w:val="18"/>
                <w:szCs w:val="18"/>
                <w:lang w:eastAsia="zh-CN"/>
              </w:rPr>
              <w:t>Random Access Main 10</w:t>
            </w:r>
          </w:p>
        </w:tc>
      </w:tr>
      <w:tr w:rsidR="00D34A72" w:rsidRPr="005F032E" w14:paraId="28D6CE0A" w14:textId="77777777" w:rsidTr="004974EA">
        <w:trPr>
          <w:trHeight w:val="255"/>
          <w:jc w:val="center"/>
        </w:trPr>
        <w:tc>
          <w:tcPr>
            <w:tcW w:w="0" w:type="auto"/>
            <w:shd w:val="clear" w:color="auto" w:fill="auto"/>
            <w:noWrap/>
            <w:vAlign w:val="center"/>
            <w:hideMark/>
          </w:tcPr>
          <w:p w14:paraId="2931C7D8"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gridSpan w:val="5"/>
            <w:shd w:val="clear" w:color="auto" w:fill="auto"/>
            <w:noWrap/>
            <w:vAlign w:val="center"/>
            <w:hideMark/>
          </w:tcPr>
          <w:p w14:paraId="75CC6050"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F032E">
              <w:rPr>
                <w:rFonts w:ascii="Arial" w:hAnsi="Arial" w:cs="Arial"/>
                <w:b/>
                <w:bCs/>
                <w:color w:val="000000"/>
                <w:sz w:val="18"/>
                <w:szCs w:val="18"/>
                <w:lang w:eastAsia="zh-CN"/>
              </w:rPr>
              <w:t>Over ECM3.1</w:t>
            </w:r>
          </w:p>
        </w:tc>
      </w:tr>
      <w:tr w:rsidR="00D34A72" w:rsidRPr="005F032E" w14:paraId="097C3B65" w14:textId="77777777" w:rsidTr="004974EA">
        <w:trPr>
          <w:trHeight w:val="255"/>
          <w:jc w:val="center"/>
        </w:trPr>
        <w:tc>
          <w:tcPr>
            <w:tcW w:w="0" w:type="auto"/>
            <w:shd w:val="clear" w:color="auto" w:fill="auto"/>
            <w:noWrap/>
            <w:vAlign w:val="center"/>
            <w:hideMark/>
          </w:tcPr>
          <w:p w14:paraId="53AB1552"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0" w:type="auto"/>
            <w:shd w:val="clear" w:color="auto" w:fill="auto"/>
            <w:noWrap/>
            <w:vAlign w:val="center"/>
            <w:hideMark/>
          </w:tcPr>
          <w:p w14:paraId="655DD3C3"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Y</w:t>
            </w:r>
          </w:p>
        </w:tc>
        <w:tc>
          <w:tcPr>
            <w:tcW w:w="0" w:type="auto"/>
            <w:shd w:val="clear" w:color="auto" w:fill="auto"/>
            <w:noWrap/>
            <w:vAlign w:val="center"/>
            <w:hideMark/>
          </w:tcPr>
          <w:p w14:paraId="5B91CC0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U</w:t>
            </w:r>
          </w:p>
        </w:tc>
        <w:tc>
          <w:tcPr>
            <w:tcW w:w="0" w:type="auto"/>
            <w:shd w:val="clear" w:color="auto" w:fill="auto"/>
            <w:noWrap/>
            <w:vAlign w:val="center"/>
            <w:hideMark/>
          </w:tcPr>
          <w:p w14:paraId="034D5A34"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V</w:t>
            </w:r>
          </w:p>
        </w:tc>
        <w:tc>
          <w:tcPr>
            <w:tcW w:w="0" w:type="auto"/>
            <w:shd w:val="clear" w:color="auto" w:fill="auto"/>
            <w:noWrap/>
            <w:vAlign w:val="center"/>
            <w:hideMark/>
          </w:tcPr>
          <w:p w14:paraId="498A23B4"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F032E">
              <w:rPr>
                <w:rFonts w:ascii="Arial" w:hAnsi="Arial" w:cs="Arial"/>
                <w:color w:val="000000"/>
                <w:sz w:val="18"/>
                <w:szCs w:val="18"/>
                <w:lang w:eastAsia="zh-CN"/>
              </w:rPr>
              <w:t>EncT</w:t>
            </w:r>
            <w:proofErr w:type="spellEnd"/>
          </w:p>
        </w:tc>
        <w:tc>
          <w:tcPr>
            <w:tcW w:w="0" w:type="auto"/>
            <w:shd w:val="clear" w:color="auto" w:fill="auto"/>
            <w:noWrap/>
            <w:vAlign w:val="center"/>
            <w:hideMark/>
          </w:tcPr>
          <w:p w14:paraId="53888DAE"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5F032E">
              <w:rPr>
                <w:rFonts w:ascii="Arial" w:hAnsi="Arial" w:cs="Arial"/>
                <w:color w:val="000000"/>
                <w:sz w:val="18"/>
                <w:szCs w:val="18"/>
                <w:lang w:eastAsia="zh-CN"/>
              </w:rPr>
              <w:t>DecT</w:t>
            </w:r>
            <w:proofErr w:type="spellEnd"/>
          </w:p>
        </w:tc>
      </w:tr>
      <w:tr w:rsidR="00D34A72" w:rsidRPr="005F032E" w14:paraId="29EC041C" w14:textId="77777777" w:rsidTr="004974EA">
        <w:trPr>
          <w:trHeight w:val="255"/>
          <w:jc w:val="center"/>
        </w:trPr>
        <w:tc>
          <w:tcPr>
            <w:tcW w:w="0" w:type="auto"/>
            <w:shd w:val="clear" w:color="auto" w:fill="auto"/>
            <w:noWrap/>
            <w:vAlign w:val="center"/>
            <w:hideMark/>
          </w:tcPr>
          <w:p w14:paraId="7DFF3B20"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A1</w:t>
            </w:r>
          </w:p>
        </w:tc>
        <w:tc>
          <w:tcPr>
            <w:tcW w:w="0" w:type="auto"/>
            <w:shd w:val="clear" w:color="auto" w:fill="auto"/>
            <w:noWrap/>
            <w:vAlign w:val="center"/>
            <w:hideMark/>
          </w:tcPr>
          <w:p w14:paraId="438C259F"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-0.10%</w:t>
            </w:r>
          </w:p>
        </w:tc>
        <w:tc>
          <w:tcPr>
            <w:tcW w:w="0" w:type="auto"/>
            <w:shd w:val="clear" w:color="auto" w:fill="auto"/>
            <w:noWrap/>
            <w:vAlign w:val="center"/>
            <w:hideMark/>
          </w:tcPr>
          <w:p w14:paraId="728C2D4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-0.23%</w:t>
            </w:r>
          </w:p>
        </w:tc>
        <w:tc>
          <w:tcPr>
            <w:tcW w:w="0" w:type="auto"/>
            <w:shd w:val="clear" w:color="auto" w:fill="auto"/>
            <w:noWrap/>
            <w:vAlign w:val="center"/>
            <w:hideMark/>
          </w:tcPr>
          <w:p w14:paraId="06B23246"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-0.25%</w:t>
            </w:r>
          </w:p>
        </w:tc>
        <w:tc>
          <w:tcPr>
            <w:tcW w:w="0" w:type="auto"/>
            <w:shd w:val="clear" w:color="auto" w:fill="auto"/>
            <w:noWrap/>
            <w:vAlign w:val="center"/>
            <w:hideMark/>
          </w:tcPr>
          <w:p w14:paraId="7D3F588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99%</w:t>
            </w:r>
          </w:p>
        </w:tc>
        <w:tc>
          <w:tcPr>
            <w:tcW w:w="0" w:type="auto"/>
            <w:shd w:val="clear" w:color="auto" w:fill="auto"/>
            <w:noWrap/>
            <w:vAlign w:val="center"/>
            <w:hideMark/>
          </w:tcPr>
          <w:p w14:paraId="02334C18"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D34A72" w:rsidRPr="005F032E" w14:paraId="0AC1C358" w14:textId="77777777" w:rsidTr="004974EA">
        <w:trPr>
          <w:trHeight w:val="255"/>
          <w:jc w:val="center"/>
        </w:trPr>
        <w:tc>
          <w:tcPr>
            <w:tcW w:w="0" w:type="auto"/>
            <w:shd w:val="clear" w:color="auto" w:fill="auto"/>
            <w:noWrap/>
            <w:vAlign w:val="center"/>
            <w:hideMark/>
          </w:tcPr>
          <w:p w14:paraId="5E666170"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A2</w:t>
            </w:r>
          </w:p>
        </w:tc>
        <w:tc>
          <w:tcPr>
            <w:tcW w:w="0" w:type="auto"/>
            <w:shd w:val="clear" w:color="auto" w:fill="auto"/>
            <w:noWrap/>
            <w:vAlign w:val="center"/>
            <w:hideMark/>
          </w:tcPr>
          <w:p w14:paraId="18B4F988"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-0.10%</w:t>
            </w:r>
          </w:p>
        </w:tc>
        <w:tc>
          <w:tcPr>
            <w:tcW w:w="0" w:type="auto"/>
            <w:shd w:val="clear" w:color="auto" w:fill="auto"/>
            <w:noWrap/>
            <w:vAlign w:val="center"/>
            <w:hideMark/>
          </w:tcPr>
          <w:p w14:paraId="71D582D6"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-0.13%</w:t>
            </w:r>
          </w:p>
        </w:tc>
        <w:tc>
          <w:tcPr>
            <w:tcW w:w="0" w:type="auto"/>
            <w:shd w:val="clear" w:color="auto" w:fill="auto"/>
            <w:noWrap/>
            <w:vAlign w:val="center"/>
            <w:hideMark/>
          </w:tcPr>
          <w:p w14:paraId="270940EF"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-0.15%</w:t>
            </w:r>
          </w:p>
        </w:tc>
        <w:tc>
          <w:tcPr>
            <w:tcW w:w="0" w:type="auto"/>
            <w:shd w:val="clear" w:color="auto" w:fill="auto"/>
            <w:noWrap/>
            <w:vAlign w:val="center"/>
            <w:hideMark/>
          </w:tcPr>
          <w:p w14:paraId="290CC79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99%</w:t>
            </w:r>
          </w:p>
        </w:tc>
        <w:tc>
          <w:tcPr>
            <w:tcW w:w="0" w:type="auto"/>
            <w:shd w:val="clear" w:color="auto" w:fill="auto"/>
            <w:noWrap/>
            <w:vAlign w:val="center"/>
            <w:hideMark/>
          </w:tcPr>
          <w:p w14:paraId="6A5209F4"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D34A72" w:rsidRPr="005F032E" w14:paraId="42E8A369" w14:textId="77777777" w:rsidTr="004974EA">
        <w:trPr>
          <w:trHeight w:val="255"/>
          <w:jc w:val="center"/>
        </w:trPr>
        <w:tc>
          <w:tcPr>
            <w:tcW w:w="0" w:type="auto"/>
            <w:shd w:val="clear" w:color="auto" w:fill="auto"/>
            <w:noWrap/>
            <w:vAlign w:val="center"/>
            <w:hideMark/>
          </w:tcPr>
          <w:p w14:paraId="466FAFF4"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B</w:t>
            </w:r>
          </w:p>
        </w:tc>
        <w:tc>
          <w:tcPr>
            <w:tcW w:w="0" w:type="auto"/>
            <w:shd w:val="clear" w:color="auto" w:fill="auto"/>
            <w:noWrap/>
            <w:vAlign w:val="center"/>
            <w:hideMark/>
          </w:tcPr>
          <w:p w14:paraId="45BE0B3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-0.07%</w:t>
            </w:r>
          </w:p>
        </w:tc>
        <w:tc>
          <w:tcPr>
            <w:tcW w:w="0" w:type="auto"/>
            <w:shd w:val="clear" w:color="auto" w:fill="auto"/>
            <w:noWrap/>
            <w:vAlign w:val="center"/>
            <w:hideMark/>
          </w:tcPr>
          <w:p w14:paraId="26C031B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-0.17%</w:t>
            </w:r>
          </w:p>
        </w:tc>
        <w:tc>
          <w:tcPr>
            <w:tcW w:w="0" w:type="auto"/>
            <w:shd w:val="clear" w:color="auto" w:fill="auto"/>
            <w:noWrap/>
            <w:vAlign w:val="center"/>
            <w:hideMark/>
          </w:tcPr>
          <w:p w14:paraId="363F137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-0.06%</w:t>
            </w:r>
          </w:p>
        </w:tc>
        <w:tc>
          <w:tcPr>
            <w:tcW w:w="0" w:type="auto"/>
            <w:shd w:val="clear" w:color="auto" w:fill="auto"/>
            <w:noWrap/>
            <w:vAlign w:val="center"/>
            <w:hideMark/>
          </w:tcPr>
          <w:p w14:paraId="2CD99C1C"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c>
          <w:tcPr>
            <w:tcW w:w="0" w:type="auto"/>
            <w:shd w:val="clear" w:color="auto" w:fill="auto"/>
            <w:noWrap/>
            <w:vAlign w:val="center"/>
            <w:hideMark/>
          </w:tcPr>
          <w:p w14:paraId="3346B1A5"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D34A72" w:rsidRPr="005F032E" w14:paraId="67BFAC6B" w14:textId="77777777" w:rsidTr="004974EA">
        <w:trPr>
          <w:trHeight w:val="255"/>
          <w:jc w:val="center"/>
        </w:trPr>
        <w:tc>
          <w:tcPr>
            <w:tcW w:w="0" w:type="auto"/>
            <w:shd w:val="clear" w:color="auto" w:fill="auto"/>
            <w:noWrap/>
            <w:vAlign w:val="center"/>
            <w:hideMark/>
          </w:tcPr>
          <w:p w14:paraId="71D1C82F"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C</w:t>
            </w:r>
          </w:p>
        </w:tc>
        <w:tc>
          <w:tcPr>
            <w:tcW w:w="0" w:type="auto"/>
            <w:shd w:val="clear" w:color="auto" w:fill="auto"/>
            <w:noWrap/>
            <w:vAlign w:val="center"/>
            <w:hideMark/>
          </w:tcPr>
          <w:p w14:paraId="17F9B980"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-0.06%</w:t>
            </w:r>
          </w:p>
        </w:tc>
        <w:tc>
          <w:tcPr>
            <w:tcW w:w="0" w:type="auto"/>
            <w:shd w:val="clear" w:color="auto" w:fill="auto"/>
            <w:noWrap/>
            <w:vAlign w:val="center"/>
            <w:hideMark/>
          </w:tcPr>
          <w:p w14:paraId="624E11E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-0.04%</w:t>
            </w:r>
          </w:p>
        </w:tc>
        <w:tc>
          <w:tcPr>
            <w:tcW w:w="0" w:type="auto"/>
            <w:shd w:val="clear" w:color="auto" w:fill="auto"/>
            <w:noWrap/>
            <w:vAlign w:val="center"/>
            <w:hideMark/>
          </w:tcPr>
          <w:p w14:paraId="6810CF4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-0.06%</w:t>
            </w:r>
          </w:p>
        </w:tc>
        <w:tc>
          <w:tcPr>
            <w:tcW w:w="0" w:type="auto"/>
            <w:shd w:val="clear" w:color="auto" w:fill="auto"/>
            <w:noWrap/>
            <w:vAlign w:val="center"/>
            <w:hideMark/>
          </w:tcPr>
          <w:p w14:paraId="67ED0898"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c>
          <w:tcPr>
            <w:tcW w:w="0" w:type="auto"/>
            <w:shd w:val="clear" w:color="auto" w:fill="auto"/>
            <w:noWrap/>
            <w:vAlign w:val="center"/>
            <w:hideMark/>
          </w:tcPr>
          <w:p w14:paraId="0B6FB0B3"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D34A72" w:rsidRPr="005F032E" w14:paraId="7200CFE1" w14:textId="77777777" w:rsidTr="004974EA">
        <w:trPr>
          <w:trHeight w:val="255"/>
          <w:jc w:val="center"/>
        </w:trPr>
        <w:tc>
          <w:tcPr>
            <w:tcW w:w="0" w:type="auto"/>
            <w:shd w:val="clear" w:color="auto" w:fill="auto"/>
            <w:noWrap/>
            <w:vAlign w:val="center"/>
            <w:hideMark/>
          </w:tcPr>
          <w:p w14:paraId="3F46611C"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E</w:t>
            </w:r>
          </w:p>
        </w:tc>
        <w:tc>
          <w:tcPr>
            <w:tcW w:w="0" w:type="auto"/>
            <w:shd w:val="clear" w:color="auto" w:fill="auto"/>
            <w:noWrap/>
            <w:vAlign w:val="center"/>
            <w:hideMark/>
          </w:tcPr>
          <w:p w14:paraId="0A0839A7"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 </w:t>
            </w:r>
          </w:p>
        </w:tc>
        <w:tc>
          <w:tcPr>
            <w:tcW w:w="0" w:type="auto"/>
            <w:shd w:val="clear" w:color="auto" w:fill="auto"/>
            <w:noWrap/>
            <w:vAlign w:val="center"/>
            <w:hideMark/>
          </w:tcPr>
          <w:p w14:paraId="78988445"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0" w:type="auto"/>
            <w:shd w:val="clear" w:color="auto" w:fill="auto"/>
            <w:noWrap/>
            <w:vAlign w:val="center"/>
            <w:hideMark/>
          </w:tcPr>
          <w:p w14:paraId="0E174BA6"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 </w:t>
            </w:r>
          </w:p>
        </w:tc>
        <w:tc>
          <w:tcPr>
            <w:tcW w:w="0" w:type="auto"/>
            <w:shd w:val="clear" w:color="auto" w:fill="auto"/>
            <w:noWrap/>
            <w:vAlign w:val="center"/>
            <w:hideMark/>
          </w:tcPr>
          <w:p w14:paraId="2EBDC718"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 </w:t>
            </w:r>
          </w:p>
        </w:tc>
        <w:tc>
          <w:tcPr>
            <w:tcW w:w="0" w:type="auto"/>
            <w:shd w:val="clear" w:color="auto" w:fill="auto"/>
            <w:noWrap/>
            <w:vAlign w:val="center"/>
            <w:hideMark/>
          </w:tcPr>
          <w:p w14:paraId="418BA88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D34A72" w:rsidRPr="005F032E" w14:paraId="77E22F8E" w14:textId="77777777" w:rsidTr="004974EA">
        <w:trPr>
          <w:trHeight w:val="255"/>
          <w:jc w:val="center"/>
        </w:trPr>
        <w:tc>
          <w:tcPr>
            <w:tcW w:w="0" w:type="auto"/>
            <w:shd w:val="clear" w:color="auto" w:fill="auto"/>
            <w:noWrap/>
            <w:vAlign w:val="center"/>
            <w:hideMark/>
          </w:tcPr>
          <w:p w14:paraId="2433EB9E"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5F032E">
              <w:rPr>
                <w:rFonts w:ascii="Arial" w:hAnsi="Arial" w:cs="Arial"/>
                <w:b/>
                <w:bCs/>
                <w:color w:val="000000"/>
                <w:sz w:val="18"/>
                <w:szCs w:val="18"/>
                <w:lang w:eastAsia="zh-CN"/>
              </w:rPr>
              <w:t>Overall</w:t>
            </w:r>
          </w:p>
        </w:tc>
        <w:tc>
          <w:tcPr>
            <w:tcW w:w="0" w:type="auto"/>
            <w:shd w:val="clear" w:color="auto" w:fill="auto"/>
            <w:noWrap/>
            <w:vAlign w:val="center"/>
            <w:hideMark/>
          </w:tcPr>
          <w:p w14:paraId="76E2D00E"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-0.08%</w:t>
            </w:r>
          </w:p>
        </w:tc>
        <w:tc>
          <w:tcPr>
            <w:tcW w:w="0" w:type="auto"/>
            <w:shd w:val="clear" w:color="auto" w:fill="auto"/>
            <w:noWrap/>
            <w:vAlign w:val="center"/>
            <w:hideMark/>
          </w:tcPr>
          <w:p w14:paraId="7654AA1C"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-0.14%</w:t>
            </w:r>
          </w:p>
        </w:tc>
        <w:tc>
          <w:tcPr>
            <w:tcW w:w="0" w:type="auto"/>
            <w:shd w:val="clear" w:color="auto" w:fill="auto"/>
            <w:noWrap/>
            <w:vAlign w:val="center"/>
            <w:hideMark/>
          </w:tcPr>
          <w:p w14:paraId="290EEC4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-0.12%</w:t>
            </w:r>
          </w:p>
        </w:tc>
        <w:tc>
          <w:tcPr>
            <w:tcW w:w="0" w:type="auto"/>
            <w:shd w:val="clear" w:color="auto" w:fill="auto"/>
            <w:noWrap/>
            <w:vAlign w:val="center"/>
            <w:hideMark/>
          </w:tcPr>
          <w:p w14:paraId="3C8B6697"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c>
          <w:tcPr>
            <w:tcW w:w="0" w:type="auto"/>
            <w:shd w:val="clear" w:color="auto" w:fill="auto"/>
            <w:noWrap/>
            <w:vAlign w:val="center"/>
            <w:hideMark/>
          </w:tcPr>
          <w:p w14:paraId="4AEB7FED"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D34A72" w:rsidRPr="005F032E" w14:paraId="68A3827B" w14:textId="77777777" w:rsidTr="004974EA">
        <w:trPr>
          <w:trHeight w:val="255"/>
          <w:jc w:val="center"/>
        </w:trPr>
        <w:tc>
          <w:tcPr>
            <w:tcW w:w="0" w:type="auto"/>
            <w:shd w:val="clear" w:color="auto" w:fill="auto"/>
            <w:noWrap/>
            <w:vAlign w:val="center"/>
            <w:hideMark/>
          </w:tcPr>
          <w:p w14:paraId="3B474A01"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D</w:t>
            </w:r>
          </w:p>
        </w:tc>
        <w:tc>
          <w:tcPr>
            <w:tcW w:w="0" w:type="auto"/>
            <w:shd w:val="clear" w:color="auto" w:fill="auto"/>
            <w:noWrap/>
            <w:vAlign w:val="center"/>
            <w:hideMark/>
          </w:tcPr>
          <w:p w14:paraId="38EEE61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-0.04%</w:t>
            </w:r>
          </w:p>
        </w:tc>
        <w:tc>
          <w:tcPr>
            <w:tcW w:w="0" w:type="auto"/>
            <w:shd w:val="clear" w:color="auto" w:fill="auto"/>
            <w:noWrap/>
            <w:vAlign w:val="center"/>
            <w:hideMark/>
          </w:tcPr>
          <w:p w14:paraId="3FFE2FD6"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-0.16%</w:t>
            </w:r>
          </w:p>
        </w:tc>
        <w:tc>
          <w:tcPr>
            <w:tcW w:w="0" w:type="auto"/>
            <w:shd w:val="clear" w:color="auto" w:fill="auto"/>
            <w:noWrap/>
            <w:vAlign w:val="center"/>
            <w:hideMark/>
          </w:tcPr>
          <w:p w14:paraId="157E0E05"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0.00%</w:t>
            </w:r>
          </w:p>
        </w:tc>
        <w:tc>
          <w:tcPr>
            <w:tcW w:w="0" w:type="auto"/>
            <w:shd w:val="clear" w:color="auto" w:fill="auto"/>
            <w:noWrap/>
            <w:vAlign w:val="center"/>
            <w:hideMark/>
          </w:tcPr>
          <w:p w14:paraId="1FEC9129"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c>
          <w:tcPr>
            <w:tcW w:w="0" w:type="auto"/>
            <w:shd w:val="clear" w:color="auto" w:fill="auto"/>
            <w:noWrap/>
            <w:vAlign w:val="center"/>
            <w:hideMark/>
          </w:tcPr>
          <w:p w14:paraId="5189A657" w14:textId="77777777" w:rsidR="00D34A72" w:rsidRPr="005F032E" w:rsidRDefault="00D34A72" w:rsidP="005F03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100%</w:t>
            </w:r>
          </w:p>
        </w:tc>
      </w:tr>
      <w:tr w:rsidR="00CD768B" w:rsidRPr="005F032E" w14:paraId="65A502D7" w14:textId="77777777" w:rsidTr="004974EA">
        <w:trPr>
          <w:trHeight w:val="255"/>
          <w:jc w:val="center"/>
        </w:trPr>
        <w:tc>
          <w:tcPr>
            <w:tcW w:w="0" w:type="auto"/>
            <w:shd w:val="clear" w:color="auto" w:fill="auto"/>
            <w:noWrap/>
            <w:vAlign w:val="center"/>
            <w:hideMark/>
          </w:tcPr>
          <w:p w14:paraId="63D1A55D" w14:textId="77777777"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5F032E">
              <w:rPr>
                <w:rFonts w:ascii="Arial" w:hAnsi="Arial" w:cs="Arial"/>
                <w:color w:val="000000"/>
                <w:sz w:val="18"/>
                <w:szCs w:val="18"/>
                <w:lang w:eastAsia="zh-CN"/>
              </w:rPr>
              <w:t>Class F (optional)</w:t>
            </w:r>
          </w:p>
        </w:tc>
        <w:tc>
          <w:tcPr>
            <w:tcW w:w="0" w:type="auto"/>
            <w:shd w:val="clear" w:color="auto" w:fill="auto"/>
            <w:noWrap/>
            <w:vAlign w:val="center"/>
            <w:hideMark/>
          </w:tcPr>
          <w:p w14:paraId="7CC1C436" w14:textId="4DC48549"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-0.02%</w:t>
            </w:r>
          </w:p>
        </w:tc>
        <w:tc>
          <w:tcPr>
            <w:tcW w:w="0" w:type="auto"/>
            <w:shd w:val="clear" w:color="auto" w:fill="auto"/>
            <w:noWrap/>
            <w:vAlign w:val="center"/>
            <w:hideMark/>
          </w:tcPr>
          <w:p w14:paraId="30914D3F" w14:textId="5ECD60D6"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-0.05%</w:t>
            </w:r>
          </w:p>
        </w:tc>
        <w:tc>
          <w:tcPr>
            <w:tcW w:w="0" w:type="auto"/>
            <w:shd w:val="clear" w:color="auto" w:fill="auto"/>
            <w:noWrap/>
            <w:vAlign w:val="center"/>
            <w:hideMark/>
          </w:tcPr>
          <w:p w14:paraId="514D26A7" w14:textId="589B9514"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-0.08%</w:t>
            </w:r>
          </w:p>
        </w:tc>
        <w:tc>
          <w:tcPr>
            <w:tcW w:w="0" w:type="auto"/>
            <w:shd w:val="clear" w:color="auto" w:fill="auto"/>
            <w:noWrap/>
            <w:vAlign w:val="center"/>
            <w:hideMark/>
          </w:tcPr>
          <w:p w14:paraId="17D0BA6C" w14:textId="66343854"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c>
          <w:tcPr>
            <w:tcW w:w="0" w:type="auto"/>
            <w:shd w:val="clear" w:color="auto" w:fill="auto"/>
            <w:noWrap/>
            <w:vAlign w:val="center"/>
            <w:hideMark/>
          </w:tcPr>
          <w:p w14:paraId="3D8C8E56" w14:textId="52AE4A6C" w:rsidR="00CD768B" w:rsidRPr="005F032E" w:rsidRDefault="00CD768B" w:rsidP="00CD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Pr>
                <w:rFonts w:ascii="Arial" w:hAnsi="Arial" w:cs="Arial"/>
                <w:color w:val="000000"/>
                <w:sz w:val="18"/>
                <w:szCs w:val="18"/>
              </w:rPr>
              <w:t>100%</w:t>
            </w:r>
          </w:p>
        </w:tc>
      </w:tr>
    </w:tbl>
    <w:p w14:paraId="5806CD3F" w14:textId="36477C4F" w:rsidR="007D61A6" w:rsidRDefault="007D61A6" w:rsidP="00E11923">
      <w:pPr>
        <w:pStyle w:val="Heading1"/>
        <w:rPr>
          <w:lang w:val="en-CA"/>
        </w:rPr>
      </w:pPr>
      <w:r>
        <w:rPr>
          <w:lang w:val="en-CA"/>
        </w:rPr>
        <w:t>Conclusion</w:t>
      </w:r>
    </w:p>
    <w:p w14:paraId="6F78BAD0" w14:textId="67BFD037" w:rsidR="007D61A6" w:rsidRPr="007D61A6" w:rsidRDefault="0098609B" w:rsidP="007D61A6">
      <w:pPr>
        <w:rPr>
          <w:lang w:val="en-CA"/>
        </w:rPr>
      </w:pPr>
      <w:r>
        <w:rPr>
          <w:lang w:val="en-CA"/>
        </w:rPr>
        <w:t xml:space="preserve">In this contribution, BM AMVP-merge mode without MVD signaling and </w:t>
      </w:r>
      <w:r w:rsidR="0019497C">
        <w:rPr>
          <w:lang w:val="en-CA"/>
        </w:rPr>
        <w:t>increase the pair of AMVP</w:t>
      </w:r>
      <w:r w:rsidR="00AC6D63">
        <w:rPr>
          <w:lang w:val="en-CA"/>
        </w:rPr>
        <w:t>-merge</w:t>
      </w:r>
      <w:r w:rsidR="0019497C">
        <w:rPr>
          <w:lang w:val="en-CA"/>
        </w:rPr>
        <w:t xml:space="preserve"> MVP</w:t>
      </w:r>
      <w:r w:rsidR="00AC6D63">
        <w:rPr>
          <w:lang w:val="en-CA"/>
        </w:rPr>
        <w:t xml:space="preserve"> from one to two </w:t>
      </w:r>
      <w:r w:rsidR="008C2C15">
        <w:rPr>
          <w:lang w:val="en-CA"/>
        </w:rPr>
        <w:t>are</w:t>
      </w:r>
      <w:r>
        <w:rPr>
          <w:lang w:val="en-CA"/>
        </w:rPr>
        <w:t xml:space="preserve"> proposed. A coding efficiency of {-0.0</w:t>
      </w:r>
      <w:r w:rsidR="008C2C15">
        <w:rPr>
          <w:lang w:val="en-CA"/>
        </w:rPr>
        <w:t>8</w:t>
      </w:r>
      <w:r>
        <w:rPr>
          <w:lang w:val="en-CA"/>
        </w:rPr>
        <w:t>%, -0.</w:t>
      </w:r>
      <w:r w:rsidR="008C2C15">
        <w:rPr>
          <w:lang w:val="en-CA"/>
        </w:rPr>
        <w:t>14</w:t>
      </w:r>
      <w:r>
        <w:rPr>
          <w:lang w:val="en-CA"/>
        </w:rPr>
        <w:t>%, -0.</w:t>
      </w:r>
      <w:r w:rsidR="008C2C15">
        <w:rPr>
          <w:lang w:val="en-CA"/>
        </w:rPr>
        <w:t>12</w:t>
      </w:r>
      <w:r>
        <w:rPr>
          <w:lang w:val="en-CA"/>
        </w:rPr>
        <w:t>%} for YUV in RA configuration has been achieved without additional encoding and decoding time increase.</w:t>
      </w:r>
      <w:r w:rsidR="007D61A6">
        <w:rPr>
          <w:lang w:val="en-CA"/>
        </w:rPr>
        <w:t xml:space="preserve"> </w:t>
      </w:r>
      <w:r w:rsidR="00CE65B7">
        <w:rPr>
          <w:lang w:val="en-CA"/>
        </w:rPr>
        <w:t>It is suggested to adopt the proposed method into ECM.</w:t>
      </w:r>
    </w:p>
    <w:p w14:paraId="2DF55DDA" w14:textId="554F2337" w:rsidR="00FB1753" w:rsidRDefault="00FB1753" w:rsidP="00E11923">
      <w:pPr>
        <w:pStyle w:val="Heading1"/>
        <w:rPr>
          <w:lang w:val="en-CA"/>
        </w:rPr>
      </w:pPr>
      <w:r>
        <w:rPr>
          <w:lang w:val="en-CA"/>
        </w:rPr>
        <w:t>Re</w:t>
      </w:r>
      <w:r w:rsidR="004B5B17">
        <w:rPr>
          <w:lang w:val="en-CA"/>
        </w:rPr>
        <w:t>f</w:t>
      </w:r>
      <w:r>
        <w:rPr>
          <w:lang w:val="en-CA"/>
        </w:rPr>
        <w:t>erence</w:t>
      </w:r>
    </w:p>
    <w:p w14:paraId="2BA685E3" w14:textId="41783688" w:rsidR="00B0094C" w:rsidRDefault="005A7F37" w:rsidP="00FB1753">
      <w:pPr>
        <w:pStyle w:val="paragraph"/>
        <w:spacing w:before="0" w:beforeAutospacing="0" w:after="0" w:afterAutospacing="0"/>
        <w:jc w:val="both"/>
        <w:textAlignment w:val="baseline"/>
        <w:rPr>
          <w:rFonts w:eastAsia="Times New Roman"/>
          <w:sz w:val="22"/>
          <w:szCs w:val="22"/>
        </w:rPr>
      </w:pPr>
      <w:r w:rsidRPr="00B0094C">
        <w:rPr>
          <w:rFonts w:eastAsia="Times New Roman"/>
          <w:sz w:val="22"/>
          <w:szCs w:val="22"/>
        </w:rPr>
        <w:t xml:space="preserve">[1] ECM-3.1, </w:t>
      </w:r>
      <w:hyperlink r:id="rId14" w:history="1">
        <w:r w:rsidR="00C12FCA" w:rsidRPr="00B0094C">
          <w:rPr>
            <w:rFonts w:eastAsia="Times New Roman"/>
            <w:sz w:val="22"/>
            <w:szCs w:val="22"/>
            <w:lang w:val="en-CA"/>
          </w:rPr>
          <w:t>https://vcgit.hhi.fraunhofer.de/ecm/ECM</w:t>
        </w:r>
      </w:hyperlink>
      <w:r w:rsidR="005F2DC9">
        <w:rPr>
          <w:rFonts w:eastAsia="Times New Roman"/>
          <w:sz w:val="22"/>
          <w:szCs w:val="22"/>
        </w:rPr>
        <w:t>.</w:t>
      </w:r>
    </w:p>
    <w:p w14:paraId="2A6D447A" w14:textId="3BD0DF77" w:rsidR="00C12FCA" w:rsidRPr="00B0094C" w:rsidRDefault="00FB1753" w:rsidP="00FB1753">
      <w:pPr>
        <w:pStyle w:val="paragraph"/>
        <w:spacing w:before="0" w:beforeAutospacing="0" w:after="0" w:afterAutospacing="0"/>
        <w:jc w:val="both"/>
        <w:textAlignment w:val="baseline"/>
        <w:rPr>
          <w:rFonts w:eastAsia="Times New Roman"/>
          <w:sz w:val="22"/>
          <w:szCs w:val="22"/>
        </w:rPr>
      </w:pPr>
      <w:r w:rsidRPr="00B0094C">
        <w:rPr>
          <w:rFonts w:eastAsia="Times New Roman"/>
          <w:sz w:val="22"/>
          <w:szCs w:val="22"/>
          <w:lang w:val="en-CA"/>
        </w:rPr>
        <w:t>[</w:t>
      </w:r>
      <w:r w:rsidR="005A7F37" w:rsidRPr="00B0094C">
        <w:rPr>
          <w:rFonts w:eastAsia="Times New Roman"/>
          <w:sz w:val="22"/>
          <w:szCs w:val="22"/>
          <w:lang w:val="en-CA"/>
        </w:rPr>
        <w:t>2</w:t>
      </w:r>
      <w:r w:rsidRPr="00B0094C">
        <w:rPr>
          <w:rFonts w:eastAsia="Times New Roman"/>
          <w:sz w:val="22"/>
          <w:szCs w:val="22"/>
          <w:lang w:val="en-CA"/>
        </w:rPr>
        <w:t>] Z. Zhang, H. Huang, C.-C. Chen, V. Seregin, M. Karczewicz, “EE2: Bilateral and template matching AMVP-merge mode (test 3.3)”, JVET</w:t>
      </w:r>
      <w:r w:rsidRPr="00B0094C">
        <w:rPr>
          <w:rFonts w:eastAsia="Times New Roman"/>
          <w:sz w:val="22"/>
          <w:szCs w:val="22"/>
        </w:rPr>
        <w:t>-X0083, Oct. 202</w:t>
      </w:r>
      <w:r w:rsidR="005A7F37" w:rsidRPr="00B0094C">
        <w:rPr>
          <w:rFonts w:eastAsia="Times New Roman"/>
          <w:sz w:val="22"/>
          <w:szCs w:val="22"/>
        </w:rPr>
        <w:t>1</w:t>
      </w:r>
      <w:r w:rsidR="005F2DC9">
        <w:rPr>
          <w:rFonts w:eastAsia="Times New Roman"/>
          <w:sz w:val="22"/>
          <w:szCs w:val="22"/>
        </w:rPr>
        <w:t>.</w:t>
      </w:r>
    </w:p>
    <w:p w14:paraId="22AF3943" w14:textId="7E735ABF" w:rsidR="00FB1753" w:rsidRPr="00B0094C" w:rsidRDefault="00FB1753" w:rsidP="00FB1753">
      <w:pPr>
        <w:pStyle w:val="paragraph"/>
        <w:spacing w:before="0" w:beforeAutospacing="0" w:after="0" w:afterAutospacing="0"/>
        <w:jc w:val="both"/>
        <w:textAlignment w:val="baseline"/>
        <w:rPr>
          <w:rFonts w:eastAsia="Times New Roman"/>
          <w:sz w:val="22"/>
          <w:szCs w:val="22"/>
          <w:lang w:val="en-CA"/>
        </w:rPr>
      </w:pPr>
      <w:r w:rsidRPr="00B0094C">
        <w:rPr>
          <w:rFonts w:eastAsia="Times New Roman"/>
          <w:sz w:val="22"/>
          <w:szCs w:val="22"/>
        </w:rPr>
        <w:t>[3] M. Karczewicz, Y. Ye, “Common Test Conditions and evaluation procedures for enhanced compression tool testing”</w:t>
      </w:r>
      <w:r w:rsidRPr="00B0094C">
        <w:rPr>
          <w:rFonts w:eastAsia="Times New Roman"/>
          <w:sz w:val="22"/>
          <w:szCs w:val="22"/>
          <w:lang w:val="en-CA"/>
        </w:rPr>
        <w:t>,</w:t>
      </w:r>
      <w:r w:rsidRPr="00B0094C">
        <w:rPr>
          <w:rFonts w:eastAsia="Times New Roman"/>
          <w:sz w:val="22"/>
          <w:szCs w:val="22"/>
        </w:rPr>
        <w:t> JVET-V2017, Apr. 2021.</w:t>
      </w:r>
    </w:p>
    <w:p w14:paraId="5F0CF8E4" w14:textId="0774FC0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5A0B9A8" w:rsidR="00342FF4" w:rsidRPr="005B217D" w:rsidRDefault="000D0CB1" w:rsidP="009234A5">
      <w:pPr>
        <w:rPr>
          <w:szCs w:val="22"/>
          <w:lang w:val="en-CA"/>
        </w:rPr>
      </w:pPr>
      <w:r w:rsidRPr="00162763">
        <w:rPr>
          <w:b/>
          <w:szCs w:val="22"/>
          <w:lang w:val="en-CA"/>
        </w:rPr>
        <w:t>Qualcomm</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128AA" w14:textId="77777777" w:rsidR="00DF5C5E" w:rsidRDefault="00DF5C5E">
      <w:r>
        <w:separator/>
      </w:r>
    </w:p>
  </w:endnote>
  <w:endnote w:type="continuationSeparator" w:id="0">
    <w:p w14:paraId="48E4B626" w14:textId="77777777" w:rsidR="00DF5C5E" w:rsidRDefault="00DF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316A6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C2966">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BE398" w14:textId="77777777" w:rsidR="00DF5C5E" w:rsidRDefault="00DF5C5E">
      <w:r>
        <w:separator/>
      </w:r>
    </w:p>
  </w:footnote>
  <w:footnote w:type="continuationSeparator" w:id="0">
    <w:p w14:paraId="3DD7E0F9" w14:textId="77777777" w:rsidR="00DF5C5E" w:rsidRDefault="00DF5C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3DA5"/>
    <w:rsid w:val="00065039"/>
    <w:rsid w:val="0007614F"/>
    <w:rsid w:val="00081398"/>
    <w:rsid w:val="00084393"/>
    <w:rsid w:val="000859D5"/>
    <w:rsid w:val="000865E1"/>
    <w:rsid w:val="00092AF4"/>
    <w:rsid w:val="00094479"/>
    <w:rsid w:val="000962AC"/>
    <w:rsid w:val="00097312"/>
    <w:rsid w:val="000B0C0F"/>
    <w:rsid w:val="000B1C6B"/>
    <w:rsid w:val="000B4142"/>
    <w:rsid w:val="000B4FF9"/>
    <w:rsid w:val="000C09AC"/>
    <w:rsid w:val="000C2BAA"/>
    <w:rsid w:val="000D0CB1"/>
    <w:rsid w:val="000E00F3"/>
    <w:rsid w:val="000E2B46"/>
    <w:rsid w:val="000F158C"/>
    <w:rsid w:val="00102F3D"/>
    <w:rsid w:val="001125BC"/>
    <w:rsid w:val="00112D6B"/>
    <w:rsid w:val="00116C1A"/>
    <w:rsid w:val="00124E38"/>
    <w:rsid w:val="0012580B"/>
    <w:rsid w:val="00131C21"/>
    <w:rsid w:val="00131F90"/>
    <w:rsid w:val="0013458C"/>
    <w:rsid w:val="0013526E"/>
    <w:rsid w:val="00146152"/>
    <w:rsid w:val="00155526"/>
    <w:rsid w:val="00171371"/>
    <w:rsid w:val="00175A24"/>
    <w:rsid w:val="00187E58"/>
    <w:rsid w:val="0019497C"/>
    <w:rsid w:val="001A297E"/>
    <w:rsid w:val="001A368E"/>
    <w:rsid w:val="001A7329"/>
    <w:rsid w:val="001A792F"/>
    <w:rsid w:val="001B4E28"/>
    <w:rsid w:val="001C3525"/>
    <w:rsid w:val="001C3AFB"/>
    <w:rsid w:val="001D07F0"/>
    <w:rsid w:val="001D1BD2"/>
    <w:rsid w:val="001E0248"/>
    <w:rsid w:val="001E02BE"/>
    <w:rsid w:val="001E3B37"/>
    <w:rsid w:val="001E461C"/>
    <w:rsid w:val="001E565D"/>
    <w:rsid w:val="001E5BA9"/>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348"/>
    <w:rsid w:val="002F164D"/>
    <w:rsid w:val="003021BC"/>
    <w:rsid w:val="00306206"/>
    <w:rsid w:val="00317D85"/>
    <w:rsid w:val="00327C56"/>
    <w:rsid w:val="003315A1"/>
    <w:rsid w:val="003373EC"/>
    <w:rsid w:val="00342FF4"/>
    <w:rsid w:val="00344E5A"/>
    <w:rsid w:val="00346059"/>
    <w:rsid w:val="00346148"/>
    <w:rsid w:val="00356ABD"/>
    <w:rsid w:val="003669EA"/>
    <w:rsid w:val="003706CC"/>
    <w:rsid w:val="00377710"/>
    <w:rsid w:val="003A2D8E"/>
    <w:rsid w:val="003A7CE6"/>
    <w:rsid w:val="003C20E4"/>
    <w:rsid w:val="003D6342"/>
    <w:rsid w:val="003E6F90"/>
    <w:rsid w:val="003E73ED"/>
    <w:rsid w:val="003F5D0F"/>
    <w:rsid w:val="004105C7"/>
    <w:rsid w:val="00414101"/>
    <w:rsid w:val="004219CF"/>
    <w:rsid w:val="004234F0"/>
    <w:rsid w:val="00427EEC"/>
    <w:rsid w:val="00433DDB"/>
    <w:rsid w:val="00435A29"/>
    <w:rsid w:val="00437619"/>
    <w:rsid w:val="00465A1E"/>
    <w:rsid w:val="0049445A"/>
    <w:rsid w:val="004957D9"/>
    <w:rsid w:val="004974EA"/>
    <w:rsid w:val="004A2A63"/>
    <w:rsid w:val="004B1A1F"/>
    <w:rsid w:val="004B210C"/>
    <w:rsid w:val="004B5B17"/>
    <w:rsid w:val="004B6170"/>
    <w:rsid w:val="004C2966"/>
    <w:rsid w:val="004D405F"/>
    <w:rsid w:val="004E4F4F"/>
    <w:rsid w:val="004E6789"/>
    <w:rsid w:val="004F1AE4"/>
    <w:rsid w:val="004F61E3"/>
    <w:rsid w:val="00502E10"/>
    <w:rsid w:val="0050354E"/>
    <w:rsid w:val="0051015C"/>
    <w:rsid w:val="00516CF1"/>
    <w:rsid w:val="00531AE9"/>
    <w:rsid w:val="00536188"/>
    <w:rsid w:val="0054050D"/>
    <w:rsid w:val="00550A66"/>
    <w:rsid w:val="00567EC7"/>
    <w:rsid w:val="00570013"/>
    <w:rsid w:val="00572042"/>
    <w:rsid w:val="005753EC"/>
    <w:rsid w:val="005801A2"/>
    <w:rsid w:val="005952A5"/>
    <w:rsid w:val="005A33A1"/>
    <w:rsid w:val="005A7F37"/>
    <w:rsid w:val="005B217D"/>
    <w:rsid w:val="005C385F"/>
    <w:rsid w:val="005C7C26"/>
    <w:rsid w:val="005D56D3"/>
    <w:rsid w:val="005E1AC6"/>
    <w:rsid w:val="005E3F2B"/>
    <w:rsid w:val="005E77E0"/>
    <w:rsid w:val="005F032E"/>
    <w:rsid w:val="005F2DC9"/>
    <w:rsid w:val="005F6F1B"/>
    <w:rsid w:val="0060403A"/>
    <w:rsid w:val="00615995"/>
    <w:rsid w:val="00616155"/>
    <w:rsid w:val="00620DAD"/>
    <w:rsid w:val="006246DD"/>
    <w:rsid w:val="00624B33"/>
    <w:rsid w:val="0063041A"/>
    <w:rsid w:val="00630AA2"/>
    <w:rsid w:val="00631D8B"/>
    <w:rsid w:val="00646707"/>
    <w:rsid w:val="00650653"/>
    <w:rsid w:val="0065712D"/>
    <w:rsid w:val="00657F7E"/>
    <w:rsid w:val="00660263"/>
    <w:rsid w:val="00662E58"/>
    <w:rsid w:val="006637F2"/>
    <w:rsid w:val="006642A5"/>
    <w:rsid w:val="00664DCF"/>
    <w:rsid w:val="006A0E5C"/>
    <w:rsid w:val="006A48E6"/>
    <w:rsid w:val="006C1054"/>
    <w:rsid w:val="006C5D39"/>
    <w:rsid w:val="006D4E97"/>
    <w:rsid w:val="006D6D9B"/>
    <w:rsid w:val="006E144A"/>
    <w:rsid w:val="006E2810"/>
    <w:rsid w:val="006E5417"/>
    <w:rsid w:val="006E6BCE"/>
    <w:rsid w:val="006F0794"/>
    <w:rsid w:val="006F7528"/>
    <w:rsid w:val="007023DE"/>
    <w:rsid w:val="00712F60"/>
    <w:rsid w:val="00720E3B"/>
    <w:rsid w:val="0074393F"/>
    <w:rsid w:val="00745F6B"/>
    <w:rsid w:val="0075175B"/>
    <w:rsid w:val="00754649"/>
    <w:rsid w:val="0075585E"/>
    <w:rsid w:val="00770571"/>
    <w:rsid w:val="007768FF"/>
    <w:rsid w:val="007824D3"/>
    <w:rsid w:val="00792ECE"/>
    <w:rsid w:val="00796EE3"/>
    <w:rsid w:val="007A7D29"/>
    <w:rsid w:val="007B4AB8"/>
    <w:rsid w:val="007C081C"/>
    <w:rsid w:val="007D1181"/>
    <w:rsid w:val="007D61A6"/>
    <w:rsid w:val="007E01A3"/>
    <w:rsid w:val="007F1F8B"/>
    <w:rsid w:val="007F6205"/>
    <w:rsid w:val="007F67A1"/>
    <w:rsid w:val="00801A7B"/>
    <w:rsid w:val="00811C05"/>
    <w:rsid w:val="008206C8"/>
    <w:rsid w:val="00862869"/>
    <w:rsid w:val="0086387C"/>
    <w:rsid w:val="00874A6C"/>
    <w:rsid w:val="00876C65"/>
    <w:rsid w:val="00882F72"/>
    <w:rsid w:val="00893DC4"/>
    <w:rsid w:val="008A4B4C"/>
    <w:rsid w:val="008B548B"/>
    <w:rsid w:val="008C239F"/>
    <w:rsid w:val="008C2C15"/>
    <w:rsid w:val="008E480C"/>
    <w:rsid w:val="00907757"/>
    <w:rsid w:val="009212B0"/>
    <w:rsid w:val="00921FA1"/>
    <w:rsid w:val="009234A5"/>
    <w:rsid w:val="00933453"/>
    <w:rsid w:val="009336F7"/>
    <w:rsid w:val="0093636C"/>
    <w:rsid w:val="009374A7"/>
    <w:rsid w:val="00937F03"/>
    <w:rsid w:val="00952084"/>
    <w:rsid w:val="00955F6D"/>
    <w:rsid w:val="00977C16"/>
    <w:rsid w:val="00985281"/>
    <w:rsid w:val="0098551D"/>
    <w:rsid w:val="00985DCB"/>
    <w:rsid w:val="0098609B"/>
    <w:rsid w:val="009868B3"/>
    <w:rsid w:val="0099518F"/>
    <w:rsid w:val="009A523D"/>
    <w:rsid w:val="009B02A1"/>
    <w:rsid w:val="009B3361"/>
    <w:rsid w:val="009B7F3F"/>
    <w:rsid w:val="009C0662"/>
    <w:rsid w:val="009D7CE6"/>
    <w:rsid w:val="009E448E"/>
    <w:rsid w:val="009F496B"/>
    <w:rsid w:val="00A01439"/>
    <w:rsid w:val="00A02E61"/>
    <w:rsid w:val="00A05CFF"/>
    <w:rsid w:val="00A13048"/>
    <w:rsid w:val="00A16A82"/>
    <w:rsid w:val="00A46843"/>
    <w:rsid w:val="00A56B97"/>
    <w:rsid w:val="00A6093D"/>
    <w:rsid w:val="00A703CE"/>
    <w:rsid w:val="00A72017"/>
    <w:rsid w:val="00A767DC"/>
    <w:rsid w:val="00A76A6D"/>
    <w:rsid w:val="00A82042"/>
    <w:rsid w:val="00A83253"/>
    <w:rsid w:val="00AA6E84"/>
    <w:rsid w:val="00AB1A1C"/>
    <w:rsid w:val="00AB4721"/>
    <w:rsid w:val="00AB7405"/>
    <w:rsid w:val="00AC6D63"/>
    <w:rsid w:val="00AD05A8"/>
    <w:rsid w:val="00AD7B01"/>
    <w:rsid w:val="00AE341B"/>
    <w:rsid w:val="00AF51C5"/>
    <w:rsid w:val="00B0094C"/>
    <w:rsid w:val="00B01905"/>
    <w:rsid w:val="00B07CA7"/>
    <w:rsid w:val="00B1279A"/>
    <w:rsid w:val="00B162D7"/>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0A67"/>
    <w:rsid w:val="00C00708"/>
    <w:rsid w:val="00C00DDE"/>
    <w:rsid w:val="00C04F43"/>
    <w:rsid w:val="00C05271"/>
    <w:rsid w:val="00C0609D"/>
    <w:rsid w:val="00C115AB"/>
    <w:rsid w:val="00C12FCA"/>
    <w:rsid w:val="00C26CCB"/>
    <w:rsid w:val="00C30249"/>
    <w:rsid w:val="00C3723B"/>
    <w:rsid w:val="00C42466"/>
    <w:rsid w:val="00C606C9"/>
    <w:rsid w:val="00C71F68"/>
    <w:rsid w:val="00C80288"/>
    <w:rsid w:val="00C836F0"/>
    <w:rsid w:val="00C84003"/>
    <w:rsid w:val="00C90650"/>
    <w:rsid w:val="00C97D78"/>
    <w:rsid w:val="00CC2AAE"/>
    <w:rsid w:val="00CC5A42"/>
    <w:rsid w:val="00CD0EAB"/>
    <w:rsid w:val="00CD768B"/>
    <w:rsid w:val="00CE5E02"/>
    <w:rsid w:val="00CE65B7"/>
    <w:rsid w:val="00CF34DB"/>
    <w:rsid w:val="00CF3917"/>
    <w:rsid w:val="00CF558F"/>
    <w:rsid w:val="00D010C0"/>
    <w:rsid w:val="00D06B8B"/>
    <w:rsid w:val="00D073E2"/>
    <w:rsid w:val="00D1555A"/>
    <w:rsid w:val="00D3070F"/>
    <w:rsid w:val="00D34A72"/>
    <w:rsid w:val="00D3746D"/>
    <w:rsid w:val="00D446EC"/>
    <w:rsid w:val="00D51BF0"/>
    <w:rsid w:val="00D531DB"/>
    <w:rsid w:val="00D55942"/>
    <w:rsid w:val="00D807BF"/>
    <w:rsid w:val="00D82FCC"/>
    <w:rsid w:val="00DA17FC"/>
    <w:rsid w:val="00DA7887"/>
    <w:rsid w:val="00DB2C26"/>
    <w:rsid w:val="00DB45C3"/>
    <w:rsid w:val="00DD02F4"/>
    <w:rsid w:val="00DD10A0"/>
    <w:rsid w:val="00DD6622"/>
    <w:rsid w:val="00DE1C7C"/>
    <w:rsid w:val="00DE4554"/>
    <w:rsid w:val="00DE6B43"/>
    <w:rsid w:val="00DF5C5E"/>
    <w:rsid w:val="00E043F3"/>
    <w:rsid w:val="00E11923"/>
    <w:rsid w:val="00E262D4"/>
    <w:rsid w:val="00E36250"/>
    <w:rsid w:val="00E47F2D"/>
    <w:rsid w:val="00E54511"/>
    <w:rsid w:val="00E60EDC"/>
    <w:rsid w:val="00E61DAC"/>
    <w:rsid w:val="00E72B80"/>
    <w:rsid w:val="00E75FE3"/>
    <w:rsid w:val="00E84AED"/>
    <w:rsid w:val="00E86C4C"/>
    <w:rsid w:val="00E907A3"/>
    <w:rsid w:val="00EA5AE0"/>
    <w:rsid w:val="00EB56E1"/>
    <w:rsid w:val="00EB7AB1"/>
    <w:rsid w:val="00EC32BD"/>
    <w:rsid w:val="00EE7CD8"/>
    <w:rsid w:val="00EF37F6"/>
    <w:rsid w:val="00EF48CC"/>
    <w:rsid w:val="00F00801"/>
    <w:rsid w:val="00F2488D"/>
    <w:rsid w:val="00F573CE"/>
    <w:rsid w:val="00F601A0"/>
    <w:rsid w:val="00F712E9"/>
    <w:rsid w:val="00F73032"/>
    <w:rsid w:val="00F848FC"/>
    <w:rsid w:val="00F906F6"/>
    <w:rsid w:val="00F9282A"/>
    <w:rsid w:val="00F96BAD"/>
    <w:rsid w:val="00FA139D"/>
    <w:rsid w:val="00FA60F5"/>
    <w:rsid w:val="00FB0E84"/>
    <w:rsid w:val="00FB1753"/>
    <w:rsid w:val="00FC2405"/>
    <w:rsid w:val="00FD01C2"/>
    <w:rsid w:val="00FE026C"/>
    <w:rsid w:val="00FE595C"/>
    <w:rsid w:val="00FE7862"/>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customStyle="1" w:styleId="normaltextrun">
    <w:name w:val="normaltextrun"/>
    <w:basedOn w:val="DefaultParagraphFont"/>
    <w:rsid w:val="00FB1753"/>
  </w:style>
  <w:style w:type="paragraph" w:customStyle="1" w:styleId="paragraph">
    <w:name w:val="paragraph"/>
    <w:basedOn w:val="Normal"/>
    <w:rsid w:val="00FB1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character" w:customStyle="1" w:styleId="eop">
    <w:name w:val="eop"/>
    <w:basedOn w:val="DefaultParagraphFont"/>
    <w:rsid w:val="00112D6B"/>
  </w:style>
  <w:style w:type="character" w:styleId="UnresolvedMention">
    <w:name w:val="Unresolved Mention"/>
    <w:basedOn w:val="DefaultParagraphFont"/>
    <w:uiPriority w:val="99"/>
    <w:semiHidden/>
    <w:unhideWhenUsed/>
    <w:rsid w:val="00C12F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0509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826870">
      <w:bodyDiv w:val="1"/>
      <w:marLeft w:val="0"/>
      <w:marRight w:val="0"/>
      <w:marTop w:val="0"/>
      <w:marBottom w:val="0"/>
      <w:divBdr>
        <w:top w:val="none" w:sz="0" w:space="0" w:color="auto"/>
        <w:left w:val="none" w:sz="0" w:space="0" w:color="auto"/>
        <w:bottom w:val="none" w:sz="0" w:space="0" w:color="auto"/>
        <w:right w:val="none" w:sz="0" w:space="0" w:color="auto"/>
      </w:divBdr>
    </w:div>
    <w:div w:id="204736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ak@qti.qualcomm.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vseregin@qti.qualcomm.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hunchic@qti.qualcomm.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anhuang@qti.qualcomm.com" TargetMode="External"/><Relationship Id="rId4" Type="http://schemas.openxmlformats.org/officeDocument/2006/relationships/webSettings" Target="webSettings.xml"/><Relationship Id="rId9" Type="http://schemas.openxmlformats.org/officeDocument/2006/relationships/hyperlink" Target="mailto:zhizhang@qti.qualcomm.com" TargetMode="External"/><Relationship Id="rId14" Type="http://schemas.openxmlformats.org/officeDocument/2006/relationships/hyperlink" Target="https://vcgit.hhi.fraunhofer.de/ecm/EC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614</Words>
  <Characters>3500</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4106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cp:lastModifiedBy>
  <cp:revision>70</cp:revision>
  <cp:lastPrinted>1900-01-01T08:00:00Z</cp:lastPrinted>
  <dcterms:created xsi:type="dcterms:W3CDTF">2021-08-25T19:17:00Z</dcterms:created>
  <dcterms:modified xsi:type="dcterms:W3CDTF">2022-01-05T21:09:00Z</dcterms:modified>
</cp:coreProperties>
</file>