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987" w:rsidRDefault="00E65B1E" w:rsidP="00E65B1E">
      <w:pPr>
        <w:pStyle w:val="1"/>
        <w:rPr>
          <w:rFonts w:ascii="Times New Roman" w:hAnsi="Times New Roman" w:cs="Times New Roman"/>
        </w:rPr>
      </w:pPr>
      <w:r w:rsidRPr="00E65B1E">
        <w:rPr>
          <w:rFonts w:ascii="Times New Roman" w:hAnsi="Times New Roman" w:cs="Times New Roman"/>
        </w:rPr>
        <w:t>Spec change:</w:t>
      </w:r>
    </w:p>
    <w:p w:rsidR="00E65B1E" w:rsidRDefault="00E65B1E" w:rsidP="00E65B1E">
      <w:pPr>
        <w:pStyle w:val="2"/>
        <w:rPr>
          <w:rFonts w:ascii="Times New Roman" w:hAnsi="Times New Roman" w:cs="Times New Roman"/>
        </w:rPr>
      </w:pPr>
      <w:r w:rsidRPr="00E65B1E">
        <w:rPr>
          <w:rFonts w:ascii="Times New Roman" w:hAnsi="Times New Roman" w:cs="Times New Roman"/>
        </w:rPr>
        <w:t>Method 2:</w:t>
      </w:r>
    </w:p>
    <w:p w:rsidR="00E65B1E" w:rsidRPr="00E65B1E" w:rsidRDefault="00E65B1E" w:rsidP="00E65B1E">
      <w:pPr>
        <w:keepNext/>
        <w:keepLines/>
        <w:widowControl/>
        <w:numPr>
          <w:ilvl w:val="3"/>
          <w:numId w:val="0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/>
        <w:ind w:left="864" w:hanging="864"/>
        <w:textAlignment w:val="baseline"/>
        <w:outlineLvl w:val="3"/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ko-KR"/>
        </w:rPr>
      </w:pPr>
      <w:bookmarkStart w:id="0" w:name="_Ref524381219"/>
      <w:r>
        <w:rPr>
          <w:rFonts w:ascii="Times New Roman" w:eastAsia="宋体" w:hAnsi="Times New Roman" w:cs="Times New Roman" w:hint="eastAsia"/>
          <w:b/>
          <w:noProof/>
          <w:kern w:val="0"/>
          <w:sz w:val="20"/>
          <w:szCs w:val="20"/>
          <w:lang w:val="en-CA"/>
        </w:rPr>
        <w:t>8.5.2.2</w:t>
      </w:r>
      <w:r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/>
        </w:rPr>
        <w:t xml:space="preserve">  </w:t>
      </w:r>
      <w:r w:rsidRPr="00E65B1E">
        <w:rPr>
          <w:rFonts w:ascii="Times New Roman" w:eastAsia="宋体" w:hAnsi="Times New Roman" w:cs="Times New Roman"/>
          <w:b/>
          <w:noProof/>
          <w:kern w:val="0"/>
          <w:sz w:val="20"/>
          <w:szCs w:val="20"/>
          <w:lang w:val="en-CA" w:eastAsia="ko-KR"/>
        </w:rPr>
        <w:t>Derivation process for motion vectors and reference indices in subblock merge mode</w:t>
      </w:r>
      <w:bookmarkEnd w:id="0"/>
    </w:p>
    <w:p w:rsidR="00E65B1E" w:rsidRPr="00E65B1E" w:rsidRDefault="00E65B1E" w:rsidP="00E65B1E">
      <w:pPr>
        <w:widowControl/>
        <w:tabs>
          <w:tab w:val="left" w:pos="794"/>
          <w:tab w:val="left" w:pos="1191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Inputs to this process are:</w:t>
      </w:r>
    </w:p>
    <w:p w:rsidR="00E65B1E" w:rsidRPr="00E65B1E" w:rsidRDefault="00E65B1E" w:rsidP="00E65B1E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 luma location ( xCb, yCb ) of the top-left sample of the current luma coding block relative to the top-left luma sample of the current picture,</w:t>
      </w:r>
    </w:p>
    <w:p w:rsidR="00E65B1E" w:rsidRPr="00E65B1E" w:rsidRDefault="00E65B1E" w:rsidP="00E65B1E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two 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variables 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cbWidth and cbHeight 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specifying the width and the height of the luma coding block.</w:t>
      </w:r>
    </w:p>
    <w:p w:rsidR="00E65B1E" w:rsidRPr="00E65B1E" w:rsidRDefault="00E65B1E" w:rsidP="00E65B1E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Outputs of this process are:</w:t>
      </w:r>
    </w:p>
    <w:p w:rsidR="00E65B1E" w:rsidRPr="00E65B1E" w:rsidRDefault="00E65B1E" w:rsidP="00E65B1E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number of luma coding subblocks in horizontal direction numSbX and in vertical direction numSbY,</w:t>
      </w:r>
    </w:p>
    <w:p w:rsidR="00E65B1E" w:rsidRPr="00E65B1E" w:rsidRDefault="00E65B1E" w:rsidP="00E65B1E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the reference indices </w:t>
      </w:r>
      <w:r w:rsidRPr="00E65B1E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refIdxL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0 and refIdxL1,</w:t>
      </w:r>
    </w:p>
    <w:p w:rsidR="00E65B1E" w:rsidRPr="00E65B1E" w:rsidRDefault="00E65B1E" w:rsidP="00E65B1E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prediction list utilization flag arrays predFlagL0[ xSbIdx ][ ySbIdx ] and predFlagL1[ xSbIdx ][ ySbIdx ],</w:t>
      </w:r>
    </w:p>
    <w:p w:rsidR="00E65B1E" w:rsidRPr="00E65B1E" w:rsidRDefault="00E65B1E" w:rsidP="00E65B1E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the luma subblock motion vector arrays in 1/16 </w:t>
      </w:r>
      <w:r w:rsidRPr="00E65B1E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fractional-sample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accuracy</w:t>
      </w:r>
      <w:r w:rsidRPr="00E65B1E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mvL0[ xSbIdx ][ ySbIdx ] and mvL1[ xSbIdx ][ ySbIdx ] with xSbIdx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/>
        </w:rPr>
        <w:t> 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=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/>
        </w:rPr>
        <w:t> 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0..numSbX 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/>
        </w:rPr>
        <w:t> 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1, ySbIdx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/>
        </w:rPr>
        <w:t> 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=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/>
        </w:rPr>
        <w:t> 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0..numSbY 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/>
        </w:rPr>
        <w:t> 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1,</w:t>
      </w:r>
    </w:p>
    <w:p w:rsidR="00E65B1E" w:rsidRPr="00E65B1E" w:rsidRDefault="00E65B1E" w:rsidP="00E65B1E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the chroma subblock motion vector arrays in 1/32 </w:t>
      </w:r>
      <w:r w:rsidRPr="00E65B1E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fractional-sample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accuracy</w:t>
      </w:r>
      <w:r w:rsidRPr="00E65B1E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mvCL0[ xSbIdx ][ ySbIdx ] and mvCL1[ xSbIdx ][ ySbIdx ] with xSbIdx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/>
        </w:rPr>
        <w:t> 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=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/>
        </w:rPr>
        <w:t> 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0..numSbX 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/>
        </w:rPr>
        <w:t> 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1, ySbIdx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/>
        </w:rPr>
        <w:t> 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=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/>
        </w:rPr>
        <w:t> 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0..numSbY 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−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/>
        </w:rPr>
        <w:t> 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1,</w:t>
      </w:r>
    </w:p>
    <w:p w:rsidR="00E65B1E" w:rsidRPr="00E65B1E" w:rsidRDefault="00E65B1E" w:rsidP="00E65B1E">
      <w:pPr>
        <w:widowControl/>
        <w:numPr>
          <w:ilvl w:val="0"/>
          <w:numId w:val="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bi-prediction weight index bcwIdx.</w:t>
      </w:r>
    </w:p>
    <w:p w:rsidR="00E65B1E" w:rsidRPr="00E65B1E" w:rsidRDefault="00E65B1E" w:rsidP="00E65B1E">
      <w:pPr>
        <w:widowControl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5B1E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The 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variables numSbX, numSbY and the subblock </w:t>
      </w:r>
      <w:r w:rsidRPr="00E65B1E" w:rsidDel="003C51E6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merging candidate list, 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subblockMergeCandList are derived by the following ordered steps:</w:t>
      </w:r>
    </w:p>
    <w:p w:rsidR="00E65B1E" w:rsidRPr="00E65B1E" w:rsidRDefault="00E65B1E" w:rsidP="00E65B1E">
      <w:pPr>
        <w:widowControl/>
        <w:numPr>
          <w:ilvl w:val="0"/>
          <w:numId w:val="2"/>
        </w:numPr>
        <w:tabs>
          <w:tab w:val="left" w:pos="720"/>
          <w:tab w:val="left" w:pos="794"/>
          <w:tab w:val="left" w:pos="1080"/>
          <w:tab w:val="num" w:pos="1194"/>
          <w:tab w:val="left" w:pos="1440"/>
          <w:tab w:val="left" w:pos="1588"/>
          <w:tab w:val="left" w:pos="1985"/>
          <w:tab w:val="left" w:pos="2977"/>
        </w:tabs>
        <w:overflowPunct w:val="0"/>
        <w:autoSpaceDE w:val="0"/>
        <w:autoSpaceDN w:val="0"/>
        <w:adjustRightInd w:val="0"/>
        <w:spacing w:before="136"/>
        <w:ind w:left="709" w:hanging="40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When </w:t>
      </w:r>
      <w:r w:rsidRPr="00E65B1E">
        <w:rPr>
          <w:rFonts w:ascii="Times New Roman" w:eastAsia="宋体" w:hAnsi="Times New Roman" w:cs="Times New Roman"/>
          <w:bCs/>
          <w:noProof/>
          <w:kern w:val="0"/>
          <w:sz w:val="20"/>
          <w:szCs w:val="20"/>
          <w:lang w:val="en-CA" w:eastAsia="en-US"/>
        </w:rPr>
        <w:t>sps_sbtmvp_enabled_flag is equal to 1, the following applies:</w:t>
      </w:r>
    </w:p>
    <w:p w:rsidR="00E65B1E" w:rsidRPr="00E65B1E" w:rsidRDefault="00E65B1E" w:rsidP="00E65B1E">
      <w:pPr>
        <w:widowControl/>
        <w:numPr>
          <w:ilvl w:val="0"/>
          <w:numId w:val="3"/>
        </w:numPr>
        <w:tabs>
          <w:tab w:val="left" w:pos="284"/>
          <w:tab w:val="left" w:pos="794"/>
          <w:tab w:val="left" w:pos="1191"/>
          <w:tab w:val="left" w:pos="1560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080" w:hanging="36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For the derivation of availableFlag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, refIdxLX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 xml:space="preserve"> 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, 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predFlagLX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 xml:space="preserve"> 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and mvLX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 xml:space="preserve"> 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the following applies:</w:t>
      </w:r>
    </w:p>
    <w:p w:rsidR="00E65B1E" w:rsidRPr="00E65B1E" w:rsidRDefault="00E65B1E" w:rsidP="00E65B1E">
      <w:pPr>
        <w:widowControl/>
        <w:numPr>
          <w:ilvl w:val="2"/>
          <w:numId w:val="2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440" w:hanging="36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luma location (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 xNb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 xml:space="preserve"> 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, yNb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 xml:space="preserve"> 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) inside the neighbouring luma coding block is set equal to ( xCb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</w:t>
      </w:r>
      <w:r w:rsidRPr="00E65B1E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highlight w:val="yellow"/>
          <w:lang w:val="en-CA"/>
        </w:rPr>
        <w:t>+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highlight w:val="yellow"/>
          <w:lang w:val="en-CA"/>
        </w:rPr>
        <w:t xml:space="preserve"> </w:t>
      </w:r>
      <w:r w:rsidRPr="00E65B1E">
        <w:rPr>
          <w:rFonts w:ascii="Times New Roman" w:eastAsia="宋体" w:hAnsi="Times New Roman" w:cs="Times New Roman" w:hint="eastAsia"/>
          <w:noProof/>
          <w:kern w:val="0"/>
          <w:sz w:val="20"/>
          <w:szCs w:val="20"/>
          <w:highlight w:val="yellow"/>
          <w:lang w:val="en-CA"/>
        </w:rPr>
        <w:t>cb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highlight w:val="yellow"/>
          <w:lang w:val="en-CA" w:eastAsia="ko-KR"/>
        </w:rPr>
        <w:t>Width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− 1,  yCb 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+ cbHeight 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− 1 ).</w:t>
      </w:r>
    </w:p>
    <w:p w:rsidR="00E65B1E" w:rsidRPr="00E65B1E" w:rsidRDefault="00E65B1E" w:rsidP="00E65B1E">
      <w:pPr>
        <w:widowControl/>
        <w:numPr>
          <w:ilvl w:val="2"/>
          <w:numId w:val="2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440" w:hanging="36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The derivation process for neighbouring block availability as specified in clause 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fldChar w:fldCharType="begin" w:fldLock="1"/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instrText xml:space="preserve"> REF _Ref331179883 \r \h </w:instrTex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fldChar w:fldCharType="separate"/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6.4.4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fldChar w:fldCharType="end"/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is invoked with 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the current luma location 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( xCurr, yCurr ) set equal to ( xCb, yCb ), the neighbouring luma location ( xNb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, yNb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)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, checkPredModeY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set equal to TRUE, 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and cIdx set equal to 0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as inputs, and the output is assigned to the block availability flag available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 xml:space="preserve"> 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.</w:t>
      </w:r>
    </w:p>
    <w:p w:rsidR="00E65B1E" w:rsidRPr="00E65B1E" w:rsidRDefault="00E65B1E" w:rsidP="00E65B1E">
      <w:pPr>
        <w:widowControl/>
        <w:numPr>
          <w:ilvl w:val="2"/>
          <w:numId w:val="2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440" w:hanging="36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lastRenderedPageBreak/>
        <w:t>The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variables availableFlag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 xml:space="preserve"> 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, refIdxLX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 xml:space="preserve"> 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,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predFlagLX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 xml:space="preserve"> 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and mvLX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 xml:space="preserve"> 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are derived as follows:</w:t>
      </w:r>
    </w:p>
    <w:p w:rsidR="00E65B1E" w:rsidRPr="00E65B1E" w:rsidRDefault="00E65B1E" w:rsidP="00E65B1E">
      <w:pPr>
        <w:widowControl/>
        <w:numPr>
          <w:ilvl w:val="2"/>
          <w:numId w:val="2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800" w:hanging="36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</w:pP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If 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available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is equal to FALSE, 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availableFlag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is set equal to 0, both components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of mvLX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are set equal to 0, refIdxLX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is set equal to −1 and predFlagLX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 xml:space="preserve"> 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is set equal to 0, with X being 0 or 1, and bcwIdx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 xml:space="preserve"> is set equal to 0.</w:t>
      </w:r>
    </w:p>
    <w:p w:rsidR="00E65B1E" w:rsidRPr="00E65B1E" w:rsidRDefault="00E65B1E" w:rsidP="00E65B1E">
      <w:pPr>
        <w:widowControl/>
        <w:numPr>
          <w:ilvl w:val="2"/>
          <w:numId w:val="2"/>
        </w:numPr>
        <w:tabs>
          <w:tab w:val="left" w:pos="284"/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/>
        <w:ind w:left="1800" w:hanging="360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Otherwise, availableFlag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 xml:space="preserve"> is set equal to 1 and the 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following assignments are made:</w:t>
      </w:r>
    </w:p>
    <w:p w:rsidR="00E65B1E" w:rsidRPr="00E65B1E" w:rsidRDefault="00E65B1E" w:rsidP="00E65B1E">
      <w:pPr>
        <w:widowControl/>
        <w:tabs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Chars="953" w:left="2001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mvLX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= MvLX[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 xNb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][ y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Nb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]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  <w:t>(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</w:instrTex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680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)</w:t>
      </w:r>
    </w:p>
    <w:p w:rsidR="00E65B1E" w:rsidRPr="00E65B1E" w:rsidRDefault="00E65B1E" w:rsidP="00E65B1E">
      <w:pPr>
        <w:widowControl/>
        <w:tabs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Chars="953" w:left="2001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refIdxLX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= RefIdxLX[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 xNb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][ y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Nb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]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  <w:t>(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</w:instrTex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681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)</w:t>
      </w:r>
    </w:p>
    <w:p w:rsidR="00E65B1E" w:rsidRPr="00E65B1E" w:rsidRDefault="00E65B1E" w:rsidP="00E65B1E">
      <w:pPr>
        <w:widowControl/>
        <w:tabs>
          <w:tab w:val="left" w:pos="851"/>
          <w:tab w:val="left" w:pos="1134"/>
          <w:tab w:val="left" w:pos="1418"/>
          <w:tab w:val="left" w:pos="1701"/>
          <w:tab w:val="left" w:pos="1985"/>
          <w:tab w:val="center" w:pos="4849"/>
          <w:tab w:val="right" w:pos="9696"/>
        </w:tabs>
        <w:overflowPunct w:val="0"/>
        <w:autoSpaceDE w:val="0"/>
        <w:autoSpaceDN w:val="0"/>
        <w:adjustRightInd w:val="0"/>
        <w:spacing w:before="193" w:after="240"/>
        <w:ind w:leftChars="953" w:left="2001"/>
        <w:jc w:val="left"/>
        <w:textAlignment w:val="baseline"/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</w:pP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predFlagLX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= PredFlagLX[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 xNb</w:t>
      </w:r>
      <w:bookmarkStart w:id="1" w:name="_GoBack"/>
      <w:bookmarkEnd w:id="1"/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][ y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Nb</w:t>
      </w:r>
      <w:r w:rsidRPr="00E65B1E">
        <w:rPr>
          <w:rFonts w:ascii="Times New Roman" w:eastAsia="宋体" w:hAnsi="Times New Roman" w:cs="Times New Roman"/>
          <w:strike/>
          <w:noProof/>
          <w:color w:val="FF0000"/>
          <w:kern w:val="0"/>
          <w:sz w:val="20"/>
          <w:szCs w:val="20"/>
          <w:lang w:val="en-CA" w:eastAsia="ko-KR"/>
        </w:rPr>
        <w:t>A</w:t>
      </w:r>
      <w:r w:rsidRPr="00E65B1E">
        <w:rPr>
          <w:rFonts w:ascii="Times New Roman" w:eastAsia="宋体" w:hAnsi="Times New Roman" w:cs="Times New Roman"/>
          <w:noProof/>
          <w:color w:val="000000" w:themeColor="text1"/>
          <w:kern w:val="0"/>
          <w:sz w:val="20"/>
          <w:szCs w:val="20"/>
          <w:highlight w:val="yellow"/>
          <w:lang w:val="en-CA" w:eastAsia="ko-KR"/>
        </w:rPr>
        <w:t>B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vertAlign w:val="subscript"/>
          <w:lang w:val="en-CA" w:eastAsia="ko-KR"/>
        </w:rPr>
        <w:t>1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 ]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ab/>
        <w:t>(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begin" w:fldLock="1"/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instrText xml:space="preserve"> SEQ Equation \* ARABIC </w:instrTex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separate"/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t>682</w:t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en-US"/>
        </w:rPr>
        <w:fldChar w:fldCharType="end"/>
      </w:r>
      <w:r w:rsidRPr="00E65B1E">
        <w:rPr>
          <w:rFonts w:ascii="Times New Roman" w:eastAsia="宋体" w:hAnsi="Times New Roman" w:cs="Times New Roman"/>
          <w:noProof/>
          <w:kern w:val="0"/>
          <w:sz w:val="20"/>
          <w:szCs w:val="20"/>
          <w:lang w:val="en-CA" w:eastAsia="ko-KR"/>
        </w:rPr>
        <w:t>)</w:t>
      </w:r>
    </w:p>
    <w:p w:rsidR="00E65B1E" w:rsidRPr="00E65B1E" w:rsidRDefault="00E65B1E" w:rsidP="00E65B1E">
      <w:pPr>
        <w:rPr>
          <w:rFonts w:hint="eastAsia"/>
        </w:rPr>
      </w:pPr>
    </w:p>
    <w:p w:rsidR="00E65B1E" w:rsidRPr="00E65B1E" w:rsidRDefault="00E65B1E" w:rsidP="00E65B1E">
      <w:pPr>
        <w:rPr>
          <w:rFonts w:hint="eastAsia"/>
        </w:rPr>
      </w:pPr>
    </w:p>
    <w:sectPr w:rsidR="00E65B1E" w:rsidRPr="00E65B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1E"/>
    <w:rsid w:val="002873B2"/>
    <w:rsid w:val="00CA7B7F"/>
    <w:rsid w:val="00E65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B45E2"/>
  <w15:chartTrackingRefBased/>
  <w15:docId w15:val="{DCDA9CF6-E083-43FD-B014-B94CA9F69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65B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E65B1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5B1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65B1E"/>
    <w:rPr>
      <w:b/>
      <w:bCs/>
      <w:kern w:val="44"/>
      <w:sz w:val="44"/>
      <w:szCs w:val="44"/>
    </w:rPr>
  </w:style>
  <w:style w:type="character" w:customStyle="1" w:styleId="40">
    <w:name w:val="标题 4 字符"/>
    <w:basedOn w:val="a0"/>
    <w:link w:val="4"/>
    <w:uiPriority w:val="9"/>
    <w:semiHidden/>
    <w:rsid w:val="00E65B1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标题 2 字符"/>
    <w:basedOn w:val="a0"/>
    <w:link w:val="2"/>
    <w:uiPriority w:val="9"/>
    <w:rsid w:val="00E65B1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Suhong</dc:creator>
  <cp:keywords/>
  <dc:description/>
  <cp:lastModifiedBy>Wang Suhong</cp:lastModifiedBy>
  <cp:revision>1</cp:revision>
  <dcterms:created xsi:type="dcterms:W3CDTF">2020-01-14T10:33:00Z</dcterms:created>
  <dcterms:modified xsi:type="dcterms:W3CDTF">2020-01-14T10:40:00Z</dcterms:modified>
</cp:coreProperties>
</file>