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7AF4159C" wp14:editId="47296D7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58745D" id="Group 2" o:spid="_x0000_s1026" style="position:absolute;margin-left:-4.15pt;margin-top:-27.5pt;width:23.3pt;height:24.6pt;z-index:25165363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5680" behindDoc="0" locked="0" layoutInCell="1" allowOverlap="1" wp14:anchorId="00EDF105" wp14:editId="1B5A55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4656" behindDoc="0" locked="0" layoutInCell="1" allowOverlap="1" wp14:anchorId="4343FD4C" wp14:editId="738F5B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29AB2A" w:rsidR="008A4B4C" w:rsidRPr="005B217D" w:rsidRDefault="00E61DAC" w:rsidP="00EA40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A40C6">
              <w:rPr>
                <w:lang w:val="en-CA"/>
              </w:rPr>
              <w:t>0051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46E643" w:rsidR="00E61DAC" w:rsidRPr="005B217D" w:rsidRDefault="0014413C" w:rsidP="00721A2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721A2C">
              <w:rPr>
                <w:b/>
                <w:szCs w:val="22"/>
                <w:lang w:val="en-CA"/>
              </w:rPr>
              <w:t>nalysis of the Energy-Time Relationship for VVC and HEVC Software Video Decoders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D8E031" w:rsidR="00E61DAC" w:rsidRPr="005B217D" w:rsidRDefault="0014413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E1D3D9" w:rsidR="00E61DAC" w:rsidRPr="005B217D" w:rsidRDefault="001441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Informative</w:t>
            </w:r>
          </w:p>
        </w:tc>
      </w:tr>
      <w:tr w:rsidR="0014413C" w:rsidRPr="005B217D" w14:paraId="714CD808" w14:textId="77777777" w:rsidTr="000962AC">
        <w:tc>
          <w:tcPr>
            <w:tcW w:w="1458" w:type="dxa"/>
          </w:tcPr>
          <w:p w14:paraId="4DB59313" w14:textId="6C7DB26C" w:rsidR="0014413C" w:rsidRPr="005B217D" w:rsidRDefault="0014413C" w:rsidP="0014413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ACFC5F" w14:textId="77777777" w:rsidR="0014413C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 Kränzler</w:t>
            </w:r>
          </w:p>
          <w:p w14:paraId="345A789E" w14:textId="77777777" w:rsidR="0014413C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 Herglotz</w:t>
            </w:r>
          </w:p>
          <w:p w14:paraId="49D81240" w14:textId="0DD21068" w:rsidR="0014413C" w:rsidRPr="005B217D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André Kaup</w:t>
            </w:r>
          </w:p>
        </w:tc>
        <w:tc>
          <w:tcPr>
            <w:tcW w:w="900" w:type="dxa"/>
          </w:tcPr>
          <w:p w14:paraId="0140ECA2" w14:textId="4B6EA477" w:rsidR="0014413C" w:rsidRPr="005B217D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7ACBB1" w14:textId="77777777" w:rsidR="0014413C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+49 9131 85 27105</w:t>
            </w:r>
          </w:p>
          <w:p w14:paraId="06E5230A" w14:textId="77777777" w:rsidR="0014413C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matthias.kraenzler@fau.de</w:t>
            </w:r>
          </w:p>
          <w:p w14:paraId="1F7DF307" w14:textId="77777777" w:rsidR="0014413C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christian.herglotz@fau.de</w:t>
            </w:r>
          </w:p>
          <w:p w14:paraId="32C2ABFD" w14:textId="3DE11674" w:rsidR="0014413C" w:rsidRPr="005B217D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andre.kaup@fau.de</w:t>
            </w:r>
          </w:p>
        </w:tc>
      </w:tr>
      <w:tr w:rsidR="0014413C" w:rsidRPr="005B217D" w14:paraId="49AFAA61" w14:textId="77777777" w:rsidTr="000962AC">
        <w:tc>
          <w:tcPr>
            <w:tcW w:w="1458" w:type="dxa"/>
          </w:tcPr>
          <w:p w14:paraId="2C08AF6B" w14:textId="05EC366C" w:rsidR="0014413C" w:rsidRPr="005B217D" w:rsidRDefault="0014413C" w:rsidP="0014413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D5A0E4B" w14:textId="77777777" w:rsidR="00645B27" w:rsidRDefault="0014413C" w:rsidP="001441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Multimedia Communications and Signal Processing, </w:t>
            </w:r>
          </w:p>
          <w:p w14:paraId="643E6B85" w14:textId="362A9206" w:rsidR="0014413C" w:rsidRPr="005B217D" w:rsidRDefault="0014413C" w:rsidP="003532C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Friedrich-Alexander Universität</w:t>
            </w:r>
            <w:r w:rsidR="00645B2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Erlangen-Nürnberg (FAU)</w:t>
            </w:r>
          </w:p>
        </w:tc>
      </w:tr>
    </w:tbl>
    <w:p w14:paraId="732815A4" w14:textId="77777777" w:rsidR="00E61DAC" w:rsidRPr="005B217D" w:rsidRDefault="00E61DAC" w:rsidP="003532C0">
      <w:pPr>
        <w:tabs>
          <w:tab w:val="right" w:pos="9360"/>
        </w:tabs>
        <w:spacing w:before="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70042A" w14:textId="2E69D394" w:rsidR="0014413C" w:rsidRDefault="0014413C" w:rsidP="0014413C">
      <w:pPr>
        <w:rPr>
          <w:szCs w:val="22"/>
          <w:lang w:val="en-CA"/>
        </w:rPr>
      </w:pPr>
      <w:r>
        <w:rPr>
          <w:szCs w:val="22"/>
          <w:lang w:val="en-CA"/>
        </w:rPr>
        <w:t>This contribution compares the decoding energ</w:t>
      </w:r>
      <w:r w:rsidR="00E07979">
        <w:rPr>
          <w:szCs w:val="22"/>
          <w:lang w:val="en-CA"/>
        </w:rPr>
        <w:t xml:space="preserve">y and time of VTM-7.0 </w:t>
      </w:r>
      <w:r>
        <w:rPr>
          <w:szCs w:val="22"/>
          <w:lang w:val="en-CA"/>
        </w:rPr>
        <w:t xml:space="preserve">with HM-16.20. The measurements are evaluated with different metrics of the </w:t>
      </w:r>
      <w:r>
        <w:rPr>
          <w:lang w:val="en-CA"/>
        </w:rPr>
        <w:t>Bjøntegaard</w:t>
      </w:r>
      <w:r w:rsidRPr="00C00164">
        <w:rPr>
          <w:szCs w:val="22"/>
          <w:lang w:val="en-CA"/>
        </w:rPr>
        <w:t>-Delta</w:t>
      </w:r>
      <w:r>
        <w:rPr>
          <w:szCs w:val="22"/>
          <w:lang w:val="en-CA"/>
        </w:rPr>
        <w:t xml:space="preserve"> calculus. The evaluation of the decoding energy measurements reveals that the energy demand </w:t>
      </w:r>
      <w:r w:rsidR="00D253DD">
        <w:rPr>
          <w:szCs w:val="22"/>
          <w:lang w:val="en-CA"/>
        </w:rPr>
        <w:t>is increased by up to 83</w:t>
      </w:r>
      <w:r>
        <w:rPr>
          <w:szCs w:val="22"/>
          <w:lang w:val="en-CA"/>
        </w:rPr>
        <w:t xml:space="preserve">% and the decoding time by </w:t>
      </w:r>
      <w:r w:rsidR="00D253DD">
        <w:rPr>
          <w:szCs w:val="22"/>
          <w:lang w:val="en-CA"/>
        </w:rPr>
        <w:t>up to 71% for the VTM</w:t>
      </w:r>
      <w:r w:rsidR="00E07979">
        <w:rPr>
          <w:szCs w:val="22"/>
          <w:lang w:val="en-CA"/>
        </w:rPr>
        <w:t>-7</w:t>
      </w:r>
      <w:r>
        <w:rPr>
          <w:szCs w:val="22"/>
          <w:lang w:val="en-CA"/>
        </w:rPr>
        <w:t xml:space="preserve">.0 </w:t>
      </w:r>
      <w:r w:rsidR="00D253DD">
        <w:rPr>
          <w:szCs w:val="22"/>
          <w:lang w:val="en-CA"/>
        </w:rPr>
        <w:t>decoder compared to HM-16.2</w:t>
      </w:r>
      <w:r w:rsidR="00040235">
        <w:rPr>
          <w:szCs w:val="22"/>
          <w:lang w:val="en-CA"/>
        </w:rPr>
        <w:t>0</w:t>
      </w:r>
      <w:r>
        <w:rPr>
          <w:szCs w:val="22"/>
          <w:lang w:val="en-CA"/>
        </w:rPr>
        <w:t>. Finally, the decoding energy demands are modeled exploiting the decoding times of the bit stre</w:t>
      </w:r>
      <w:r w:rsidR="00040235">
        <w:rPr>
          <w:szCs w:val="22"/>
          <w:lang w:val="en-CA"/>
        </w:rPr>
        <w:t>ams with a mean accuracy of 1.41</w:t>
      </w:r>
      <w:r>
        <w:rPr>
          <w:szCs w:val="22"/>
          <w:lang w:val="en-CA"/>
        </w:rPr>
        <w:t xml:space="preserve">% </w:t>
      </w:r>
      <w:r w:rsidR="00040235">
        <w:rPr>
          <w:szCs w:val="22"/>
          <w:lang w:val="en-CA"/>
        </w:rPr>
        <w:t>for HM-16.20 and 1.05</w:t>
      </w:r>
      <w:r>
        <w:rPr>
          <w:szCs w:val="22"/>
          <w:lang w:val="en-CA"/>
        </w:rPr>
        <w:t>%</w:t>
      </w:r>
      <w:r w:rsidR="00040235">
        <w:rPr>
          <w:szCs w:val="22"/>
          <w:lang w:val="en-CA"/>
        </w:rPr>
        <w:t xml:space="preserve"> for VTM-7.0</w:t>
      </w:r>
      <w:r>
        <w:rPr>
          <w:szCs w:val="22"/>
          <w:lang w:val="en-CA"/>
        </w:rPr>
        <w:t xml:space="preserve">, respectively. </w:t>
      </w:r>
    </w:p>
    <w:p w14:paraId="195C853E" w14:textId="77777777" w:rsidR="0014413C" w:rsidRDefault="0014413C" w:rsidP="0014413C">
      <w:pPr>
        <w:pStyle w:val="berschrift1"/>
        <w:numPr>
          <w:ilvl w:val="0"/>
          <w:numId w:val="12"/>
        </w:numPr>
        <w:overflowPunct/>
        <w:autoSpaceDE/>
        <w:autoSpaceDN/>
        <w:adjustRightInd/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0D706807" w14:textId="77777777" w:rsidR="0014413C" w:rsidRDefault="0014413C" w:rsidP="0014413C">
      <w:pPr>
        <w:rPr>
          <w:lang w:val="en-CA"/>
        </w:rPr>
      </w:pPr>
      <w:r>
        <w:rPr>
          <w:lang w:val="en-CA"/>
        </w:rPr>
        <w:t xml:space="preserve">Conventional assessment of the computational complexity of encoding and decoding is usually performed using the execution time returned by Linux functions or C++-commands. However, it is useful to also consider other metrics like the power or the energy consumption, which are of high interest for end-users. A method for measuring and evaluating the energy requirements of encoding and decoding was proposed in [1] and [2]. </w:t>
      </w:r>
    </w:p>
    <w:p w14:paraId="2C53997B" w14:textId="77777777" w:rsidR="0014413C" w:rsidRDefault="0014413C" w:rsidP="0014413C">
      <w:pPr>
        <w:rPr>
          <w:lang w:val="en-CA"/>
        </w:rPr>
      </w:pPr>
      <w:r>
        <w:rPr>
          <w:lang w:val="en-CA"/>
        </w:rPr>
        <w:t xml:space="preserve">This document presents an analysis of the relation between the decoding time and the decoding energy and provides the following insights: </w:t>
      </w:r>
    </w:p>
    <w:p w14:paraId="4EA6CAF1" w14:textId="74ED8073" w:rsidR="0014413C" w:rsidRDefault="0014413C" w:rsidP="0014413C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Using a simple linear model, the decoding energy can be estimated accurately </w:t>
      </w:r>
      <w:r w:rsidR="00A44E1E">
        <w:rPr>
          <w:szCs w:val="22"/>
          <w:lang w:val="en-CA"/>
        </w:rPr>
        <w:t xml:space="preserve">for the reference software implementations </w:t>
      </w:r>
      <w:r>
        <w:rPr>
          <w:szCs w:val="22"/>
          <w:lang w:val="en-CA"/>
        </w:rPr>
        <w:t xml:space="preserve">using the decoding time as an input parameter. </w:t>
      </w:r>
    </w:p>
    <w:p w14:paraId="5665AF04" w14:textId="52E69792" w:rsidR="000B4F46" w:rsidRDefault="000B4F46" w:rsidP="0014413C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FFmpeg, the time model has an estimation error of over 50%, which shows the need for </w:t>
      </w:r>
      <w:r w:rsidR="00966986">
        <w:rPr>
          <w:szCs w:val="22"/>
          <w:lang w:val="en-CA"/>
        </w:rPr>
        <w:t>an alternative</w:t>
      </w:r>
      <w:r>
        <w:rPr>
          <w:szCs w:val="22"/>
          <w:lang w:val="en-CA"/>
        </w:rPr>
        <w:t xml:space="preserve"> modeling function (e.g. bit stream feature-based models)</w:t>
      </w:r>
    </w:p>
    <w:p w14:paraId="6FC462C1" w14:textId="77777777" w:rsidR="0014413C" w:rsidRDefault="0014413C" w:rsidP="0014413C">
      <w:pPr>
        <w:rPr>
          <w:lang w:val="en-CA"/>
        </w:rPr>
      </w:pPr>
      <w:r>
        <w:rPr>
          <w:szCs w:val="22"/>
          <w:lang w:val="en-CA"/>
        </w:rPr>
        <w:t xml:space="preserve">Chapter 2 presents decoding energy and decoding time results from measurements. Chapter 3 shows a linear model describing the mathematical relation between the decoding energy and the decoding time. </w:t>
      </w:r>
    </w:p>
    <w:p w14:paraId="5C0D72D5" w14:textId="77777777" w:rsidR="0014413C" w:rsidRDefault="0014413C" w:rsidP="0014413C">
      <w:pPr>
        <w:tabs>
          <w:tab w:val="clear" w:pos="720"/>
        </w:tabs>
        <w:rPr>
          <w:lang w:val="en-CA"/>
        </w:rPr>
      </w:pPr>
    </w:p>
    <w:p w14:paraId="0AFB44CD" w14:textId="77777777" w:rsidR="0014413C" w:rsidRDefault="0014413C" w:rsidP="0014413C">
      <w:pPr>
        <w:tabs>
          <w:tab w:val="clear" w:pos="720"/>
        </w:tabs>
        <w:rPr>
          <w:lang w:val="en-CA"/>
        </w:rPr>
      </w:pPr>
    </w:p>
    <w:p w14:paraId="648B23C5" w14:textId="77777777" w:rsidR="0014413C" w:rsidRDefault="0014413C" w:rsidP="0014413C">
      <w:pPr>
        <w:tabs>
          <w:tab w:val="clear" w:pos="720"/>
        </w:tabs>
        <w:rPr>
          <w:lang w:val="en-CA"/>
        </w:rPr>
      </w:pPr>
    </w:p>
    <w:p w14:paraId="48E8185A" w14:textId="77777777" w:rsidR="0014413C" w:rsidRDefault="0014413C" w:rsidP="0014413C">
      <w:pPr>
        <w:tabs>
          <w:tab w:val="clear" w:pos="720"/>
        </w:tabs>
        <w:rPr>
          <w:lang w:val="en-CA"/>
        </w:rPr>
      </w:pPr>
    </w:p>
    <w:p w14:paraId="1C96A28C" w14:textId="09DB64CF" w:rsidR="00456E4F" w:rsidRPr="00AE5676" w:rsidRDefault="00C15390" w:rsidP="00456E4F">
      <w:pPr>
        <w:pStyle w:val="berschrift1"/>
        <w:numPr>
          <w:ilvl w:val="0"/>
          <w:numId w:val="12"/>
        </w:numPr>
        <w:overflowPunct/>
        <w:autoSpaceDE/>
        <w:autoSpaceDN/>
        <w:adjustRightInd/>
        <w:ind w:left="360" w:hanging="360"/>
        <w:rPr>
          <w:lang w:val="en-C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113C302" wp14:editId="71D93130">
                <wp:simplePos x="0" y="0"/>
                <wp:positionH relativeFrom="margin">
                  <wp:posOffset>0</wp:posOffset>
                </wp:positionH>
                <wp:positionV relativeFrom="paragraph">
                  <wp:posOffset>2492375</wp:posOffset>
                </wp:positionV>
                <wp:extent cx="5943600" cy="635"/>
                <wp:effectExtent l="0" t="0" r="0" b="0"/>
                <wp:wrapTopAndBottom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3182E01" w14:textId="45DE2046" w:rsidR="00B40812" w:rsidRPr="00DB5CC6" w:rsidRDefault="00B40812" w:rsidP="00AE5676">
                            <w:pPr>
                              <w:pStyle w:val="Beschriftung"/>
                              <w:spacing w:before="0"/>
                              <w:rPr>
                                <w:rFonts w:cs="Arial"/>
                                <w:b/>
                                <w:bCs/>
                                <w:noProof/>
                                <w:color w:val="auto"/>
                                <w:kern w:val="32"/>
                              </w:rPr>
                            </w:pPr>
                            <w:r>
                              <w:t>Figure 2: Diagram of the energy and time demand of the VTM decoder</w:t>
                            </w:r>
                            <w:r w:rsidR="00A44E1E">
                              <w:t>.</w:t>
                            </w:r>
                            <w:r w:rsidR="00A44E1E" w:rsidRPr="00A44E1E">
                              <w:t xml:space="preserve"> </w:t>
                            </w:r>
                            <w:r w:rsidR="00A44E1E">
                              <w:t>Each blue marker represents the decoding time and the decoding energy of one bit stream. The red line corresponds to the linear estimation function.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13C302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6" type="#_x0000_t202" style="position:absolute;left:0;text-align:left;margin-left:0;margin-top:196.25pt;width:468pt;height:.05pt;z-index:2516648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" stroked="f">
                <v:textbox style="mso-fit-shape-to-text:t" inset="0,0,0,0">
                  <w:txbxContent>
                    <w:p w14:paraId="03182E01" w14:textId="45DE2046" w:rsidR="00B40812" w:rsidRPr="00DB5CC6" w:rsidRDefault="00B40812" w:rsidP="00AE5676">
                      <w:pPr>
                        <w:pStyle w:val="Beschriftung"/>
                        <w:spacing w:before="0"/>
                        <w:rPr>
                          <w:rFonts w:cs="Arial"/>
                          <w:b/>
                          <w:bCs/>
                          <w:noProof/>
                          <w:color w:val="auto"/>
                          <w:kern w:val="32"/>
                        </w:rPr>
                      </w:pPr>
                      <w:r>
                        <w:t>Figure 2: Diagram of the energy and time demand of the VTM decoder</w:t>
                      </w:r>
                      <w:r w:rsidR="00A44E1E">
                        <w:t>.</w:t>
                      </w:r>
                      <w:r w:rsidR="00A44E1E" w:rsidRPr="00A44E1E">
                        <w:t xml:space="preserve"> </w:t>
                      </w:r>
                      <w:r w:rsidR="00A44E1E">
                        <w:t>Each blue marker represents the decoding time and the decoding energy of one bit stream. The red line corresponds to the linear estimation function</w:t>
                      </w:r>
                      <w:r w:rsidR="00A44E1E"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848" behindDoc="0" locked="0" layoutInCell="1" allowOverlap="1" wp14:anchorId="6E279F16" wp14:editId="106AF22C">
            <wp:simplePos x="0" y="0"/>
            <wp:positionH relativeFrom="margin">
              <wp:posOffset>774700</wp:posOffset>
            </wp:positionH>
            <wp:positionV relativeFrom="paragraph">
              <wp:posOffset>243942</wp:posOffset>
            </wp:positionV>
            <wp:extent cx="4114165" cy="2226945"/>
            <wp:effectExtent l="0" t="0" r="635" b="1905"/>
            <wp:wrapTopAndBottom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TMTimeEnergyModeling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6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413C">
        <w:rPr>
          <w:lang w:val="en-CA"/>
        </w:rPr>
        <w:t>Decoding Time and Energy Dependency</w:t>
      </w:r>
    </w:p>
    <w:p w14:paraId="6996EE99" w14:textId="138BEF36" w:rsidR="0014413C" w:rsidRDefault="0014413C" w:rsidP="0014413C">
      <w:pPr>
        <w:spacing w:before="0"/>
        <w:rPr>
          <w:lang w:val="en-CA"/>
        </w:rPr>
      </w:pPr>
      <w:r>
        <w:rPr>
          <w:lang w:val="en-CA"/>
        </w:rPr>
        <w:t xml:space="preserve">Next to a joint assessment of the decoding energies and decoding times, it is interesting to investigate the relation between both. </w:t>
      </w:r>
      <w:r w:rsidR="00C94F5E">
        <w:rPr>
          <w:lang w:val="en-CA"/>
        </w:rPr>
        <w:t xml:space="preserve">In Figure 2, measured energies of the VTM-decoder are shown by blue markers. We can see that energy and time have </w:t>
      </w:r>
      <w:r w:rsidR="00C94F5E">
        <w:t>a</w:t>
      </w:r>
      <w:r w:rsidR="00A44E1E">
        <w:t>n approximately</w:t>
      </w:r>
      <w:r w:rsidR="00C94F5E">
        <w:t xml:space="preserve"> linear relationship. The red curve in the diagram shows the </w:t>
      </w:r>
      <w:r w:rsidR="00A44E1E">
        <w:t>fitted curve</w:t>
      </w:r>
      <w:r w:rsidR="00C94F5E">
        <w:t xml:space="preserve">, which will be explained in detail in the following. </w:t>
      </w:r>
      <w:r w:rsidR="004A552F">
        <w:rPr>
          <w:lang w:val="en-CA"/>
        </w:rPr>
        <w:t>According to [3</w:t>
      </w:r>
      <w:r>
        <w:rPr>
          <w:lang w:val="en-CA"/>
        </w:rPr>
        <w:t>], the decoding energy can be estimated by</w:t>
      </w:r>
    </w:p>
    <w:tbl>
      <w:tblPr>
        <w:tblStyle w:val="Tabellenraster"/>
        <w:tblpPr w:leftFromText="180" w:rightFromText="180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8647"/>
        <w:gridCol w:w="713"/>
      </w:tblGrid>
      <w:tr w:rsidR="0014413C" w14:paraId="00365785" w14:textId="77777777" w:rsidTr="00B41D91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14:paraId="5E4C5C5D" w14:textId="77777777" w:rsidR="0014413C" w:rsidRPr="00A02D9A" w:rsidRDefault="00EA40C6" w:rsidP="00C94F5E">
            <w:pPr>
              <w:spacing w:before="0" w:after="240" w:line="216" w:lineRule="auto"/>
              <w:jc w:val="center"/>
              <w:rPr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dec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ⅆec</m:t>
                  </m:r>
                </m:sub>
              </m:sSub>
            </m:oMath>
            <w:r w:rsidR="0014413C">
              <w:rPr>
                <w:szCs w:val="22"/>
                <w:lang w:val="en-CA"/>
              </w:rPr>
              <w:t xml:space="preserve"> ,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80547F" w14:textId="77777777" w:rsidR="0014413C" w:rsidRDefault="0014413C" w:rsidP="00B41D91">
            <w:pPr>
              <w:spacing w:before="0" w:line="216" w:lineRule="auto"/>
              <w:rPr>
                <w:lang w:val="en-CA"/>
              </w:rPr>
            </w:pPr>
            <w:r>
              <w:rPr>
                <w:lang w:val="en-CA"/>
              </w:rPr>
              <w:t>(3.1)</w:t>
            </w:r>
          </w:p>
        </w:tc>
      </w:tr>
    </w:tbl>
    <w:p w14:paraId="3FC83274" w14:textId="3B6B578C" w:rsidR="0014413C" w:rsidRDefault="0014413C" w:rsidP="0014413C">
      <w:pPr>
        <w:spacing w:before="0"/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is a constant energy offset that is needed to initialize the decoding process, </w:t>
      </w:r>
      <m:oMath>
        <m:r>
          <w:rPr>
            <w:rFonts w:ascii="Cambria Math" w:hAnsi="Cambria Math"/>
            <w:lang w:val="en-CA"/>
          </w:rPr>
          <m:t>P</m:t>
        </m:r>
      </m:oMath>
      <w:r>
        <w:rPr>
          <w:lang w:val="en-CA"/>
        </w:rPr>
        <w:t xml:space="preserve"> is the constant power during the decoding of a bit stream,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ⅆec</m:t>
            </m:r>
          </m:sub>
        </m:sSub>
      </m:oMath>
      <w:r>
        <w:rPr>
          <w:lang w:val="en-CA"/>
        </w:rPr>
        <w:t xml:space="preserve"> is the duration </w:t>
      </w:r>
      <w:r w:rsidR="00A44E1E">
        <w:rPr>
          <w:lang w:val="en-CA"/>
        </w:rPr>
        <w:t>of the decoding process</w:t>
      </w:r>
      <w:r>
        <w:rPr>
          <w:lang w:val="en-CA"/>
        </w:rPr>
        <w:t xml:space="preserve">. For the training of the parameters of (3.1), a least-squares curve fitting is performed with a trust-region reflective algorithm </w:t>
      </w:r>
      <w:r w:rsidRPr="00AC0DFF">
        <w:t>[</w:t>
      </w:r>
      <w:r w:rsidR="004A552F">
        <w:t>4</w:t>
      </w:r>
      <w:r w:rsidRPr="00AC0DFF">
        <w:t xml:space="preserve">]. </w:t>
      </w:r>
      <w:r>
        <w:t xml:space="preserve">In order to evaluate the modeling accuracy, the mean estimation error </w:t>
      </w:r>
      <m:oMath>
        <m:acc>
          <m:accPr>
            <m:chr m:val="̅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w:rPr>
                <w:rFonts w:ascii="Cambria Math" w:hAnsi="Cambria Math"/>
                <w:lang w:val="en-CA"/>
              </w:rPr>
              <m:t xml:space="preserve"> ε </m:t>
            </m:r>
          </m:e>
        </m:acc>
      </m:oMath>
      <w:r>
        <w:t>is calculated by</w:t>
      </w:r>
    </w:p>
    <w:tbl>
      <w:tblPr>
        <w:tblStyle w:val="Tabellenraster"/>
        <w:tblpPr w:leftFromText="180" w:rightFromText="180" w:vertAnchor="text" w:horzAnchor="margin" w:tblpY="156"/>
        <w:tblW w:w="9582" w:type="dxa"/>
        <w:tblLook w:val="04A0" w:firstRow="1" w:lastRow="0" w:firstColumn="1" w:lastColumn="0" w:noHBand="0" w:noVBand="1"/>
      </w:tblPr>
      <w:tblGrid>
        <w:gridCol w:w="8647"/>
        <w:gridCol w:w="935"/>
      </w:tblGrid>
      <w:tr w:rsidR="0014413C" w14:paraId="5EEAAED3" w14:textId="77777777" w:rsidTr="00B41D91">
        <w:trPr>
          <w:trHeight w:val="261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45B43" w14:textId="77777777" w:rsidR="0014413C" w:rsidRDefault="00EA40C6" w:rsidP="00F26AF6">
            <w:pPr>
              <w:spacing w:before="0" w:after="240" w:line="216" w:lineRule="auto"/>
              <w:jc w:val="center"/>
              <w:rPr>
                <w:lang w:val="en-CA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ε </m:t>
                  </m:r>
                </m:e>
              </m:acc>
              <m:r>
                <w:rPr>
                  <w:rFonts w:ascii="Cambria Math" w:hAnsi="Cambria Math"/>
                  <w:lang w:val="en-C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E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dec,</m:t>
                              </m:r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dec,</m:t>
                              </m:r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n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dec,</m:t>
                              </m:r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n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</m:oMath>
            <w:r w:rsidR="0014413C">
              <w:rPr>
                <w:szCs w:val="22"/>
                <w:lang w:val="en-CA"/>
              </w:rPr>
              <w:t xml:space="preserve"> ,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9609140" w14:textId="77777777" w:rsidR="0014413C" w:rsidRDefault="0014413C" w:rsidP="00B41D91">
            <w:pPr>
              <w:spacing w:line="216" w:lineRule="auto"/>
              <w:rPr>
                <w:lang w:val="en-CA"/>
              </w:rPr>
            </w:pPr>
            <w:r>
              <w:rPr>
                <w:lang w:val="en-CA"/>
              </w:rPr>
              <w:t>(3.2)</w:t>
            </w:r>
          </w:p>
          <w:p w14:paraId="1F6E20BD" w14:textId="2AD285B7" w:rsidR="00F26AF6" w:rsidRDefault="00F26AF6" w:rsidP="00B41D91">
            <w:pPr>
              <w:spacing w:line="216" w:lineRule="auto"/>
              <w:rPr>
                <w:lang w:val="en-CA"/>
              </w:rPr>
            </w:pPr>
          </w:p>
        </w:tc>
      </w:tr>
    </w:tbl>
    <w:p w14:paraId="0480557A" w14:textId="2A45F5F7" w:rsidR="00F26AF6" w:rsidRDefault="0014413C" w:rsidP="00A44E1E">
      <w:pPr>
        <w:spacing w:before="0" w:after="240"/>
      </w:pPr>
      <w:r>
        <w:t xml:space="preserve">where </w:t>
      </w:r>
      <w:r w:rsidRPr="006B62D7">
        <w:rPr>
          <w:i/>
        </w:rPr>
        <w:t>N</w:t>
      </w:r>
      <w:r>
        <w:t xml:space="preserve"> is the number of bit streams in the evaluated setup, </w:t>
      </w:r>
      <w:r w:rsidRPr="006B62D7">
        <w:rPr>
          <w:i/>
        </w:rPr>
        <w:t>n</w:t>
      </w:r>
      <w:r>
        <w:rPr>
          <w:i/>
        </w:rPr>
        <w:t xml:space="preserve"> </w:t>
      </w:r>
      <w:r>
        <w:t xml:space="preserve">the index of the bit stream within the setup,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E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dec,</m:t>
            </m:r>
            <m:r>
              <w:rPr>
                <w:rFonts w:ascii="Cambria Math" w:hAnsi="Cambria Math"/>
                <w:lang w:val="en-CA"/>
              </w:rPr>
              <m:t>n</m:t>
            </m:r>
          </m:sub>
        </m:sSub>
      </m:oMath>
      <w:r>
        <w:rPr>
          <w:lang w:val="en-CA"/>
        </w:rPr>
        <w:t xml:space="preserve"> is the estimated decoding energy for a specific bit stream </w:t>
      </w:r>
      <w:r w:rsidRPr="006B62D7">
        <w:rPr>
          <w:i/>
          <w:lang w:val="en-CA"/>
        </w:rPr>
        <w:t>n</w:t>
      </w:r>
      <w:r>
        <w:rPr>
          <w:lang w:val="en-CA"/>
        </w:rPr>
        <w:t>,</w:t>
      </w:r>
      <w:r w:rsidR="00A44E1E">
        <w:rPr>
          <w:lang w:val="en-CA"/>
        </w:rPr>
        <w:t xml:space="preserve"> and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dec,</m:t>
            </m:r>
            <m:r>
              <w:rPr>
                <w:rFonts w:ascii="Cambria Math" w:hAnsi="Cambria Math"/>
                <w:lang w:val="en-CA"/>
              </w:rPr>
              <m:t>n</m:t>
            </m:r>
          </m:sub>
        </m:sSub>
      </m:oMath>
      <w:r>
        <w:rPr>
          <w:lang w:val="en-CA"/>
        </w:rPr>
        <w:t xml:space="preserve"> is the measured decoding energy for a specific bit stream </w:t>
      </w:r>
      <w:r w:rsidRPr="006B62D7">
        <w:rPr>
          <w:i/>
          <w:lang w:val="en-CA"/>
        </w:rPr>
        <w:t>n</w:t>
      </w:r>
      <w:r>
        <w:rPr>
          <w:lang w:val="en-CA"/>
        </w:rPr>
        <w:t xml:space="preserve">. </w:t>
      </w:r>
    </w:p>
    <w:p w14:paraId="5E401858" w14:textId="1F4E4E9A" w:rsidR="00253AA7" w:rsidRDefault="00A44E1E" w:rsidP="00A44E1E">
      <w:pPr>
        <w:spacing w:before="0" w:after="240"/>
        <w:rPr>
          <w:lang w:val="en-CA"/>
        </w:rPr>
      </w:pPr>
      <w:r>
        <w:t>With this model, t</w:t>
      </w:r>
      <w:r w:rsidR="0014413C">
        <w:t xml:space="preserve">he HM and the VTM setup have </w:t>
      </w:r>
      <w:r w:rsidR="00ED30C0">
        <w:t>an</w:t>
      </w:r>
      <w:r w:rsidR="0014413C">
        <w:t xml:space="preserve"> </w:t>
      </w:r>
      <w:r w:rsidR="00F26AF6">
        <w:t>estimation error of 1.41% and 1.05</w:t>
      </w:r>
      <w:r w:rsidR="00C94F5E">
        <w:t>%, respectively</w:t>
      </w:r>
      <w:r w:rsidR="0014413C">
        <w:t xml:space="preserve">. </w:t>
      </w:r>
      <w:r w:rsidR="0014413C">
        <w:rPr>
          <w:lang w:val="en-CA"/>
        </w:rPr>
        <w:t xml:space="preserve">The modeled values of </w:t>
      </w:r>
      <m:oMath>
        <m:r>
          <w:rPr>
            <w:rFonts w:ascii="Cambria Math" w:hAnsi="Cambria Math"/>
            <w:lang w:val="en-CA"/>
          </w:rPr>
          <m:t>P</m:t>
        </m:r>
      </m:oMath>
      <w:r w:rsidR="00F26AF6">
        <w:rPr>
          <w:lang w:val="en-CA"/>
        </w:rPr>
        <w:t xml:space="preserve"> are 21.26</w:t>
      </w:r>
      <w:r w:rsidR="0014413C">
        <w:rPr>
          <w:lang w:val="en-CA"/>
        </w:rPr>
        <w:t xml:space="preserve"> </w:t>
      </w:r>
      <w:r w:rsidR="00AE5676">
        <w:rPr>
          <w:lang w:val="en-CA"/>
        </w:rPr>
        <w:t xml:space="preserve">W for HM </w:t>
      </w:r>
      <w:r w:rsidR="00F26AF6">
        <w:rPr>
          <w:lang w:val="en-CA"/>
        </w:rPr>
        <w:t>and 22.09</w:t>
      </w:r>
      <w:r w:rsidR="00AE5676">
        <w:rPr>
          <w:lang w:val="en-CA"/>
        </w:rPr>
        <w:t xml:space="preserve"> W for VTM</w:t>
      </w:r>
      <w:r w:rsidR="0014413C">
        <w:rPr>
          <w:lang w:val="en-CA"/>
        </w:rPr>
        <w:t>, whic</w:t>
      </w:r>
      <w:r w:rsidR="00F26AF6">
        <w:rPr>
          <w:lang w:val="en-CA"/>
        </w:rPr>
        <w:t>h correspond</w:t>
      </w:r>
      <w:r>
        <w:rPr>
          <w:lang w:val="en-CA"/>
        </w:rPr>
        <w:t>s</w:t>
      </w:r>
      <w:r w:rsidR="00F26AF6">
        <w:rPr>
          <w:lang w:val="en-CA"/>
        </w:rPr>
        <w:t xml:space="preserve"> to an increase of approximately 4%</w:t>
      </w:r>
      <w:r w:rsidR="0014413C">
        <w:rPr>
          <w:lang w:val="en-CA"/>
        </w:rPr>
        <w:t xml:space="preserve">. </w:t>
      </w:r>
      <w:r w:rsidR="0015077B">
        <w:rPr>
          <w:lang w:val="en-CA"/>
        </w:rPr>
        <w:t xml:space="preserve">The higher value of </w:t>
      </w:r>
      <m:oMath>
        <m:r>
          <w:rPr>
            <w:rFonts w:ascii="Cambria Math" w:hAnsi="Cambria Math"/>
            <w:lang w:val="en-CA"/>
          </w:rPr>
          <m:t>P</m:t>
        </m:r>
      </m:oMath>
      <w:r w:rsidR="0015077B">
        <w:rPr>
          <w:lang w:val="en-CA"/>
        </w:rPr>
        <w:t xml:space="preserve"> indicates </w:t>
      </w:r>
      <w:r w:rsidR="0014413C">
        <w:rPr>
          <w:lang w:val="en-CA"/>
        </w:rPr>
        <w:t xml:space="preserve">that the decoding of equal bit streams with the same </w:t>
      </w:r>
      <w:r w:rsidR="0015077B">
        <w:rPr>
          <w:lang w:val="en-CA"/>
        </w:rPr>
        <w:t>decoding time</w:t>
      </w:r>
      <w:r w:rsidR="0014413C">
        <w:rPr>
          <w:lang w:val="en-CA"/>
        </w:rPr>
        <w:t xml:space="preserve"> results in a higher decoding energy</w:t>
      </w:r>
      <w:r w:rsidR="0015077B">
        <w:rPr>
          <w:lang w:val="en-CA"/>
        </w:rPr>
        <w:t xml:space="preserve"> demand</w:t>
      </w:r>
      <w:r w:rsidR="0014413C">
        <w:rPr>
          <w:lang w:val="en-CA"/>
        </w:rPr>
        <w:t xml:space="preserve"> for the VTM decoder. </w:t>
      </w:r>
      <w:r w:rsidR="0015077B">
        <w:rPr>
          <w:lang w:val="en-CA"/>
        </w:rPr>
        <w:t>Therefore, t</w:t>
      </w:r>
      <w:r w:rsidR="0014413C">
        <w:rPr>
          <w:lang w:val="en-CA"/>
        </w:rPr>
        <w:t xml:space="preserve">he increased value of </w:t>
      </w:r>
      <m:oMath>
        <m:r>
          <w:rPr>
            <w:rFonts w:ascii="Cambria Math" w:hAnsi="Cambria Math"/>
            <w:lang w:val="en-CA"/>
          </w:rPr>
          <m:t>P</m:t>
        </m:r>
      </m:oMath>
      <w:r w:rsidR="0014413C">
        <w:rPr>
          <w:lang w:val="en-CA"/>
        </w:rPr>
        <w:t xml:space="preserve"> explains the difference of the </w:t>
      </w:r>
      <w:r w:rsidR="00C15390">
        <w:rPr>
          <w:lang w:val="en-CA"/>
        </w:rPr>
        <w:t xml:space="preserve">higher values of </w:t>
      </w:r>
      <w:r w:rsidR="00C15390">
        <w:rPr>
          <w:szCs w:val="22"/>
        </w:rPr>
        <w:t>Bjøntegaard-Delta Decoding-Energy (BDDE) compared to Bjøntegaard-Delta-Decoding-Time (BDDT)</w:t>
      </w:r>
      <w:r w:rsidR="00C15390">
        <w:rPr>
          <w:lang w:val="en-CA"/>
        </w:rPr>
        <w:t xml:space="preserve"> in [1]</w:t>
      </w:r>
      <w:r w:rsidR="004A552F">
        <w:rPr>
          <w:lang w:val="en-CA"/>
        </w:rPr>
        <w:t>.</w:t>
      </w:r>
    </w:p>
    <w:p w14:paraId="01F877CD" w14:textId="29DF924C" w:rsidR="00456E4F" w:rsidRDefault="002C62AA" w:rsidP="002C62AA">
      <w:pPr>
        <w:spacing w:before="0"/>
        <w:rPr>
          <w:lang w:val="en-CA"/>
        </w:rPr>
      </w:pPr>
      <w:r>
        <w:rPr>
          <w:lang w:val="en-CA"/>
        </w:rPr>
        <w:t>Another possibility to decode HEVC bit streams is FFmpeg, which uses openHEVC as an optimized decoder [</w:t>
      </w:r>
      <w:r w:rsidR="004A552F">
        <w:rPr>
          <w:lang w:val="en-CA"/>
        </w:rPr>
        <w:t>5</w:t>
      </w:r>
      <w:r>
        <w:rPr>
          <w:lang w:val="en-CA"/>
        </w:rPr>
        <w:t>]. In this contribution, we use FFmpeg 4.</w:t>
      </w:r>
      <w:r w:rsidR="009B05F4">
        <w:rPr>
          <w:lang w:val="en-CA"/>
        </w:rPr>
        <w:t>2</w:t>
      </w:r>
      <w:r w:rsidR="00253AA7">
        <w:rPr>
          <w:lang w:val="en-CA"/>
        </w:rPr>
        <w:t xml:space="preserve">. With FFmpeg it is possible to decode HEVC bit streams </w:t>
      </w:r>
      <w:r w:rsidR="00C94F5E">
        <w:rPr>
          <w:lang w:val="en-CA"/>
        </w:rPr>
        <w:t>with multiple cores. In Figure 3, the decoding energies</w:t>
      </w:r>
      <w:r w:rsidR="00A44E1E">
        <w:rPr>
          <w:lang w:val="en-CA"/>
        </w:rPr>
        <w:t xml:space="preserve"> and respective decoding times</w:t>
      </w:r>
      <w:r w:rsidR="009B05F4">
        <w:rPr>
          <w:lang w:val="en-CA"/>
        </w:rPr>
        <w:t xml:space="preserve"> are shown by blue markers and the estimated decoding energy by a red curve. The modeling of the decoding energy for FFmpeg has an estimation error of 51.02%. Thus, the linear relationship between decoding energy and time can not be assumed for FFmpeg, which can be seen by the estimation errors between the blue markers and the red curve. </w:t>
      </w:r>
      <w:r w:rsidR="00A44E1E">
        <w:rPr>
          <w:lang w:val="en-CA"/>
        </w:rPr>
        <w:t xml:space="preserve">Hence, for other implementations, the decoding time is not sufficient for accurately estimating the decoding energy, such that other approaches like the use of feature-based </w:t>
      </w:r>
      <w:r w:rsidR="001C3ACD">
        <w:rPr>
          <w:lang w:val="en-CA"/>
        </w:rPr>
        <w:t xml:space="preserve">models </w:t>
      </w:r>
      <w:r w:rsidR="00A44E1E">
        <w:rPr>
          <w:lang w:val="en-CA"/>
        </w:rPr>
        <w:t>[</w:t>
      </w:r>
      <w:r w:rsidR="004A552F">
        <w:rPr>
          <w:lang w:val="en-CA"/>
        </w:rPr>
        <w:t>6</w:t>
      </w:r>
      <w:r w:rsidR="00A44E1E">
        <w:rPr>
          <w:lang w:val="en-CA"/>
        </w:rPr>
        <w:t>] must be applied</w:t>
      </w:r>
    </w:p>
    <w:p w14:paraId="341FFCEE" w14:textId="7C80DC11" w:rsidR="00456E4F" w:rsidRDefault="00456E4F" w:rsidP="002C62AA">
      <w:pPr>
        <w:spacing w:before="0"/>
        <w:rPr>
          <w:lang w:val="en-CA"/>
        </w:rPr>
      </w:pPr>
    </w:p>
    <w:p w14:paraId="7239385F" w14:textId="5C5E545C" w:rsidR="0014413C" w:rsidRDefault="00253AA7" w:rsidP="0014413C">
      <w:pPr>
        <w:pStyle w:val="berschrift1"/>
        <w:numPr>
          <w:ilvl w:val="0"/>
          <w:numId w:val="12"/>
        </w:numPr>
        <w:overflowPunct/>
        <w:autoSpaceDE/>
        <w:autoSpaceDN/>
        <w:adjustRightInd/>
        <w:ind w:left="360" w:hanging="360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05E0EF" wp14:editId="48A11BAB">
                <wp:simplePos x="0" y="0"/>
                <wp:positionH relativeFrom="margin">
                  <wp:align>right</wp:align>
                </wp:positionH>
                <wp:positionV relativeFrom="paragraph">
                  <wp:posOffset>2210003</wp:posOffset>
                </wp:positionV>
                <wp:extent cx="5935980" cy="635"/>
                <wp:effectExtent l="0" t="0" r="7620" b="0"/>
                <wp:wrapTopAndBottom/>
                <wp:docPr id="32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9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FF6F64" w14:textId="2001E832" w:rsidR="00253AA7" w:rsidRPr="003A67AF" w:rsidRDefault="00253AA7" w:rsidP="00253AA7">
                            <w:pPr>
                              <w:pStyle w:val="Beschriftung"/>
                              <w:spacing w:before="0"/>
                              <w:rPr>
                                <w:rFonts w:cs="Arial"/>
                                <w:b/>
                                <w:bCs/>
                                <w:noProof/>
                                <w:color w:val="auto"/>
                                <w:kern w:val="32"/>
                              </w:rPr>
                            </w:pPr>
                            <w:r w:rsidRPr="00B014F9">
                              <w:t>F</w:t>
                            </w:r>
                            <w:r>
                              <w:t>igure 3</w:t>
                            </w:r>
                            <w:r w:rsidRPr="00B014F9">
                              <w:t xml:space="preserve">: Diagram of the energy and time demand of the </w:t>
                            </w:r>
                            <w:r w:rsidR="00C94F5E">
                              <w:t>FFmpeg</w:t>
                            </w:r>
                            <w:r w:rsidRPr="00B014F9">
                              <w:t xml:space="preserve"> decoder. The red curve corresponds to the estimated decoding energy demand and the blue markers correspond to the measured decoding energies.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05E0EF" id="Textfeld 32" o:spid="_x0000_s1027" type="#_x0000_t202" style="position:absolute;left:0;text-align:left;margin-left:416.2pt;margin-top:174pt;width:467.4pt;height:.05pt;z-index:2516669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" stroked="f">
                <v:textbox style="mso-fit-shape-to-text:t" inset="0,0,0,0">
                  <w:txbxContent>
                    <w:p w14:paraId="4BFF6F64" w14:textId="2001E832" w:rsidR="00253AA7" w:rsidRPr="003A67AF" w:rsidRDefault="00253AA7" w:rsidP="00253AA7">
                      <w:pPr>
                        <w:pStyle w:val="Beschriftung"/>
                        <w:spacing w:before="0"/>
                        <w:rPr>
                          <w:rFonts w:cs="Arial"/>
                          <w:b/>
                          <w:bCs/>
                          <w:noProof/>
                          <w:color w:val="auto"/>
                          <w:kern w:val="32"/>
                        </w:rPr>
                      </w:pPr>
                      <w:r w:rsidRPr="00B014F9">
                        <w:t>F</w:t>
                      </w:r>
                      <w:r>
                        <w:t>igure 3</w:t>
                      </w:r>
                      <w:r w:rsidRPr="00B014F9">
                        <w:t xml:space="preserve">: Diagram of the energy and time demand of the </w:t>
                      </w:r>
                      <w:r w:rsidR="00C94F5E">
                        <w:t>FFmpeg</w:t>
                      </w:r>
                      <w:r w:rsidRPr="00B014F9">
                        <w:t xml:space="preserve"> decoder. The red curve corresponds to the estimated decoding energy demand and the blue markers correspond to the measured decoding energies.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824" behindDoc="0" locked="0" layoutInCell="1" allowOverlap="1" wp14:anchorId="6299F594" wp14:editId="37E47232">
            <wp:simplePos x="0" y="0"/>
            <wp:positionH relativeFrom="margin">
              <wp:posOffset>800735</wp:posOffset>
            </wp:positionH>
            <wp:positionV relativeFrom="paragraph">
              <wp:posOffset>0</wp:posOffset>
            </wp:positionV>
            <wp:extent cx="4077970" cy="2206625"/>
            <wp:effectExtent l="0" t="0" r="0" b="3175"/>
            <wp:wrapTopAndBottom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FmpegFai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970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413C">
        <w:rPr>
          <w:lang w:val="en-CA"/>
        </w:rPr>
        <w:t>Conclusion</w:t>
      </w:r>
    </w:p>
    <w:p w14:paraId="54ABF222" w14:textId="5C0F1310" w:rsidR="004A552F" w:rsidRDefault="0014413C" w:rsidP="00A44E1E">
      <w:pPr>
        <w:rPr>
          <w:lang w:val="en-CA"/>
        </w:rPr>
      </w:pPr>
      <w:r>
        <w:rPr>
          <w:lang w:val="en-CA"/>
        </w:rPr>
        <w:t xml:space="preserve">With the help of decoding energy measurements, it is determined that the VTM decoder has a </w:t>
      </w:r>
      <w:r>
        <w:t xml:space="preserve">disproportionately increased decoding </w:t>
      </w:r>
      <w:r>
        <w:rPr>
          <w:lang w:val="en-CA"/>
        </w:rPr>
        <w:t>energy demand in comparison to the increase in the decoding time.  Furthermore, it is shown that the decoding time can be used for accurate estimation of the decoding energy</w:t>
      </w:r>
      <w:r w:rsidR="009B05F4">
        <w:rPr>
          <w:lang w:val="en-CA"/>
        </w:rPr>
        <w:t xml:space="preserve"> for the HM- and VTM-decoder</w:t>
      </w:r>
      <w:r>
        <w:rPr>
          <w:lang w:val="en-CA"/>
        </w:rPr>
        <w:t>.</w:t>
      </w:r>
      <w:r w:rsidR="009B05F4">
        <w:rPr>
          <w:lang w:val="en-CA"/>
        </w:rPr>
        <w:t xml:space="preserve"> For FFmpeg, the modeling of the decoding energy </w:t>
      </w:r>
      <w:r w:rsidR="001C3ACD">
        <w:rPr>
          <w:lang w:val="en-CA"/>
        </w:rPr>
        <w:t>is highly</w:t>
      </w:r>
      <w:r w:rsidR="009B05F4">
        <w:rPr>
          <w:lang w:val="en-CA"/>
        </w:rPr>
        <w:t xml:space="preserve"> inaccura</w:t>
      </w:r>
      <w:r w:rsidR="001C3ACD">
        <w:rPr>
          <w:lang w:val="en-CA"/>
        </w:rPr>
        <w:t>te</w:t>
      </w:r>
      <w:r w:rsidR="009B05F4">
        <w:rPr>
          <w:lang w:val="en-CA"/>
        </w:rPr>
        <w:t>.</w:t>
      </w:r>
      <w:r w:rsidR="00EB2EFD">
        <w:rPr>
          <w:lang w:val="en-CA"/>
        </w:rPr>
        <w:t xml:space="preserve"> </w:t>
      </w:r>
      <w:r w:rsidR="00A44E1E">
        <w:rPr>
          <w:lang w:val="en-CA"/>
        </w:rPr>
        <w:t>For a practical implementation like FFmpeg, the decoding time is not suited for decoding energy estimation such that other means are needed. One solution is the use of feature-based models as presented in [</w:t>
      </w:r>
      <w:r w:rsidR="004A552F">
        <w:rPr>
          <w:lang w:val="en-CA"/>
        </w:rPr>
        <w:t>6</w:t>
      </w:r>
      <w:r w:rsidR="00A44E1E">
        <w:rPr>
          <w:lang w:val="en-CA"/>
        </w:rPr>
        <w:t xml:space="preserve">]. </w:t>
      </w:r>
    </w:p>
    <w:p w14:paraId="3484BEDE" w14:textId="634665F8" w:rsidR="0014413C" w:rsidRDefault="0014413C" w:rsidP="004A552F">
      <w:pPr>
        <w:pStyle w:val="berschrift1"/>
        <w:numPr>
          <w:ilvl w:val="0"/>
          <w:numId w:val="12"/>
        </w:numPr>
        <w:rPr>
          <w:lang w:val="en-CA"/>
        </w:rPr>
      </w:pPr>
      <w:r>
        <w:rPr>
          <w:lang w:val="en-CA"/>
        </w:rPr>
        <w:t>References</w:t>
      </w:r>
    </w:p>
    <w:p w14:paraId="639B0C95" w14:textId="1679DBAF" w:rsidR="0014413C" w:rsidRPr="00713304" w:rsidRDefault="0014413C" w:rsidP="0014413C">
      <w:pPr>
        <w:rPr>
          <w:lang w:val="en-CA"/>
        </w:rPr>
      </w:pPr>
      <w:r>
        <w:rPr>
          <w:lang w:val="en-CA"/>
        </w:rPr>
        <w:t xml:space="preserve">[1] M. Kränzler, </w:t>
      </w:r>
      <w:r>
        <w:t>C. Herglotz, A. Kaup, “</w:t>
      </w:r>
      <w:r w:rsidR="00EA40C6" w:rsidRPr="00EA40C6">
        <w:rPr>
          <w:lang w:val="en-CA"/>
        </w:rPr>
        <w:t>AHG13: Decoding Time and Energy Assessment of VTM-7.0</w:t>
      </w:r>
      <w:r w:rsidRPr="00C828CB">
        <w:rPr>
          <w:lang w:val="en-CA"/>
        </w:rPr>
        <w:t>”</w:t>
      </w:r>
      <w:r>
        <w:rPr>
          <w:lang w:val="en-CA"/>
        </w:rPr>
        <w:t>, JVET-</w:t>
      </w:r>
      <w:r w:rsidR="00EA40C6">
        <w:rPr>
          <w:lang w:val="en-CA"/>
        </w:rPr>
        <w:t>Q0050</w:t>
      </w:r>
      <w:bookmarkStart w:id="0" w:name="_GoBack"/>
      <w:bookmarkEnd w:id="0"/>
      <w:r>
        <w:rPr>
          <w:lang w:val="en-CA"/>
        </w:rPr>
        <w:t xml:space="preserve">, </w:t>
      </w:r>
      <w:r w:rsidR="0015077B">
        <w:rPr>
          <w:lang w:val="en-CA"/>
        </w:rPr>
        <w:t xml:space="preserve">Jan. </w:t>
      </w:r>
      <w:r w:rsidR="0015077B">
        <w:t>2020</w:t>
      </w:r>
      <w:r>
        <w:rPr>
          <w:lang w:val="en-CA"/>
        </w:rPr>
        <w:t xml:space="preserve">. </w:t>
      </w:r>
    </w:p>
    <w:p w14:paraId="4E3EAA56" w14:textId="77777777" w:rsidR="0014413C" w:rsidRDefault="0014413C" w:rsidP="0014413C">
      <w:pPr>
        <w:ind w:left="360" w:hanging="360"/>
      </w:pPr>
      <w:r>
        <w:t>[2] C. Herglotz, A. Kaup, “Energy Assessment for Video Decoding”, JVET-K0106-v3, Jul. 2018.</w:t>
      </w:r>
    </w:p>
    <w:p w14:paraId="4FA5A95C" w14:textId="4430BD52" w:rsidR="0014413C" w:rsidRDefault="0014413C" w:rsidP="0014413C">
      <w:r w:rsidRPr="00F6711F">
        <w:rPr>
          <w:lang w:val="de-DE"/>
        </w:rPr>
        <w:t>[</w:t>
      </w:r>
      <w:r w:rsidR="004A552F">
        <w:rPr>
          <w:lang w:val="de-DE"/>
        </w:rPr>
        <w:t>3</w:t>
      </w:r>
      <w:r w:rsidRPr="00F6711F">
        <w:rPr>
          <w:lang w:val="de-DE"/>
        </w:rPr>
        <w:t xml:space="preserve">] </w:t>
      </w:r>
      <w:r w:rsidRPr="00B44262">
        <w:rPr>
          <w:lang w:val="de-DE"/>
        </w:rPr>
        <w:t>C. Herglotz, D. Springer, M. Reichenbach, B. Stabernack</w:t>
      </w:r>
      <w:r w:rsidR="00ED30C0">
        <w:rPr>
          <w:lang w:val="de-DE"/>
        </w:rPr>
        <w:t>,</w:t>
      </w:r>
      <w:r w:rsidRPr="00B44262">
        <w:rPr>
          <w:lang w:val="de-DE"/>
        </w:rPr>
        <w:t xml:space="preserve"> and A. Kaup</w:t>
      </w:r>
      <w:r>
        <w:rPr>
          <w:lang w:val="de-DE"/>
        </w:rPr>
        <w:t xml:space="preserve">. </w:t>
      </w:r>
      <w:r w:rsidRPr="00B44262">
        <w:t>Modeling the Energy Consumption of the HEV</w:t>
      </w:r>
      <w:r>
        <w:t>C Decoding Process. IEEE Transactions on Circuits and Systems for Video Technology, Vol. 28(1), 2018.</w:t>
      </w:r>
    </w:p>
    <w:p w14:paraId="215F050B" w14:textId="5B1B6FBC" w:rsidR="0014413C" w:rsidRPr="00453E81" w:rsidRDefault="004A552F" w:rsidP="0014413C">
      <w:pPr>
        <w:rPr>
          <w:szCs w:val="22"/>
        </w:rPr>
      </w:pPr>
      <w:r>
        <w:t>[4</w:t>
      </w:r>
      <w:r w:rsidR="0014413C">
        <w:t xml:space="preserve">] </w:t>
      </w:r>
      <w:r w:rsidR="0014413C" w:rsidRPr="00314EF3">
        <w:t xml:space="preserve">T. F. Coleman and Y. Li. An interior trust region approach for nonlinear minimization subject to bounds. </w:t>
      </w:r>
      <w:r w:rsidR="0014413C" w:rsidRPr="003710BD">
        <w:rPr>
          <w:lang w:val="de-DE"/>
        </w:rPr>
        <w:t>SIAM J. Optim., vol. 6, no. 2, pp. 418–445, 1996</w:t>
      </w:r>
      <w:r w:rsidR="0014413C">
        <w:rPr>
          <w:lang w:val="de-DE"/>
        </w:rPr>
        <w:t>.</w:t>
      </w:r>
    </w:p>
    <w:p w14:paraId="25B4B72F" w14:textId="51F34E42" w:rsidR="0014413C" w:rsidRDefault="004A552F" w:rsidP="00040235">
      <w:r>
        <w:t>[5</w:t>
      </w:r>
      <w:r w:rsidR="00253AA7">
        <w:t xml:space="preserve">] Fast Forward MPEG (FFmpeg) version 4.2. Accessed: 2019-10-31. [Online]. Available: </w:t>
      </w:r>
      <w:hyperlink r:id="rId12" w:history="1">
        <w:r w:rsidR="00C15390" w:rsidRPr="00C50AE8">
          <w:rPr>
            <w:rStyle w:val="Hyperlink"/>
          </w:rPr>
          <w:t>http://ffmpeg.org</w:t>
        </w:r>
      </w:hyperlink>
    </w:p>
    <w:p w14:paraId="5FC5C41A" w14:textId="55A0F99B" w:rsidR="00C15390" w:rsidRDefault="00C15390" w:rsidP="00040235">
      <w:r>
        <w:t>[</w:t>
      </w:r>
      <w:r w:rsidR="004A552F">
        <w:t>6</w:t>
      </w:r>
      <w:r>
        <w:t xml:space="preserve">] </w:t>
      </w:r>
      <w:r>
        <w:rPr>
          <w:lang w:val="en-CA"/>
        </w:rPr>
        <w:t xml:space="preserve">M. Kränzler, </w:t>
      </w:r>
      <w:r>
        <w:t>C. Herglotz, A. Kaup, “</w:t>
      </w:r>
      <w:r w:rsidRPr="00C15390">
        <w:t xml:space="preserve">Modeling of </w:t>
      </w:r>
      <w:r w:rsidR="00EA40C6">
        <w:t xml:space="preserve">the </w:t>
      </w:r>
      <w:r w:rsidRPr="00C15390">
        <w:t>Decoding Energy for VTM-7.0 with a Bit Stream Feature-Based Model</w:t>
      </w:r>
      <w:r w:rsidRPr="00C828CB">
        <w:rPr>
          <w:lang w:val="en-CA"/>
        </w:rPr>
        <w:t>”</w:t>
      </w:r>
      <w:r>
        <w:rPr>
          <w:lang w:val="en-CA"/>
        </w:rPr>
        <w:t>, JVET-</w:t>
      </w:r>
      <w:r w:rsidR="00EA40C6">
        <w:rPr>
          <w:lang w:val="en-CA"/>
        </w:rPr>
        <w:t>Q0052</w:t>
      </w:r>
      <w:r>
        <w:rPr>
          <w:lang w:val="en-CA"/>
        </w:rPr>
        <w:t xml:space="preserve">, Jan. </w:t>
      </w:r>
      <w:r>
        <w:t>2020</w:t>
      </w:r>
      <w:r>
        <w:rPr>
          <w:lang w:val="en-CA"/>
        </w:rPr>
        <w:t>.</w:t>
      </w:r>
    </w:p>
    <w:p w14:paraId="20E44431" w14:textId="77777777" w:rsidR="0014413C" w:rsidRDefault="0014413C" w:rsidP="0014413C">
      <w:pPr>
        <w:pStyle w:val="berschrift1"/>
        <w:numPr>
          <w:ilvl w:val="0"/>
          <w:numId w:val="12"/>
        </w:numPr>
        <w:overflowPunct/>
        <w:autoSpaceDE/>
        <w:autoSpaceDN/>
        <w:adjustRightInd/>
        <w:ind w:left="360" w:hanging="360"/>
        <w:rPr>
          <w:lang w:val="en-CA"/>
        </w:rPr>
      </w:pPr>
      <w:r>
        <w:rPr>
          <w:lang w:val="en-CA"/>
        </w:rPr>
        <w:t>Patent rights declaration</w:t>
      </w:r>
    </w:p>
    <w:p w14:paraId="7018D587" w14:textId="77777777" w:rsidR="0014413C" w:rsidRDefault="0014413C" w:rsidP="0014413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The Friedrich-Alexander-Universität Erlangen-Nürnberg (FAU) does not have any current or pending patent rights relating to the technology described in this contribution.</w:t>
      </w:r>
    </w:p>
    <w:sectPr w:rsidR="0014413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8C0488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EA40C6">
      <w:rPr>
        <w:rStyle w:val="Seitenzahl"/>
        <w:noProof/>
      </w:rPr>
      <w:t>3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A7792">
      <w:rPr>
        <w:rStyle w:val="Seitenzahl"/>
        <w:noProof/>
      </w:rPr>
      <w:t>2019-12-17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7F4AD8"/>
    <w:multiLevelType w:val="multilevel"/>
    <w:tmpl w:val="10167F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D21FB1"/>
    <w:multiLevelType w:val="hybridMultilevel"/>
    <w:tmpl w:val="FEF80D80"/>
    <w:lvl w:ilvl="0" w:tplc="80E079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235"/>
    <w:rsid w:val="000458BC"/>
    <w:rsid w:val="00045C41"/>
    <w:rsid w:val="00046C03"/>
    <w:rsid w:val="00065039"/>
    <w:rsid w:val="0007614F"/>
    <w:rsid w:val="00081398"/>
    <w:rsid w:val="00094479"/>
    <w:rsid w:val="000962AC"/>
    <w:rsid w:val="000A7792"/>
    <w:rsid w:val="000B0C0F"/>
    <w:rsid w:val="000B1C6B"/>
    <w:rsid w:val="000B4F46"/>
    <w:rsid w:val="000B4FF9"/>
    <w:rsid w:val="000C09AC"/>
    <w:rsid w:val="000C2BAA"/>
    <w:rsid w:val="000E00F3"/>
    <w:rsid w:val="000F158C"/>
    <w:rsid w:val="000F5374"/>
    <w:rsid w:val="00102F3D"/>
    <w:rsid w:val="00124E38"/>
    <w:rsid w:val="0012580B"/>
    <w:rsid w:val="00131F90"/>
    <w:rsid w:val="0013458C"/>
    <w:rsid w:val="0013526E"/>
    <w:rsid w:val="0014413C"/>
    <w:rsid w:val="00146152"/>
    <w:rsid w:val="0015077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CD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7E4"/>
    <w:rsid w:val="00253AA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2A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2C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8A6"/>
    <w:rsid w:val="003F5D0F"/>
    <w:rsid w:val="00414101"/>
    <w:rsid w:val="004219CF"/>
    <w:rsid w:val="004234F0"/>
    <w:rsid w:val="00433DDB"/>
    <w:rsid w:val="00435A29"/>
    <w:rsid w:val="00437619"/>
    <w:rsid w:val="00456E4F"/>
    <w:rsid w:val="00465A1E"/>
    <w:rsid w:val="0049445A"/>
    <w:rsid w:val="00497BCE"/>
    <w:rsid w:val="004A2A63"/>
    <w:rsid w:val="004A552F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C23"/>
    <w:rsid w:val="00615995"/>
    <w:rsid w:val="00616155"/>
    <w:rsid w:val="00624B33"/>
    <w:rsid w:val="0063041A"/>
    <w:rsid w:val="00630AA2"/>
    <w:rsid w:val="00645B27"/>
    <w:rsid w:val="00646707"/>
    <w:rsid w:val="00657F7E"/>
    <w:rsid w:val="00662E58"/>
    <w:rsid w:val="006637F2"/>
    <w:rsid w:val="006642A5"/>
    <w:rsid w:val="00664DCF"/>
    <w:rsid w:val="006C5D39"/>
    <w:rsid w:val="006D1B4A"/>
    <w:rsid w:val="006D6D9B"/>
    <w:rsid w:val="006E2810"/>
    <w:rsid w:val="006E5417"/>
    <w:rsid w:val="006F0794"/>
    <w:rsid w:val="006F7528"/>
    <w:rsid w:val="007023DE"/>
    <w:rsid w:val="00712F60"/>
    <w:rsid w:val="00720E3B"/>
    <w:rsid w:val="00721A2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948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0313"/>
    <w:rsid w:val="008C239F"/>
    <w:rsid w:val="008E480C"/>
    <w:rsid w:val="0090503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986"/>
    <w:rsid w:val="00977C16"/>
    <w:rsid w:val="0098551D"/>
    <w:rsid w:val="00985DCB"/>
    <w:rsid w:val="0099518F"/>
    <w:rsid w:val="009A523D"/>
    <w:rsid w:val="009B02A1"/>
    <w:rsid w:val="009B05F4"/>
    <w:rsid w:val="009B3361"/>
    <w:rsid w:val="009B7F3F"/>
    <w:rsid w:val="009C2C51"/>
    <w:rsid w:val="009D7CE6"/>
    <w:rsid w:val="009E448E"/>
    <w:rsid w:val="009F496B"/>
    <w:rsid w:val="00A01439"/>
    <w:rsid w:val="00A02E61"/>
    <w:rsid w:val="00A05CFF"/>
    <w:rsid w:val="00A13048"/>
    <w:rsid w:val="00A44E1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676"/>
    <w:rsid w:val="00B01905"/>
    <w:rsid w:val="00B07CA7"/>
    <w:rsid w:val="00B1279A"/>
    <w:rsid w:val="00B3640F"/>
    <w:rsid w:val="00B4081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390"/>
    <w:rsid w:val="00C26CCB"/>
    <w:rsid w:val="00C30249"/>
    <w:rsid w:val="00C3723B"/>
    <w:rsid w:val="00C42466"/>
    <w:rsid w:val="00C606C9"/>
    <w:rsid w:val="00C80288"/>
    <w:rsid w:val="00C84003"/>
    <w:rsid w:val="00C90650"/>
    <w:rsid w:val="00C94F5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3D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97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0C6"/>
    <w:rsid w:val="00EA5AE0"/>
    <w:rsid w:val="00EB2EFD"/>
    <w:rsid w:val="00EB56E1"/>
    <w:rsid w:val="00EB7AB1"/>
    <w:rsid w:val="00EC32BD"/>
    <w:rsid w:val="00ED30C0"/>
    <w:rsid w:val="00EE7CD8"/>
    <w:rsid w:val="00EF37F6"/>
    <w:rsid w:val="00EF48CC"/>
    <w:rsid w:val="00F00801"/>
    <w:rsid w:val="00F2488D"/>
    <w:rsid w:val="00F26AF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qFormat/>
    <w:rsid w:val="00A44E1E"/>
    <w:pPr>
      <w:suppressLineNumbers/>
      <w:overflowPunct/>
      <w:autoSpaceDE/>
      <w:autoSpaceDN/>
      <w:adjustRightInd/>
      <w:spacing w:before="120" w:after="120"/>
      <w:jc w:val="center"/>
    </w:pPr>
    <w:rPr>
      <w:rFonts w:cs="Lohit Devanagari"/>
      <w:i/>
      <w:iCs/>
      <w:color w:val="00000A"/>
      <w:sz w:val="20"/>
      <w:szCs w:val="24"/>
    </w:rPr>
  </w:style>
  <w:style w:type="paragraph" w:styleId="Listenabsatz">
    <w:name w:val="List Paragraph"/>
    <w:basedOn w:val="Standard"/>
    <w:uiPriority w:val="34"/>
    <w:qFormat/>
    <w:rsid w:val="0014413C"/>
    <w:pPr>
      <w:overflowPunct/>
      <w:autoSpaceDE/>
      <w:autoSpaceDN/>
      <w:adjustRightInd/>
      <w:ind w:left="720"/>
      <w:contextualSpacing/>
    </w:pPr>
    <w:rPr>
      <w:color w:val="00000A"/>
    </w:rPr>
  </w:style>
  <w:style w:type="table" w:styleId="Tabellenraster">
    <w:name w:val="Table Grid"/>
    <w:basedOn w:val="NormaleTabelle"/>
    <w:uiPriority w:val="39"/>
    <w:rsid w:val="00144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4A552F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4A552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fmpeg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637FA-271F-4E89-8C16-344B52D6A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Matthias Kraenzler</cp:lastModifiedBy>
  <cp:revision>2</cp:revision>
  <cp:lastPrinted>1900-01-01T08:00:00Z</cp:lastPrinted>
  <dcterms:created xsi:type="dcterms:W3CDTF">2019-12-18T16:47:00Z</dcterms:created>
  <dcterms:modified xsi:type="dcterms:W3CDTF">2019-12-18T16:47:00Z</dcterms:modified>
</cp:coreProperties>
</file>