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256034E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C405AE">
              <w:rPr>
                <w:lang w:val="en-CA"/>
              </w:rPr>
              <w:t>P0</w:t>
            </w:r>
            <w:r w:rsidR="00C405AE">
              <w:rPr>
                <w:lang w:val="en-CA"/>
              </w:rPr>
              <w:t>456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2F3D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1353C7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 w:rsidR="00BA2D1E">
              <w:rPr>
                <w:b/>
                <w:szCs w:val="22"/>
                <w:lang w:val="en-CA"/>
              </w:rPr>
              <w:t xml:space="preserve">IBC </w:t>
            </w:r>
            <w:r w:rsidR="001B7917">
              <w:rPr>
                <w:b/>
                <w:szCs w:val="22"/>
                <w:lang w:val="en-CA"/>
              </w:rPr>
              <w:t>chroma mode with dual-tree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234C9" w14:textId="16290451" w:rsidR="002D1FA4" w:rsidRPr="006716EF" w:rsidRDefault="00FD41A6" w:rsidP="002D1FA4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this contribution, </w:t>
      </w:r>
      <w:r w:rsidR="001B7917">
        <w:rPr>
          <w:szCs w:val="22"/>
          <w:lang w:val="en-CA" w:eastAsia="zh-CN"/>
        </w:rPr>
        <w:t>IBC chroma mode is enabled for</w:t>
      </w:r>
      <w:r w:rsidR="007B3D48">
        <w:rPr>
          <w:szCs w:val="22"/>
          <w:lang w:val="en-CA" w:eastAsia="zh-CN"/>
        </w:rPr>
        <w:t xml:space="preserve"> the</w:t>
      </w:r>
      <w:r w:rsidR="001B7917">
        <w:rPr>
          <w:szCs w:val="22"/>
          <w:lang w:val="en-CA" w:eastAsia="zh-CN"/>
        </w:rPr>
        <w:t xml:space="preserve"> dual-tree case</w:t>
      </w:r>
      <w:r w:rsidR="002D1FA4">
        <w:rPr>
          <w:szCs w:val="22"/>
          <w:lang w:val="en-CA"/>
        </w:rPr>
        <w:t xml:space="preserve">. </w:t>
      </w:r>
      <w:r w:rsidR="0089659B">
        <w:rPr>
          <w:szCs w:val="22"/>
          <w:lang w:val="en-CA"/>
        </w:rPr>
        <w:t xml:space="preserve">The proposed chroma IBC mode is a block level mode where samples of the entire chroma CU share the same BV, which is derived from the collocated </w:t>
      </w:r>
      <w:proofErr w:type="spellStart"/>
      <w:r w:rsidR="0089659B">
        <w:rPr>
          <w:szCs w:val="22"/>
          <w:lang w:val="en-CA"/>
        </w:rPr>
        <w:t>luma</w:t>
      </w:r>
      <w:proofErr w:type="spellEnd"/>
      <w:r w:rsidR="0089659B">
        <w:rPr>
          <w:szCs w:val="22"/>
          <w:lang w:val="en-CA"/>
        </w:rPr>
        <w:t xml:space="preserve"> area. This is guaranteed as a bitstream conformance condition. </w:t>
      </w:r>
      <w:r w:rsidR="002D1FA4" w:rsidRPr="006716EF">
        <w:rPr>
          <w:lang w:val="en-CA"/>
        </w:rPr>
        <w:t>Simulation results report that</w:t>
      </w:r>
      <w:r w:rsidR="002D1FA4">
        <w:rPr>
          <w:lang w:val="en-CA"/>
        </w:rPr>
        <w:t>:</w:t>
      </w:r>
    </w:p>
    <w:p w14:paraId="47215B5B" w14:textId="524ACF75" w:rsidR="002D1FA4" w:rsidRDefault="002D1FA4" w:rsidP="002D1FA4">
      <w:pPr>
        <w:pStyle w:val="ac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The BD rate changes for Class F average </w:t>
      </w:r>
      <w:r w:rsidRPr="009644B1">
        <w:rPr>
          <w:lang w:val="en-CA"/>
        </w:rPr>
        <w:t>are 0.</w:t>
      </w:r>
      <w:r w:rsidR="00FD41A6">
        <w:rPr>
          <w:lang w:val="en-CA"/>
        </w:rPr>
        <w:t>00</w:t>
      </w:r>
      <w:r w:rsidRPr="009644B1">
        <w:rPr>
          <w:lang w:val="en-CA"/>
        </w:rPr>
        <w:t>%/</w:t>
      </w:r>
      <w:r w:rsidR="00056AEF">
        <w:rPr>
          <w:lang w:val="en-CA"/>
        </w:rPr>
        <w:t>-</w:t>
      </w:r>
      <w:r w:rsidRPr="009644B1">
        <w:rPr>
          <w:lang w:val="en-CA"/>
        </w:rPr>
        <w:t>0.</w:t>
      </w:r>
      <w:r w:rsidR="00056AEF">
        <w:rPr>
          <w:lang w:val="en-CA"/>
        </w:rPr>
        <w:t>06</w:t>
      </w:r>
      <w:r w:rsidRPr="009644B1">
        <w:rPr>
          <w:lang w:val="en-CA"/>
        </w:rPr>
        <w:t>%/0.</w:t>
      </w:r>
      <w:r w:rsidR="00FD41A6">
        <w:rPr>
          <w:lang w:val="en-CA"/>
        </w:rPr>
        <w:t>00</w:t>
      </w:r>
      <w:r w:rsidRPr="006716EF">
        <w:rPr>
          <w:lang w:val="en-CA"/>
        </w:rPr>
        <w:t>%</w:t>
      </w:r>
      <w:r w:rsidR="00056AEF">
        <w:rPr>
          <w:lang w:val="en-CA"/>
        </w:rPr>
        <w:t xml:space="preserve"> for </w:t>
      </w:r>
      <w:r>
        <w:rPr>
          <w:lang w:val="en-CA"/>
        </w:rPr>
        <w:t>AI/RA/LB, separately, when compared to VTM-6.0</w:t>
      </w:r>
      <w:r w:rsidR="00056AEF">
        <w:rPr>
          <w:lang w:val="en-CA"/>
        </w:rPr>
        <w:t xml:space="preserve"> </w:t>
      </w:r>
      <w:r>
        <w:rPr>
          <w:lang w:val="en-CA"/>
        </w:rPr>
        <w:t>anchor</w:t>
      </w:r>
      <w:r w:rsidR="00056AEF">
        <w:rPr>
          <w:lang w:val="en-CA"/>
        </w:rPr>
        <w:t>.</w:t>
      </w:r>
    </w:p>
    <w:p w14:paraId="74C5161B" w14:textId="53E65A1F" w:rsidR="00550202" w:rsidRPr="009C5E7E" w:rsidRDefault="002D1FA4" w:rsidP="001B1EE4">
      <w:pPr>
        <w:pStyle w:val="ac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9C5E7E">
        <w:rPr>
          <w:lang w:val="en-CA"/>
        </w:rPr>
        <w:t xml:space="preserve">The BD rate for Class TGM average are </w:t>
      </w:r>
      <w:r w:rsidR="00056AEF">
        <w:rPr>
          <w:lang w:val="en-CA"/>
        </w:rPr>
        <w:t>-1</w:t>
      </w:r>
      <w:r w:rsidRPr="009C5E7E">
        <w:rPr>
          <w:lang w:val="en-CA"/>
        </w:rPr>
        <w:t>.</w:t>
      </w:r>
      <w:r w:rsidR="00056AEF">
        <w:rPr>
          <w:lang w:val="en-CA"/>
        </w:rPr>
        <w:t>21</w:t>
      </w:r>
      <w:r w:rsidRPr="009C5E7E">
        <w:rPr>
          <w:lang w:val="en-CA"/>
        </w:rPr>
        <w:t>%/</w:t>
      </w:r>
      <w:r w:rsidR="00056AEF">
        <w:rPr>
          <w:lang w:val="en-CA"/>
        </w:rPr>
        <w:t>-</w:t>
      </w:r>
      <w:r w:rsidRPr="009C5E7E">
        <w:rPr>
          <w:lang w:val="en-CA"/>
        </w:rPr>
        <w:t>0.</w:t>
      </w:r>
      <w:r w:rsidR="00056AEF">
        <w:rPr>
          <w:lang w:val="en-CA"/>
        </w:rPr>
        <w:t>53</w:t>
      </w:r>
      <w:r w:rsidRPr="009C5E7E">
        <w:rPr>
          <w:lang w:val="en-CA"/>
        </w:rPr>
        <w:t>%/0.0</w:t>
      </w:r>
      <w:r w:rsidR="00FD41A6" w:rsidRPr="009C5E7E">
        <w:rPr>
          <w:lang w:val="en-CA"/>
        </w:rPr>
        <w:t>0</w:t>
      </w:r>
      <w:r w:rsidRPr="009C5E7E">
        <w:rPr>
          <w:lang w:val="en-CA"/>
        </w:rPr>
        <w:t>% for AI/RA/LB, separately, when compared to VTM-6.0 anchor</w:t>
      </w:r>
      <w:r w:rsidR="00CA4C86">
        <w:rPr>
          <w:lang w:val="en-CA"/>
        </w:rPr>
        <w:t>.</w:t>
      </w: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67B7C926" w14:textId="29BE92DE" w:rsidR="00F129B0" w:rsidRDefault="009B60A6" w:rsidP="00E708B9">
      <w:pPr>
        <w:rPr>
          <w:lang w:val="en-CA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6F1230">
        <w:rPr>
          <w:szCs w:val="22"/>
          <w:lang w:val="en-CA"/>
        </w:rPr>
        <w:t xml:space="preserve">IBC </w:t>
      </w:r>
      <w:r w:rsidR="00347AA6">
        <w:rPr>
          <w:szCs w:val="22"/>
          <w:lang w:val="en-CA"/>
        </w:rPr>
        <w:t xml:space="preserve">chroma </w:t>
      </w:r>
      <w:r w:rsidR="006F1230">
        <w:rPr>
          <w:szCs w:val="22"/>
          <w:lang w:val="en-CA"/>
        </w:rPr>
        <w:t xml:space="preserve">mode is </w:t>
      </w:r>
      <w:r w:rsidR="00347AA6">
        <w:rPr>
          <w:szCs w:val="22"/>
          <w:lang w:val="en-CA"/>
        </w:rPr>
        <w:t>disabled when dual-tree is used</w:t>
      </w:r>
      <w:r w:rsidR="006F1230">
        <w:rPr>
          <w:szCs w:val="22"/>
          <w:lang w:val="en-CA"/>
        </w:rPr>
        <w:t xml:space="preserve">. </w:t>
      </w:r>
      <w:r w:rsidR="00347AA6">
        <w:rPr>
          <w:szCs w:val="22"/>
          <w:lang w:val="en-CA"/>
        </w:rPr>
        <w:t>The concern for using chroma IBC mode was due to the sub-block nature of chroma IBC mode which leads to comple</w:t>
      </w:r>
      <w:r w:rsidR="00347AA6">
        <w:rPr>
          <w:rFonts w:hint="eastAsia"/>
          <w:szCs w:val="22"/>
          <w:lang w:val="en-CA" w:eastAsia="zh-CN"/>
        </w:rPr>
        <w:t>x</w:t>
      </w:r>
      <w:r w:rsidR="00347AA6">
        <w:rPr>
          <w:szCs w:val="22"/>
          <w:lang w:val="en-CA" w:eastAsia="zh-CN"/>
        </w:rPr>
        <w:t xml:space="preserve"> BV derivation</w:t>
      </w:r>
      <w:r w:rsidR="006F1230">
        <w:rPr>
          <w:szCs w:val="22"/>
          <w:lang w:val="en-CA"/>
        </w:rPr>
        <w:t>.</w:t>
      </w:r>
      <w:r w:rsidR="003659E9">
        <w:rPr>
          <w:szCs w:val="22"/>
          <w:lang w:val="en-CA"/>
        </w:rPr>
        <w:t xml:space="preserve"> Roughly 1.8% TGM AI loss was observed when chro</w:t>
      </w:r>
      <w:r w:rsidR="003659E9">
        <w:rPr>
          <w:rFonts w:hint="eastAsia"/>
          <w:szCs w:val="22"/>
          <w:lang w:val="en-CA" w:eastAsia="zh-CN"/>
        </w:rPr>
        <w:t>m</w:t>
      </w:r>
      <w:r w:rsidR="003659E9">
        <w:rPr>
          <w:szCs w:val="22"/>
          <w:lang w:val="en-CA" w:eastAsia="zh-CN"/>
        </w:rPr>
        <w:t>a IBC mode was disabled from the last meeting.</w:t>
      </w:r>
    </w:p>
    <w:p w14:paraId="3239B355" w14:textId="0F150D84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Proposed method</w:t>
      </w:r>
    </w:p>
    <w:p w14:paraId="189C7B50" w14:textId="3C6B702A" w:rsidR="003659E9" w:rsidRDefault="003659E9" w:rsidP="003659E9">
      <w:pPr>
        <w:rPr>
          <w:szCs w:val="22"/>
          <w:lang w:val="en-CA"/>
        </w:rPr>
      </w:pPr>
      <w:r>
        <w:rPr>
          <w:rFonts w:eastAsia="Malgun Gothic"/>
          <w:noProof/>
          <w:lang w:val="en-CA" w:eastAsia="ko-KR"/>
        </w:rPr>
        <w:t xml:space="preserve">In this contribution, </w:t>
      </w:r>
      <w:r>
        <w:rPr>
          <w:szCs w:val="22"/>
          <w:lang w:val="en-CA"/>
        </w:rPr>
        <w:t xml:space="preserve">a block level IBC chroma mode is proposed. From the decoder side, for dual-tree chroma coding, a block level IBC flag is signaled. If a chroma CU chooses IBC mode, the whole block will derive a single BV from the collocated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area. From the encoder perspective, the encoder should guarantee that the entire collocated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area are coded in IBC mode with the </w:t>
      </w:r>
      <w:r w:rsidR="00E2185E">
        <w:rPr>
          <w:szCs w:val="22"/>
          <w:lang w:val="en-CA"/>
        </w:rPr>
        <w:t xml:space="preserve">same </w:t>
      </w:r>
      <w:proofErr w:type="spellStart"/>
      <w:r w:rsidR="00EF7B36">
        <w:rPr>
          <w:szCs w:val="22"/>
          <w:lang w:val="en-CA"/>
        </w:rPr>
        <w:t>luma</w:t>
      </w:r>
      <w:proofErr w:type="spellEnd"/>
      <w:r w:rsidR="00EF7B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BV.</w:t>
      </w:r>
    </w:p>
    <w:p w14:paraId="6B379A3B" w14:textId="4F24AB4A" w:rsidR="003659E9" w:rsidRDefault="003659E9" w:rsidP="003659E9">
      <w:pPr>
        <w:rPr>
          <w:szCs w:val="22"/>
          <w:lang w:val="en-CA"/>
        </w:rPr>
      </w:pPr>
    </w:p>
    <w:p w14:paraId="1E1BFCDC" w14:textId="00BAC597" w:rsidR="006E117D" w:rsidRDefault="003659E9" w:rsidP="00B509FB">
      <w:pPr>
        <w:rPr>
          <w:rFonts w:eastAsia="Malgun Gothic"/>
          <w:noProof/>
          <w:lang w:val="en-CA" w:eastAsia="ko-KR"/>
        </w:rPr>
      </w:pPr>
      <w:r>
        <w:rPr>
          <w:szCs w:val="22"/>
          <w:lang w:val="en-CA"/>
        </w:rPr>
        <w:t xml:space="preserve">In this way, the chroma IBC </w:t>
      </w:r>
      <w:r w:rsidR="00B14B4E">
        <w:rPr>
          <w:szCs w:val="22"/>
          <w:lang w:val="en-CA"/>
        </w:rPr>
        <w:t>coded CU can still derive the BV from</w:t>
      </w:r>
      <w:r w:rsidR="002266E9">
        <w:rPr>
          <w:szCs w:val="22"/>
          <w:lang w:val="en-CA"/>
        </w:rPr>
        <w:t xml:space="preserve"> its collocated</w:t>
      </w:r>
      <w:r w:rsidR="00B14B4E">
        <w:rPr>
          <w:szCs w:val="22"/>
          <w:lang w:val="en-CA"/>
        </w:rPr>
        <w:t xml:space="preserve"> </w:t>
      </w:r>
      <w:proofErr w:type="spellStart"/>
      <w:r w:rsidR="00B14B4E">
        <w:rPr>
          <w:szCs w:val="22"/>
          <w:lang w:val="en-CA"/>
        </w:rPr>
        <w:t>luma</w:t>
      </w:r>
      <w:proofErr w:type="spellEnd"/>
      <w:r w:rsidR="00B14B4E">
        <w:rPr>
          <w:szCs w:val="22"/>
          <w:lang w:val="en-CA"/>
        </w:rPr>
        <w:t xml:space="preserve">, </w:t>
      </w:r>
      <w:r w:rsidR="002266E9">
        <w:rPr>
          <w:szCs w:val="22"/>
          <w:lang w:val="en-CA"/>
        </w:rPr>
        <w:t xml:space="preserve">which is safe for quality consideration. At the mean time, </w:t>
      </w:r>
      <w:r w:rsidR="00B14B4E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decoding</w:t>
      </w:r>
      <w:r w:rsidR="00B14B4E">
        <w:rPr>
          <w:szCs w:val="22"/>
          <w:lang w:val="en-CA"/>
        </w:rPr>
        <w:t xml:space="preserve"> process</w:t>
      </w:r>
      <w:r>
        <w:rPr>
          <w:szCs w:val="22"/>
          <w:lang w:val="en-CA"/>
        </w:rPr>
        <w:t xml:space="preserve"> can be the same with dual-tree or without dual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 xml:space="preserve">tree. </w:t>
      </w:r>
      <w:r>
        <w:rPr>
          <w:rFonts w:hint="eastAsia"/>
          <w:szCs w:val="22"/>
          <w:lang w:val="en-CA" w:eastAsia="zh-CN"/>
        </w:rPr>
        <w:t>It</w:t>
      </w:r>
      <w:r>
        <w:rPr>
          <w:szCs w:val="22"/>
        </w:rPr>
        <w:t xml:space="preserve"> is asserted that no added decoding complexity for enabling such a chroma IBC mode.</w:t>
      </w:r>
    </w:p>
    <w:p w14:paraId="4911CD80" w14:textId="77777777" w:rsidR="008B2438" w:rsidRPr="00DE0F0E" w:rsidRDefault="008B2438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1A3463B" w14:textId="5B173E7E" w:rsidR="000E0C36" w:rsidRDefault="00DA2158" w:rsidP="000E0C36">
      <w:pPr>
        <w:rPr>
          <w:lang w:val="en-CA"/>
        </w:rPr>
      </w:pPr>
      <w:r>
        <w:rPr>
          <w:lang w:val="en-CA"/>
        </w:rPr>
        <w:t>The proposed method is implemented on top of VTM-</w:t>
      </w:r>
      <w:r w:rsidR="00434688">
        <w:rPr>
          <w:lang w:val="en-CA"/>
        </w:rPr>
        <w:t>6</w:t>
      </w:r>
      <w:r>
        <w:rPr>
          <w:lang w:val="en-CA"/>
        </w:rPr>
        <w:t xml:space="preserve">.0. </w:t>
      </w:r>
    </w:p>
    <w:p w14:paraId="1C491C6E" w14:textId="0B025076" w:rsidR="00972AD0" w:rsidRDefault="00764371" w:rsidP="000E0C36">
      <w:pPr>
        <w:rPr>
          <w:lang w:val="en-CA"/>
        </w:rPr>
      </w:pPr>
      <w:r>
        <w:rPr>
          <w:lang w:val="en-CA"/>
        </w:rPr>
        <w:t>Results are compared to</w:t>
      </w:r>
      <w:r w:rsidRPr="00764371">
        <w:rPr>
          <w:lang w:val="en-CA"/>
        </w:rPr>
        <w:t xml:space="preserve"> </w:t>
      </w:r>
      <w:r>
        <w:rPr>
          <w:lang w:val="en-CA"/>
        </w:rPr>
        <w:t xml:space="preserve">VTM-6.0 IBC on and VTM-6.0 IBC </w:t>
      </w:r>
      <w:r w:rsidR="003659E9">
        <w:rPr>
          <w:lang w:val="en-CA"/>
        </w:rPr>
        <w:t>plus sub-block based chroma IBC mode</w:t>
      </w:r>
      <w:r>
        <w:rPr>
          <w:lang w:val="en-CA"/>
        </w:rPr>
        <w:t>, separately</w:t>
      </w:r>
      <w:r w:rsidR="00972AD0">
        <w:rPr>
          <w:lang w:val="en-CA"/>
        </w:rPr>
        <w:t>.</w:t>
      </w:r>
    </w:p>
    <w:p w14:paraId="1A70038D" w14:textId="5644F763" w:rsidR="00FD214A" w:rsidRDefault="00FD214A" w:rsidP="000E0C36">
      <w:pPr>
        <w:rPr>
          <w:lang w:val="en-CA"/>
        </w:rPr>
      </w:pPr>
    </w:p>
    <w:p w14:paraId="2ED36F87" w14:textId="00FAF25F" w:rsidR="00FD214A" w:rsidRDefault="00FD214A" w:rsidP="000E0C36">
      <w:pPr>
        <w:rPr>
          <w:lang w:val="en-CA"/>
        </w:rPr>
      </w:pPr>
      <w:r>
        <w:rPr>
          <w:lang w:val="en-CA"/>
        </w:rPr>
        <w:t>Table I: P</w:t>
      </w:r>
      <w:r w:rsidR="00924BDE">
        <w:rPr>
          <w:lang w:val="en-CA"/>
        </w:rPr>
        <w:t xml:space="preserve">erformance of proposed </w:t>
      </w:r>
      <w:r w:rsidR="009C6176">
        <w:rPr>
          <w:lang w:val="en-CA"/>
        </w:rPr>
        <w:t xml:space="preserve">method </w:t>
      </w:r>
      <w:r>
        <w:rPr>
          <w:lang w:val="en-CA"/>
        </w:rPr>
        <w:t>vs. VTM-6.0</w:t>
      </w:r>
      <w:r w:rsidR="00924BDE">
        <w:rPr>
          <w:lang w:val="en-CA"/>
        </w:rPr>
        <w:t xml:space="preserve"> IBC on</w:t>
      </w:r>
      <w:r w:rsidR="00EE76A1">
        <w:rPr>
          <w:lang w:val="en-CA"/>
        </w:rPr>
        <w:t xml:space="preserve"> and VTM-6.0 IBC </w:t>
      </w:r>
      <w:r w:rsidR="00C14922">
        <w:rPr>
          <w:lang w:val="en-CA"/>
        </w:rPr>
        <w:t>plus subblock chroma IBC</w:t>
      </w:r>
    </w:p>
    <w:p w14:paraId="02D2E3E2" w14:textId="3630C9CE" w:rsidR="00FD214A" w:rsidRPr="006660A3" w:rsidRDefault="0089659B" w:rsidP="000E0C36">
      <w:r w:rsidRPr="0089659B">
        <w:rPr>
          <w:noProof/>
        </w:rPr>
        <w:drawing>
          <wp:inline distT="0" distB="0" distL="0" distR="0" wp14:anchorId="27439372" wp14:editId="6F7CA83D">
            <wp:extent cx="5943600" cy="2051121"/>
            <wp:effectExtent l="0" t="0" r="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257C910D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9C0EFF">
        <w:rPr>
          <w:szCs w:val="22"/>
          <w:lang w:val="en-CA"/>
        </w:rPr>
        <w:t xml:space="preserve">a </w:t>
      </w:r>
      <w:r w:rsidR="00B14B4E">
        <w:rPr>
          <w:szCs w:val="22"/>
          <w:lang w:val="en-CA"/>
        </w:rPr>
        <w:t>block based chroma IBC mode is proposed</w:t>
      </w:r>
      <w:r w:rsidR="00247344">
        <w:rPr>
          <w:szCs w:val="22"/>
          <w:lang w:val="en-CA"/>
        </w:rPr>
        <w:t xml:space="preserve">. </w:t>
      </w:r>
      <w:r w:rsidR="00056AEF">
        <w:rPr>
          <w:szCs w:val="22"/>
          <w:lang w:val="en-CA"/>
        </w:rPr>
        <w:t xml:space="preserve">From the simulation results, it shows about 2/3 of the coding benefit of using sub-block based chroma IBC mode has been regained, without imposing more decoding complexity to the design. It is recommended to include the </w:t>
      </w:r>
      <w:proofErr w:type="gramStart"/>
      <w:r w:rsidR="00056AEF">
        <w:rPr>
          <w:szCs w:val="22"/>
          <w:lang w:val="en-CA"/>
        </w:rPr>
        <w:t>block based</w:t>
      </w:r>
      <w:proofErr w:type="gramEnd"/>
      <w:r w:rsidR="00056AEF">
        <w:rPr>
          <w:szCs w:val="22"/>
          <w:lang w:val="en-CA"/>
        </w:rPr>
        <w:t xml:space="preserve"> IBC chroma mode into next VVC specification and VTM.</w:t>
      </w:r>
    </w:p>
    <w:p w14:paraId="328DDE32" w14:textId="2A039B78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7EBB" w14:textId="77777777" w:rsidR="009274A8" w:rsidRDefault="009274A8">
      <w:r>
        <w:separator/>
      </w:r>
    </w:p>
  </w:endnote>
  <w:endnote w:type="continuationSeparator" w:id="0">
    <w:p w14:paraId="3174EE07" w14:textId="77777777" w:rsidR="009274A8" w:rsidRDefault="0092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C31473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05AE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53873" w14:textId="77777777" w:rsidR="009274A8" w:rsidRDefault="009274A8">
      <w:r>
        <w:separator/>
      </w:r>
    </w:p>
  </w:footnote>
  <w:footnote w:type="continuationSeparator" w:id="0">
    <w:p w14:paraId="7CEFA2EE" w14:textId="77777777" w:rsidR="009274A8" w:rsidRDefault="00927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8" w15:restartNumberingAfterBreak="0">
    <w:nsid w:val="715805E4"/>
    <w:multiLevelType w:val="hybridMultilevel"/>
    <w:tmpl w:val="40C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27"/>
    <w:rsid w:val="000100A0"/>
    <w:rsid w:val="0001256D"/>
    <w:rsid w:val="000233B3"/>
    <w:rsid w:val="00024767"/>
    <w:rsid w:val="000308A3"/>
    <w:rsid w:val="00033EE0"/>
    <w:rsid w:val="00045857"/>
    <w:rsid w:val="000458BC"/>
    <w:rsid w:val="00045C41"/>
    <w:rsid w:val="00046C03"/>
    <w:rsid w:val="00055783"/>
    <w:rsid w:val="00056AEF"/>
    <w:rsid w:val="00065039"/>
    <w:rsid w:val="0007434F"/>
    <w:rsid w:val="0007614F"/>
    <w:rsid w:val="00076FD4"/>
    <w:rsid w:val="00081398"/>
    <w:rsid w:val="000849AC"/>
    <w:rsid w:val="00092F1F"/>
    <w:rsid w:val="00093A6A"/>
    <w:rsid w:val="00094479"/>
    <w:rsid w:val="000962AC"/>
    <w:rsid w:val="000A64A1"/>
    <w:rsid w:val="000B0C0F"/>
    <w:rsid w:val="000B1C6B"/>
    <w:rsid w:val="000B4FF9"/>
    <w:rsid w:val="000C09AC"/>
    <w:rsid w:val="000C15EC"/>
    <w:rsid w:val="000C56CA"/>
    <w:rsid w:val="000D2C9F"/>
    <w:rsid w:val="000E00F3"/>
    <w:rsid w:val="000E0C36"/>
    <w:rsid w:val="000E0E64"/>
    <w:rsid w:val="000F158C"/>
    <w:rsid w:val="000F1927"/>
    <w:rsid w:val="000F3CDD"/>
    <w:rsid w:val="00102F3D"/>
    <w:rsid w:val="0010773B"/>
    <w:rsid w:val="00124E38"/>
    <w:rsid w:val="0012580B"/>
    <w:rsid w:val="00131F90"/>
    <w:rsid w:val="001328D1"/>
    <w:rsid w:val="0013458C"/>
    <w:rsid w:val="0013526E"/>
    <w:rsid w:val="001410A2"/>
    <w:rsid w:val="00144AED"/>
    <w:rsid w:val="00146152"/>
    <w:rsid w:val="00155526"/>
    <w:rsid w:val="0016155E"/>
    <w:rsid w:val="00162565"/>
    <w:rsid w:val="0016799A"/>
    <w:rsid w:val="00171371"/>
    <w:rsid w:val="00171AD3"/>
    <w:rsid w:val="00171F39"/>
    <w:rsid w:val="00172202"/>
    <w:rsid w:val="00175A24"/>
    <w:rsid w:val="00181A25"/>
    <w:rsid w:val="00182EBE"/>
    <w:rsid w:val="00187E58"/>
    <w:rsid w:val="00195967"/>
    <w:rsid w:val="001A297E"/>
    <w:rsid w:val="001A33D2"/>
    <w:rsid w:val="001A368E"/>
    <w:rsid w:val="001A7329"/>
    <w:rsid w:val="001A792F"/>
    <w:rsid w:val="001B10DD"/>
    <w:rsid w:val="001B1EE4"/>
    <w:rsid w:val="001B4E28"/>
    <w:rsid w:val="001B4EC0"/>
    <w:rsid w:val="001B7917"/>
    <w:rsid w:val="001C3525"/>
    <w:rsid w:val="001C3AFB"/>
    <w:rsid w:val="001D1BD2"/>
    <w:rsid w:val="001D21BE"/>
    <w:rsid w:val="001D2AD6"/>
    <w:rsid w:val="001D60D9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66E9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257"/>
    <w:rsid w:val="002A54E0"/>
    <w:rsid w:val="002A7BA2"/>
    <w:rsid w:val="002B0C93"/>
    <w:rsid w:val="002B1595"/>
    <w:rsid w:val="002B191D"/>
    <w:rsid w:val="002B1DB1"/>
    <w:rsid w:val="002B2E83"/>
    <w:rsid w:val="002C6818"/>
    <w:rsid w:val="002D0AF6"/>
    <w:rsid w:val="002D1976"/>
    <w:rsid w:val="002D1FA4"/>
    <w:rsid w:val="002F164D"/>
    <w:rsid w:val="002F2881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47AA6"/>
    <w:rsid w:val="003659E9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7CE6"/>
    <w:rsid w:val="003B1079"/>
    <w:rsid w:val="003C20E4"/>
    <w:rsid w:val="003D13CE"/>
    <w:rsid w:val="003D6342"/>
    <w:rsid w:val="003E1F41"/>
    <w:rsid w:val="003E547E"/>
    <w:rsid w:val="003E6F90"/>
    <w:rsid w:val="003E73ED"/>
    <w:rsid w:val="003F04FE"/>
    <w:rsid w:val="003F0AA9"/>
    <w:rsid w:val="003F5D0F"/>
    <w:rsid w:val="00414101"/>
    <w:rsid w:val="004143FA"/>
    <w:rsid w:val="00417111"/>
    <w:rsid w:val="004219CF"/>
    <w:rsid w:val="004234F0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D405F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CF1"/>
    <w:rsid w:val="005239A5"/>
    <w:rsid w:val="00530D54"/>
    <w:rsid w:val="00531AE9"/>
    <w:rsid w:val="00540946"/>
    <w:rsid w:val="00550202"/>
    <w:rsid w:val="00550A66"/>
    <w:rsid w:val="00554360"/>
    <w:rsid w:val="00567EC7"/>
    <w:rsid w:val="00570013"/>
    <w:rsid w:val="005753EC"/>
    <w:rsid w:val="005761AE"/>
    <w:rsid w:val="005801A2"/>
    <w:rsid w:val="00581FD3"/>
    <w:rsid w:val="005952A5"/>
    <w:rsid w:val="005A1D0B"/>
    <w:rsid w:val="005A33A1"/>
    <w:rsid w:val="005A7ABC"/>
    <w:rsid w:val="005B1CED"/>
    <w:rsid w:val="005B217D"/>
    <w:rsid w:val="005C385F"/>
    <w:rsid w:val="005D1183"/>
    <w:rsid w:val="005E1AC6"/>
    <w:rsid w:val="005F6F1B"/>
    <w:rsid w:val="00602367"/>
    <w:rsid w:val="00610F60"/>
    <w:rsid w:val="00615995"/>
    <w:rsid w:val="00616155"/>
    <w:rsid w:val="00617C1F"/>
    <w:rsid w:val="00624B33"/>
    <w:rsid w:val="0063041A"/>
    <w:rsid w:val="00630AA2"/>
    <w:rsid w:val="00636603"/>
    <w:rsid w:val="0064058A"/>
    <w:rsid w:val="00646707"/>
    <w:rsid w:val="006468E1"/>
    <w:rsid w:val="0064796E"/>
    <w:rsid w:val="00657F7E"/>
    <w:rsid w:val="00662E58"/>
    <w:rsid w:val="006637F2"/>
    <w:rsid w:val="006642A5"/>
    <w:rsid w:val="00664DCF"/>
    <w:rsid w:val="006660A3"/>
    <w:rsid w:val="00680A7B"/>
    <w:rsid w:val="00681B3E"/>
    <w:rsid w:val="006870CD"/>
    <w:rsid w:val="006905F0"/>
    <w:rsid w:val="006910CD"/>
    <w:rsid w:val="006A5EEE"/>
    <w:rsid w:val="006C5D39"/>
    <w:rsid w:val="006D2DD2"/>
    <w:rsid w:val="006D3DAC"/>
    <w:rsid w:val="006D6D9B"/>
    <w:rsid w:val="006E117D"/>
    <w:rsid w:val="006E19BD"/>
    <w:rsid w:val="006E2810"/>
    <w:rsid w:val="006E52FC"/>
    <w:rsid w:val="006E5417"/>
    <w:rsid w:val="006F0794"/>
    <w:rsid w:val="006F1230"/>
    <w:rsid w:val="006F7528"/>
    <w:rsid w:val="007023DE"/>
    <w:rsid w:val="007071D8"/>
    <w:rsid w:val="00712F60"/>
    <w:rsid w:val="00720E3B"/>
    <w:rsid w:val="00727104"/>
    <w:rsid w:val="00735C02"/>
    <w:rsid w:val="00735ED6"/>
    <w:rsid w:val="007371A8"/>
    <w:rsid w:val="00737B38"/>
    <w:rsid w:val="0074393F"/>
    <w:rsid w:val="007457D7"/>
    <w:rsid w:val="00745F6B"/>
    <w:rsid w:val="0075175B"/>
    <w:rsid w:val="0075585E"/>
    <w:rsid w:val="00761A94"/>
    <w:rsid w:val="00764371"/>
    <w:rsid w:val="00766E40"/>
    <w:rsid w:val="00767688"/>
    <w:rsid w:val="00770571"/>
    <w:rsid w:val="007768FF"/>
    <w:rsid w:val="007824A5"/>
    <w:rsid w:val="007824D3"/>
    <w:rsid w:val="00785467"/>
    <w:rsid w:val="0078746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3D48"/>
    <w:rsid w:val="007B4AB8"/>
    <w:rsid w:val="007C237F"/>
    <w:rsid w:val="007C799A"/>
    <w:rsid w:val="007D1181"/>
    <w:rsid w:val="007D7B23"/>
    <w:rsid w:val="007E01A3"/>
    <w:rsid w:val="007E1807"/>
    <w:rsid w:val="007F1B87"/>
    <w:rsid w:val="007F1F8B"/>
    <w:rsid w:val="007F67A1"/>
    <w:rsid w:val="00811C05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629DC"/>
    <w:rsid w:val="0086387C"/>
    <w:rsid w:val="00874A6C"/>
    <w:rsid w:val="00875467"/>
    <w:rsid w:val="00876C65"/>
    <w:rsid w:val="00883644"/>
    <w:rsid w:val="0089659B"/>
    <w:rsid w:val="008A0B25"/>
    <w:rsid w:val="008A4B4C"/>
    <w:rsid w:val="008B2438"/>
    <w:rsid w:val="008C1BBD"/>
    <w:rsid w:val="008C239F"/>
    <w:rsid w:val="008C66A2"/>
    <w:rsid w:val="008D59B9"/>
    <w:rsid w:val="008D77A9"/>
    <w:rsid w:val="008E1A97"/>
    <w:rsid w:val="008E480C"/>
    <w:rsid w:val="008F096B"/>
    <w:rsid w:val="008F3E2B"/>
    <w:rsid w:val="0090027C"/>
    <w:rsid w:val="00901AD0"/>
    <w:rsid w:val="00907708"/>
    <w:rsid w:val="00907757"/>
    <w:rsid w:val="009212B0"/>
    <w:rsid w:val="00921FA1"/>
    <w:rsid w:val="009234A5"/>
    <w:rsid w:val="00924BDE"/>
    <w:rsid w:val="00926757"/>
    <w:rsid w:val="009274A8"/>
    <w:rsid w:val="00931307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0C6F"/>
    <w:rsid w:val="0098551D"/>
    <w:rsid w:val="00985DCB"/>
    <w:rsid w:val="009904CF"/>
    <w:rsid w:val="00991C09"/>
    <w:rsid w:val="0099518F"/>
    <w:rsid w:val="0099528F"/>
    <w:rsid w:val="0099533E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C5E7E"/>
    <w:rsid w:val="009C6176"/>
    <w:rsid w:val="009D6452"/>
    <w:rsid w:val="009D7857"/>
    <w:rsid w:val="009D7CE6"/>
    <w:rsid w:val="009F2883"/>
    <w:rsid w:val="009F496B"/>
    <w:rsid w:val="00A01439"/>
    <w:rsid w:val="00A02E61"/>
    <w:rsid w:val="00A05CFF"/>
    <w:rsid w:val="00A05D87"/>
    <w:rsid w:val="00A13048"/>
    <w:rsid w:val="00A40BC1"/>
    <w:rsid w:val="00A42E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A7C8F"/>
    <w:rsid w:val="00AB1A1C"/>
    <w:rsid w:val="00AC67AA"/>
    <w:rsid w:val="00AD02FC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14B4E"/>
    <w:rsid w:val="00B31FCD"/>
    <w:rsid w:val="00B3640F"/>
    <w:rsid w:val="00B4194A"/>
    <w:rsid w:val="00B428E3"/>
    <w:rsid w:val="00B437E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45D7"/>
    <w:rsid w:val="00B75A51"/>
    <w:rsid w:val="00B827C6"/>
    <w:rsid w:val="00B94B06"/>
    <w:rsid w:val="00B94C28"/>
    <w:rsid w:val="00B96A0A"/>
    <w:rsid w:val="00BA2D1E"/>
    <w:rsid w:val="00BC10BA"/>
    <w:rsid w:val="00BC1A38"/>
    <w:rsid w:val="00BC5AFD"/>
    <w:rsid w:val="00BF0559"/>
    <w:rsid w:val="00BF061D"/>
    <w:rsid w:val="00BF0ED8"/>
    <w:rsid w:val="00C00DDE"/>
    <w:rsid w:val="00C04F43"/>
    <w:rsid w:val="00C0609D"/>
    <w:rsid w:val="00C115AB"/>
    <w:rsid w:val="00C12F9A"/>
    <w:rsid w:val="00C14922"/>
    <w:rsid w:val="00C21791"/>
    <w:rsid w:val="00C26CCB"/>
    <w:rsid w:val="00C30249"/>
    <w:rsid w:val="00C30786"/>
    <w:rsid w:val="00C326AC"/>
    <w:rsid w:val="00C348C4"/>
    <w:rsid w:val="00C3723B"/>
    <w:rsid w:val="00C405AE"/>
    <w:rsid w:val="00C42466"/>
    <w:rsid w:val="00C42E11"/>
    <w:rsid w:val="00C45D71"/>
    <w:rsid w:val="00C606C9"/>
    <w:rsid w:val="00C80288"/>
    <w:rsid w:val="00C829FE"/>
    <w:rsid w:val="00C84003"/>
    <w:rsid w:val="00C85D10"/>
    <w:rsid w:val="00C90650"/>
    <w:rsid w:val="00C97D78"/>
    <w:rsid w:val="00C97E1B"/>
    <w:rsid w:val="00CA4C86"/>
    <w:rsid w:val="00CA519B"/>
    <w:rsid w:val="00CA6EDE"/>
    <w:rsid w:val="00CB2627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D010C0"/>
    <w:rsid w:val="00D02F55"/>
    <w:rsid w:val="00D073E2"/>
    <w:rsid w:val="00D16B84"/>
    <w:rsid w:val="00D2204A"/>
    <w:rsid w:val="00D40087"/>
    <w:rsid w:val="00D446EC"/>
    <w:rsid w:val="00D44CDE"/>
    <w:rsid w:val="00D51BF0"/>
    <w:rsid w:val="00D52787"/>
    <w:rsid w:val="00D5311E"/>
    <w:rsid w:val="00D531DB"/>
    <w:rsid w:val="00D55942"/>
    <w:rsid w:val="00D5790E"/>
    <w:rsid w:val="00D76636"/>
    <w:rsid w:val="00D7776B"/>
    <w:rsid w:val="00D807BF"/>
    <w:rsid w:val="00D82FCC"/>
    <w:rsid w:val="00D872FC"/>
    <w:rsid w:val="00D93FE5"/>
    <w:rsid w:val="00DA17FC"/>
    <w:rsid w:val="00DA2158"/>
    <w:rsid w:val="00DA5AFF"/>
    <w:rsid w:val="00DA7887"/>
    <w:rsid w:val="00DB2C26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185E"/>
    <w:rsid w:val="00E262D4"/>
    <w:rsid w:val="00E36250"/>
    <w:rsid w:val="00E4454A"/>
    <w:rsid w:val="00E47F2D"/>
    <w:rsid w:val="00E54511"/>
    <w:rsid w:val="00E57A2D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87AA2"/>
    <w:rsid w:val="00E907A3"/>
    <w:rsid w:val="00E9522F"/>
    <w:rsid w:val="00EA2918"/>
    <w:rsid w:val="00EA5AE0"/>
    <w:rsid w:val="00EB56E1"/>
    <w:rsid w:val="00EB61AC"/>
    <w:rsid w:val="00EB7AB1"/>
    <w:rsid w:val="00EC3E7A"/>
    <w:rsid w:val="00EC6B2A"/>
    <w:rsid w:val="00ED1214"/>
    <w:rsid w:val="00ED4640"/>
    <w:rsid w:val="00EE76A1"/>
    <w:rsid w:val="00EE7CD8"/>
    <w:rsid w:val="00EF37F6"/>
    <w:rsid w:val="00EF3FF9"/>
    <w:rsid w:val="00EF48CC"/>
    <w:rsid w:val="00EF7B36"/>
    <w:rsid w:val="00F00801"/>
    <w:rsid w:val="00F11471"/>
    <w:rsid w:val="00F129B0"/>
    <w:rsid w:val="00F2488D"/>
    <w:rsid w:val="00F25313"/>
    <w:rsid w:val="00F310DD"/>
    <w:rsid w:val="00F4331E"/>
    <w:rsid w:val="00F601A0"/>
    <w:rsid w:val="00F66A74"/>
    <w:rsid w:val="00F712E9"/>
    <w:rsid w:val="00F7153E"/>
    <w:rsid w:val="00F729C8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041D"/>
    <w:rsid w:val="00FD214A"/>
    <w:rsid w:val="00FD41A6"/>
    <w:rsid w:val="00FD4546"/>
    <w:rsid w:val="00FE0E90"/>
    <w:rsid w:val="00FE347B"/>
    <w:rsid w:val="00FE595C"/>
    <w:rsid w:val="00FE7C31"/>
    <w:rsid w:val="00FF0CE3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263</cp:revision>
  <cp:lastPrinted>1900-01-01T08:00:00Z</cp:lastPrinted>
  <dcterms:created xsi:type="dcterms:W3CDTF">2018-08-09T13:44:00Z</dcterms:created>
  <dcterms:modified xsi:type="dcterms:W3CDTF">2019-09-24T22:07:00Z</dcterms:modified>
</cp:coreProperties>
</file>