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BA5E8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71633B5" w:rsidR="008A4B4C" w:rsidRPr="005B217D" w:rsidRDefault="00E61DAC" w:rsidP="0086284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862845">
              <w:rPr>
                <w:lang w:val="en-CA"/>
              </w:rPr>
              <w:t>0928</w:t>
            </w:r>
            <w:r w:rsidR="00E76C9A">
              <w:rPr>
                <w:lang w:val="en-CA"/>
              </w:rPr>
              <w:t>-v</w:t>
            </w:r>
            <w:r w:rsidR="002B6794">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F3649B" w:rsidR="00E61DAC" w:rsidRPr="005B217D" w:rsidRDefault="00B57A23" w:rsidP="00290F62">
            <w:pPr>
              <w:spacing w:before="60" w:after="60"/>
              <w:rPr>
                <w:b/>
                <w:szCs w:val="22"/>
                <w:lang w:val="en-CA"/>
              </w:rPr>
            </w:pPr>
            <w:r>
              <w:rPr>
                <w:b/>
                <w:szCs w:val="22"/>
                <w:lang w:val="en-CA"/>
              </w:rPr>
              <w:t>CE</w:t>
            </w:r>
            <w:r w:rsidR="009B3521">
              <w:rPr>
                <w:b/>
                <w:szCs w:val="22"/>
                <w:lang w:val="en-CA"/>
              </w:rPr>
              <w:t>7-</w:t>
            </w:r>
            <w:r w:rsidR="00290F62">
              <w:rPr>
                <w:b/>
                <w:szCs w:val="22"/>
                <w:lang w:val="en-CA"/>
              </w:rPr>
              <w:t>r</w:t>
            </w:r>
            <w:r w:rsidR="009B3521">
              <w:rPr>
                <w:b/>
                <w:szCs w:val="22"/>
                <w:lang w:val="en-CA"/>
              </w:rPr>
              <w:t xml:space="preserve">elated: Context reduction for entropy coding </w:t>
            </w:r>
            <w:proofErr w:type="spellStart"/>
            <w:r w:rsidR="009B3521" w:rsidRPr="009B3521">
              <w:rPr>
                <w:rFonts w:hint="eastAsia"/>
                <w:b/>
                <w:szCs w:val="22"/>
                <w:lang w:val="en-CA"/>
              </w:rPr>
              <w:t>sig_coeff_flag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BBBF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4D66C0" w:rsidR="00E61DAC" w:rsidRPr="005B217D" w:rsidRDefault="00F86FC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8966EC" w14:textId="77777777" w:rsidR="00E76C9A" w:rsidRDefault="00F86FC5">
            <w:pPr>
              <w:spacing w:before="60" w:after="60"/>
              <w:rPr>
                <w:szCs w:val="22"/>
                <w:lang w:val="en-CA"/>
              </w:rPr>
            </w:pPr>
            <w:r w:rsidRPr="00726C9D">
              <w:rPr>
                <w:szCs w:val="22"/>
                <w:lang w:val="en-CA"/>
              </w:rPr>
              <w:t>Shih-Ta Hsiang, Shaw-Min Lei</w:t>
            </w:r>
          </w:p>
          <w:p w14:paraId="49D81240" w14:textId="709EB100" w:rsidR="00E61DAC" w:rsidRPr="005B217D" w:rsidRDefault="00F86FC5">
            <w:pPr>
              <w:spacing w:before="60" w:after="60"/>
              <w:rPr>
                <w:szCs w:val="22"/>
                <w:lang w:val="en-CA" w:eastAsia="zh-TW"/>
              </w:rPr>
            </w:pPr>
            <w:bookmarkStart w:id="1" w:name="OLE_LINK36"/>
            <w:bookmarkStart w:id="2"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9090CF" w:rsidR="00E61DAC" w:rsidRPr="005B217D" w:rsidRDefault="00E61DAC" w:rsidP="00E76C9A">
            <w:pPr>
              <w:spacing w:before="60" w:after="60"/>
              <w:jc w:val="left"/>
              <w:rPr>
                <w:szCs w:val="22"/>
                <w:lang w:val="en-CA"/>
              </w:rPr>
            </w:pPr>
            <w:r w:rsidRPr="005B217D">
              <w:rPr>
                <w:szCs w:val="22"/>
                <w:lang w:val="en-CA"/>
              </w:rPr>
              <w:br/>
            </w:r>
            <w:r w:rsidR="00F86FC5" w:rsidRPr="009B7A8B">
              <w:rPr>
                <w:szCs w:val="22"/>
                <w:lang w:eastAsia="zh-TW"/>
              </w:rPr>
              <w:t>+886-3-5670766</w:t>
            </w:r>
            <w:r w:rsidRPr="005B217D">
              <w:rPr>
                <w:szCs w:val="22"/>
                <w:lang w:val="en-CA"/>
              </w:rPr>
              <w:br/>
            </w:r>
            <w:r w:rsidR="00F86FC5">
              <w:rPr>
                <w:rFonts w:hint="eastAsia"/>
                <w:szCs w:val="22"/>
                <w:lang w:val="en-CA" w:eastAsia="zh-TW"/>
              </w:rPr>
              <w:t>{</w:t>
            </w:r>
            <w:r w:rsidR="00F86FC5">
              <w:rPr>
                <w:szCs w:val="22"/>
                <w:lang w:val="en-CA"/>
              </w:rPr>
              <w:t>shih-</w:t>
            </w:r>
            <w:proofErr w:type="spellStart"/>
            <w:r w:rsidR="00F86FC5">
              <w:rPr>
                <w:szCs w:val="22"/>
                <w:lang w:val="en-CA"/>
              </w:rPr>
              <w:t>ta.hsiang</w:t>
            </w:r>
            <w:proofErr w:type="spellEnd"/>
            <w:r w:rsidR="00F86FC5">
              <w:rPr>
                <w:szCs w:val="22"/>
                <w:lang w:val="en-CA"/>
              </w:rPr>
              <w:t xml:space="preserve">, </w:t>
            </w:r>
            <w:proofErr w:type="spellStart"/>
            <w:r w:rsidR="00F86FC5" w:rsidRPr="00726C9D">
              <w:rPr>
                <w:szCs w:val="22"/>
                <w:lang w:val="en-CA"/>
              </w:rPr>
              <w:t>shawmin.lei</w:t>
            </w:r>
            <w:proofErr w:type="spellEnd"/>
            <w:r w:rsidR="00F86FC5">
              <w:rPr>
                <w:rFonts w:hint="eastAsia"/>
                <w:szCs w:val="22"/>
                <w:lang w:val="en-CA" w:eastAsia="zh-TW"/>
              </w:rPr>
              <w:t>}</w:t>
            </w:r>
            <w:r w:rsidR="00F86FC5">
              <w:rPr>
                <w:szCs w:val="22"/>
                <w:lang w:val="en-CA" w:eastAsia="zh-TW"/>
              </w:rPr>
              <w:t xml:space="preserve"> </w:t>
            </w:r>
            <w:r w:rsidR="00F86F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589D79" w:rsidR="00E61DAC" w:rsidRPr="005B217D" w:rsidRDefault="00F86F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BD334F0" w:rsidR="00263398" w:rsidRPr="00CC27CA" w:rsidRDefault="00FE4A26" w:rsidP="009234A5">
      <w:pPr>
        <w:rPr>
          <w:szCs w:val="22"/>
          <w:lang w:val="en-CA"/>
        </w:rPr>
      </w:pPr>
      <w:r>
        <w:rPr>
          <w:szCs w:val="22"/>
          <w:lang w:val="en-CA"/>
        </w:rPr>
        <w:t xml:space="preserve">In VVC Draft 5, the total number of the context variables for entropy coding the syntax element </w:t>
      </w:r>
      <w:proofErr w:type="spellStart"/>
      <w:r>
        <w:rPr>
          <w:rFonts w:hint="eastAsia"/>
          <w:lang w:eastAsia="zh-TW"/>
        </w:rPr>
        <w:t>sig_coeff_flag</w:t>
      </w:r>
      <w:proofErr w:type="spellEnd"/>
      <w:r>
        <w:rPr>
          <w:szCs w:val="22"/>
          <w:lang w:val="en-CA"/>
        </w:rPr>
        <w:t xml:space="preserve"> is significantly increased by allocating three separate sets of context variables for different dependent quantization states. This contribution proposes to reduce the number of context variables in the two additional context sets </w:t>
      </w:r>
      <w:r>
        <w:rPr>
          <w:lang w:eastAsia="zh-TW"/>
        </w:rPr>
        <w:t xml:space="preserve">associated </w:t>
      </w:r>
      <w:r w:rsidR="00AA15E3">
        <w:rPr>
          <w:lang w:eastAsia="zh-TW"/>
        </w:rPr>
        <w:t xml:space="preserve">with </w:t>
      </w:r>
      <w:r>
        <w:rPr>
          <w:szCs w:val="22"/>
          <w:lang w:val="en-CA"/>
        </w:rPr>
        <w:t>dependent quantization states 2 and 3, motivated by the observation that the context variables associated with</w:t>
      </w:r>
      <w:r w:rsidR="00815A7D">
        <w:rPr>
          <w:szCs w:val="22"/>
          <w:lang w:val="en-CA"/>
        </w:rPr>
        <w:t xml:space="preserve"> the local sum of the partially reconstructed level values </w:t>
      </w:r>
      <w:r>
        <w:rPr>
          <w:noProof/>
          <w:lang w:val="en-CA" w:eastAsia="ko-KR"/>
        </w:rPr>
        <w:t>locSumAbsPass1</w:t>
      </w:r>
      <w:r>
        <w:rPr>
          <w:szCs w:val="22"/>
          <w:lang w:val="en-CA"/>
        </w:rPr>
        <w:t xml:space="preserve"> &gt; 0 in a context subset corresponding to the same transform block zone often exhibit similar probability distribution.</w:t>
      </w:r>
      <w:r w:rsidR="00EA0F32">
        <w:rPr>
          <w:szCs w:val="22"/>
          <w:lang w:val="en-CA"/>
        </w:rPr>
        <w:t xml:space="preserve"> </w:t>
      </w:r>
      <w:r w:rsidR="00EA0F32" w:rsidRPr="00726C9D">
        <w:rPr>
          <w:szCs w:val="22"/>
        </w:rPr>
        <w:t xml:space="preserve">The proposed method reportedly </w:t>
      </w:r>
      <w:r w:rsidR="00815A7D">
        <w:rPr>
          <w:szCs w:val="22"/>
        </w:rPr>
        <w:t xml:space="preserve">provides </w:t>
      </w:r>
      <w:r w:rsidR="005D5BF4" w:rsidRPr="005D5BF4">
        <w:rPr>
          <w:szCs w:val="22"/>
        </w:rPr>
        <w:t>0.01</w:t>
      </w:r>
      <w:r w:rsidR="00815A7D" w:rsidRPr="005D5BF4">
        <w:rPr>
          <w:szCs w:val="22"/>
        </w:rPr>
        <w:t>%, 0</w:t>
      </w:r>
      <w:r w:rsidR="005D5BF4" w:rsidRPr="005D5BF4">
        <w:rPr>
          <w:szCs w:val="22"/>
        </w:rPr>
        <w:t>.00</w:t>
      </w:r>
      <w:r w:rsidR="00815A7D" w:rsidRPr="005D5BF4">
        <w:rPr>
          <w:szCs w:val="22"/>
        </w:rPr>
        <w:t>%</w:t>
      </w:r>
      <w:r w:rsidR="00E76C9A">
        <w:rPr>
          <w:szCs w:val="22"/>
        </w:rPr>
        <w:t>,</w:t>
      </w:r>
      <w:r w:rsidR="00815A7D" w:rsidRPr="005D5BF4">
        <w:rPr>
          <w:szCs w:val="22"/>
        </w:rPr>
        <w:t xml:space="preserve"> and </w:t>
      </w:r>
      <w:r w:rsidR="002B6794">
        <w:rPr>
          <w:szCs w:val="22"/>
        </w:rPr>
        <w:t>-0.05</w:t>
      </w:r>
      <w:r w:rsidR="00EA0F32" w:rsidRPr="00881DED">
        <w:rPr>
          <w:szCs w:val="22"/>
        </w:rPr>
        <w:t>%</w:t>
      </w:r>
      <w:r w:rsidR="00EA0F32" w:rsidRPr="00726C9D">
        <w:rPr>
          <w:szCs w:val="22"/>
        </w:rPr>
        <w:t xml:space="preserve"> </w:t>
      </w:r>
      <w:proofErr w:type="spellStart"/>
      <w:r w:rsidR="00EA0F32" w:rsidRPr="00726C9D">
        <w:rPr>
          <w:szCs w:val="22"/>
        </w:rPr>
        <w:t>luma</w:t>
      </w:r>
      <w:proofErr w:type="spellEnd"/>
      <w:r w:rsidR="00EA0F32" w:rsidRPr="00726C9D">
        <w:rPr>
          <w:szCs w:val="22"/>
        </w:rPr>
        <w:t xml:space="preserve"> BD-rates for the AI, RA, and LB settings, respectively</w:t>
      </w:r>
      <w:r w:rsidR="005303A4">
        <w:rPr>
          <w:szCs w:val="22"/>
        </w:rPr>
        <w:t>,</w:t>
      </w:r>
      <w:r w:rsidR="00EA0F32">
        <w:rPr>
          <w:szCs w:val="22"/>
        </w:rPr>
        <w:t xml:space="preserve"> under the</w:t>
      </w:r>
      <w:r w:rsidR="005303A4">
        <w:rPr>
          <w:szCs w:val="22"/>
        </w:rPr>
        <w:t xml:space="preserve"> common test conditions (CTC</w:t>
      </w:r>
      <w:r w:rsidR="00EA0F32" w:rsidRPr="00726C9D">
        <w:rPr>
          <w:szCs w:val="22"/>
        </w:rPr>
        <w:t xml:space="preserve">) while </w:t>
      </w:r>
      <w:r w:rsidR="00EA0F32">
        <w:rPr>
          <w:szCs w:val="22"/>
        </w:rPr>
        <w:t>achieving reduction of context variables by 24</w:t>
      </w:r>
      <w:r w:rsidR="00F523A0">
        <w:rPr>
          <w:szCs w:val="22"/>
        </w:rPr>
        <w:t xml:space="preserve"> or 40% of the total number of context variables </w:t>
      </w:r>
      <w:r w:rsidR="00AA15E3">
        <w:rPr>
          <w:lang w:eastAsia="zh-TW"/>
        </w:rPr>
        <w:t xml:space="preserve">associated with </w:t>
      </w:r>
      <w:r w:rsidR="00AA15E3">
        <w:rPr>
          <w:szCs w:val="22"/>
          <w:lang w:val="en-CA"/>
        </w:rPr>
        <w:t>dependent quantization states 2 and 3.</w:t>
      </w:r>
    </w:p>
    <w:p w14:paraId="23E8BD8C" w14:textId="77777777" w:rsidR="009B3521" w:rsidRPr="003D0176" w:rsidRDefault="009B3521" w:rsidP="009234A5">
      <w:pPr>
        <w:rPr>
          <w:szCs w:val="22"/>
        </w:rPr>
      </w:pPr>
    </w:p>
    <w:p w14:paraId="7D2AC1F0" w14:textId="116D2BA0" w:rsidR="00745F6B" w:rsidRPr="005B217D" w:rsidRDefault="00F86FC5" w:rsidP="00E11923">
      <w:pPr>
        <w:pStyle w:val="Heading1"/>
        <w:rPr>
          <w:lang w:val="en-CA"/>
        </w:rPr>
      </w:pPr>
      <w:r>
        <w:rPr>
          <w:lang w:val="en-CA"/>
        </w:rPr>
        <w:t>Introduction</w:t>
      </w:r>
    </w:p>
    <w:p w14:paraId="6D1A0865" w14:textId="32AEBC8F" w:rsidR="008C298E" w:rsidRDefault="00A60E64" w:rsidP="004234F0">
      <w:pPr>
        <w:rPr>
          <w:szCs w:val="22"/>
          <w:lang w:val="en-CA"/>
        </w:rPr>
      </w:pPr>
      <w:r>
        <w:rPr>
          <w:szCs w:val="22"/>
          <w:lang w:val="en-CA"/>
        </w:rPr>
        <w:t>In VVC</w:t>
      </w:r>
      <w:r w:rsidR="008C298E">
        <w:rPr>
          <w:szCs w:val="22"/>
          <w:lang w:val="en-CA"/>
        </w:rPr>
        <w:t xml:space="preserve"> Draft 5 [1]</w:t>
      </w:r>
      <w:r>
        <w:rPr>
          <w:szCs w:val="22"/>
          <w:lang w:val="en-CA"/>
        </w:rPr>
        <w:t xml:space="preserve">, </w:t>
      </w:r>
      <w:r w:rsidR="008C298E">
        <w:rPr>
          <w:szCs w:val="22"/>
          <w:lang w:val="en-CA"/>
        </w:rPr>
        <w:t xml:space="preserve">the total number of the context variables for </w:t>
      </w:r>
      <w:r w:rsidR="00C34692">
        <w:rPr>
          <w:szCs w:val="22"/>
          <w:lang w:val="en-CA"/>
        </w:rPr>
        <w:t xml:space="preserve">entropy </w:t>
      </w:r>
      <w:r w:rsidR="008C298E">
        <w:rPr>
          <w:szCs w:val="22"/>
          <w:lang w:val="en-CA"/>
        </w:rPr>
        <w:t xml:space="preserve">coding the syntax element </w:t>
      </w:r>
      <w:proofErr w:type="spellStart"/>
      <w:r w:rsidR="008C298E">
        <w:rPr>
          <w:rFonts w:hint="eastAsia"/>
          <w:lang w:eastAsia="zh-TW"/>
        </w:rPr>
        <w:t>sig_coeff_flag</w:t>
      </w:r>
      <w:proofErr w:type="spellEnd"/>
      <w:r w:rsidR="008C298E">
        <w:rPr>
          <w:szCs w:val="22"/>
          <w:lang w:val="en-CA"/>
        </w:rPr>
        <w:t xml:space="preserve"> is significantly increased by allocating three separate sets of context variables for entropy coding transform coefficient levels corresponding to different dependent quantization states</w:t>
      </w:r>
      <w:r w:rsidR="006E6706">
        <w:rPr>
          <w:szCs w:val="22"/>
          <w:lang w:val="en-CA"/>
        </w:rPr>
        <w:t xml:space="preserve">, indicated by the variable </w:t>
      </w:r>
      <w:r w:rsidR="006E6706" w:rsidRPr="00945AFA">
        <w:rPr>
          <w:noProof/>
          <w:lang w:val="en-CA" w:eastAsia="ko-KR"/>
        </w:rPr>
        <w:t>QState</w:t>
      </w:r>
      <w:r w:rsidR="00C34692">
        <w:rPr>
          <w:szCs w:val="22"/>
          <w:lang w:val="en-CA"/>
        </w:rPr>
        <w:t>.</w:t>
      </w:r>
    </w:p>
    <w:p w14:paraId="203DB9EF" w14:textId="1F68600D" w:rsidR="00C34692" w:rsidRDefault="00C34692" w:rsidP="004234F0">
      <w:pPr>
        <w:rPr>
          <w:szCs w:val="22"/>
          <w:lang w:val="en-CA"/>
        </w:rPr>
      </w:pPr>
      <w:r>
        <w:rPr>
          <w:szCs w:val="22"/>
          <w:lang w:val="en-CA"/>
        </w:rPr>
        <w:t xml:space="preserve">This contribution proposes to reduce the number of context variables in the </w:t>
      </w:r>
      <w:r w:rsidR="00595FDC">
        <w:rPr>
          <w:szCs w:val="22"/>
          <w:lang w:val="en-CA"/>
        </w:rPr>
        <w:t xml:space="preserve">two additional </w:t>
      </w:r>
      <w:r>
        <w:rPr>
          <w:szCs w:val="22"/>
          <w:lang w:val="en-CA"/>
        </w:rPr>
        <w:t xml:space="preserve">context sets </w:t>
      </w:r>
      <w:r>
        <w:rPr>
          <w:lang w:eastAsia="zh-TW"/>
        </w:rPr>
        <w:t>associated with</w:t>
      </w:r>
      <w:r>
        <w:rPr>
          <w:szCs w:val="22"/>
          <w:lang w:val="en-CA"/>
        </w:rPr>
        <w:t xml:space="preserve"> entropy coding </w:t>
      </w:r>
      <w:proofErr w:type="spellStart"/>
      <w:r>
        <w:rPr>
          <w:rFonts w:hint="eastAsia"/>
          <w:lang w:eastAsia="zh-TW"/>
        </w:rPr>
        <w:t>sig_coeff_flag</w:t>
      </w:r>
      <w:proofErr w:type="spellEnd"/>
      <w:r>
        <w:rPr>
          <w:lang w:eastAsia="zh-TW"/>
        </w:rPr>
        <w:t xml:space="preserve"> in </w:t>
      </w:r>
      <w:r w:rsidR="00595FDC">
        <w:rPr>
          <w:szCs w:val="22"/>
          <w:lang w:val="en-CA"/>
        </w:rPr>
        <w:t>dependent quantization states 2 and 3.</w:t>
      </w:r>
    </w:p>
    <w:p w14:paraId="24EC03AE" w14:textId="77777777" w:rsidR="00882CE2" w:rsidRDefault="00882CE2" w:rsidP="004234F0">
      <w:pPr>
        <w:rPr>
          <w:lang w:eastAsia="zh-TW"/>
        </w:rPr>
      </w:pPr>
    </w:p>
    <w:p w14:paraId="01E8CC4A" w14:textId="77777777" w:rsidR="00F86FC5" w:rsidRDefault="00F86FC5" w:rsidP="00F86FC5">
      <w:pPr>
        <w:pStyle w:val="Heading1"/>
        <w:rPr>
          <w:lang w:val="en-CA" w:eastAsia="zh-TW"/>
        </w:rPr>
      </w:pPr>
      <w:r>
        <w:rPr>
          <w:lang w:val="en-CA" w:eastAsia="zh-TW"/>
        </w:rPr>
        <w:t>Proposed method</w:t>
      </w:r>
    </w:p>
    <w:p w14:paraId="7AC85A3A" w14:textId="03A0E3F1" w:rsidR="00DC7F9D" w:rsidRDefault="00A60E64" w:rsidP="004234F0">
      <w:pPr>
        <w:rPr>
          <w:szCs w:val="22"/>
          <w:lang w:val="en-CA"/>
        </w:rPr>
      </w:pPr>
      <w:r>
        <w:rPr>
          <w:szCs w:val="22"/>
          <w:lang w:val="en-CA"/>
        </w:rPr>
        <w:t>In this contribution</w:t>
      </w:r>
      <w:r w:rsidR="00595FDC">
        <w:rPr>
          <w:szCs w:val="22"/>
          <w:lang w:val="en-CA"/>
        </w:rPr>
        <w:t>,</w:t>
      </w:r>
      <w:r w:rsidR="009B3521">
        <w:rPr>
          <w:szCs w:val="22"/>
          <w:lang w:val="en-CA"/>
        </w:rPr>
        <w:t xml:space="preserve"> the number of the context variables </w:t>
      </w:r>
      <w:r w:rsidR="00595FDC">
        <w:rPr>
          <w:szCs w:val="22"/>
          <w:lang w:val="en-CA"/>
        </w:rPr>
        <w:t xml:space="preserve">in the context sets </w:t>
      </w:r>
      <w:r w:rsidR="00595FDC">
        <w:rPr>
          <w:lang w:eastAsia="zh-TW"/>
        </w:rPr>
        <w:t>associated with</w:t>
      </w:r>
      <w:r w:rsidR="00595FDC">
        <w:rPr>
          <w:szCs w:val="22"/>
          <w:lang w:val="en-CA"/>
        </w:rPr>
        <w:t xml:space="preserve"> dependent quantization states 2 and 3</w:t>
      </w:r>
      <w:r w:rsidR="00991478">
        <w:rPr>
          <w:szCs w:val="22"/>
          <w:lang w:val="en-CA"/>
        </w:rPr>
        <w:t xml:space="preserve"> are significantly reduced. It is motivated by the observation that the context variables</w:t>
      </w:r>
      <w:r w:rsidR="00DC7F9D">
        <w:rPr>
          <w:szCs w:val="22"/>
          <w:lang w:val="en-CA"/>
        </w:rPr>
        <w:t xml:space="preserve"> associated with </w:t>
      </w:r>
      <w:r w:rsidR="00AD54AA">
        <w:rPr>
          <w:noProof/>
          <w:lang w:val="en-CA" w:eastAsia="ko-KR"/>
        </w:rPr>
        <w:t>locSumAbsPass1</w:t>
      </w:r>
      <w:r w:rsidR="00DC7F9D">
        <w:rPr>
          <w:szCs w:val="22"/>
          <w:lang w:val="en-CA"/>
        </w:rPr>
        <w:t xml:space="preserve"> &gt; 0</w:t>
      </w:r>
      <w:r w:rsidR="00991478">
        <w:rPr>
          <w:szCs w:val="22"/>
          <w:lang w:val="en-CA"/>
        </w:rPr>
        <w:t xml:space="preserve"> </w:t>
      </w:r>
      <w:r w:rsidR="00DC7F9D">
        <w:rPr>
          <w:szCs w:val="22"/>
          <w:lang w:val="en-CA"/>
        </w:rPr>
        <w:t xml:space="preserve">in a context subset </w:t>
      </w:r>
      <w:r w:rsidR="00991478">
        <w:rPr>
          <w:szCs w:val="22"/>
          <w:lang w:val="en-CA"/>
        </w:rPr>
        <w:t xml:space="preserve">corresponding to the same transform block </w:t>
      </w:r>
      <w:r w:rsidR="006E6706">
        <w:rPr>
          <w:szCs w:val="22"/>
          <w:lang w:val="en-CA"/>
        </w:rPr>
        <w:t xml:space="preserve">(TB) </w:t>
      </w:r>
      <w:r w:rsidR="00991478">
        <w:rPr>
          <w:szCs w:val="22"/>
          <w:lang w:val="en-CA"/>
        </w:rPr>
        <w:t>zone</w:t>
      </w:r>
      <w:r w:rsidR="00D12358">
        <w:rPr>
          <w:szCs w:val="22"/>
          <w:lang w:val="en-CA"/>
        </w:rPr>
        <w:t xml:space="preserve"> often</w:t>
      </w:r>
      <w:r w:rsidR="00991478">
        <w:rPr>
          <w:szCs w:val="22"/>
          <w:lang w:val="en-CA"/>
        </w:rPr>
        <w:t xml:space="preserve"> exhibit similar</w:t>
      </w:r>
      <w:r w:rsidR="00DC7F9D">
        <w:rPr>
          <w:szCs w:val="22"/>
          <w:lang w:val="en-CA"/>
        </w:rPr>
        <w:t xml:space="preserve"> probability distribution</w:t>
      </w:r>
      <w:r w:rsidR="002E76DC">
        <w:rPr>
          <w:szCs w:val="22"/>
          <w:lang w:val="en-CA"/>
        </w:rPr>
        <w:t xml:space="preserve">, where the variable </w:t>
      </w:r>
      <w:r w:rsidR="002E76DC">
        <w:rPr>
          <w:noProof/>
          <w:lang w:val="en-CA" w:eastAsia="ko-KR"/>
        </w:rPr>
        <w:t>locSumAbsPass1 is the sum of absolute values of partialy reconstructed coefficient levels from a local template.</w:t>
      </w:r>
    </w:p>
    <w:p w14:paraId="74D13926" w14:textId="3FA1155E" w:rsidR="00C841F7" w:rsidRDefault="00C841F7" w:rsidP="004234F0">
      <w:pPr>
        <w:rPr>
          <w:szCs w:val="22"/>
          <w:lang w:val="en-CA"/>
        </w:rPr>
      </w:pPr>
      <w:r>
        <w:rPr>
          <w:szCs w:val="22"/>
          <w:lang w:val="en-CA"/>
        </w:rPr>
        <w:t>In the proposed method, the number of the cont</w:t>
      </w:r>
      <w:r w:rsidR="00882CE2">
        <w:rPr>
          <w:szCs w:val="22"/>
          <w:lang w:val="en-CA"/>
        </w:rPr>
        <w:t>ext variables is reduced to 2 f</w:t>
      </w:r>
      <w:r>
        <w:rPr>
          <w:szCs w:val="22"/>
          <w:lang w:val="en-CA"/>
        </w:rPr>
        <w:t>r</w:t>
      </w:r>
      <w:r w:rsidR="00882CE2">
        <w:rPr>
          <w:szCs w:val="22"/>
          <w:lang w:val="en-CA"/>
        </w:rPr>
        <w:t>o</w:t>
      </w:r>
      <w:r>
        <w:rPr>
          <w:szCs w:val="22"/>
          <w:lang w:val="en-CA"/>
        </w:rPr>
        <w:t xml:space="preserve">m 6 for some context subsets. </w:t>
      </w:r>
      <w:r w:rsidR="002E76DC">
        <w:rPr>
          <w:noProof/>
          <w:lang w:val="en-CA" w:eastAsia="ko-KR"/>
        </w:rPr>
        <w:t>The 1st context variable is selected when locSumAbsPass1 is equal to 0. The 2</w:t>
      </w:r>
      <w:r w:rsidR="002E76DC" w:rsidRPr="002E76DC">
        <w:rPr>
          <w:noProof/>
          <w:vertAlign w:val="superscript"/>
          <w:lang w:val="en-CA" w:eastAsia="ko-KR"/>
        </w:rPr>
        <w:t>nd</w:t>
      </w:r>
      <w:r w:rsidR="002E76DC">
        <w:rPr>
          <w:noProof/>
          <w:lang w:val="en-CA" w:eastAsia="ko-KR"/>
        </w:rPr>
        <w:t xml:space="preserve"> context variable is selected, otherwise. Context reduction is applied to </w:t>
      </w:r>
      <w:r w:rsidR="002E76DC">
        <w:rPr>
          <w:szCs w:val="22"/>
          <w:lang w:val="en-CA"/>
        </w:rPr>
        <w:t xml:space="preserve">the 4 context subsets corresponding to the TB zones with d &lt; 5 and </w:t>
      </w:r>
      <w:r w:rsidR="002E76DC" w:rsidRPr="00945AFA">
        <w:rPr>
          <w:noProof/>
          <w:lang w:val="en-CA" w:eastAsia="ko-KR"/>
        </w:rPr>
        <w:t>QState</w:t>
      </w:r>
      <w:r w:rsidR="002E76DC">
        <w:rPr>
          <w:noProof/>
          <w:lang w:val="en-CA" w:eastAsia="ko-KR"/>
        </w:rPr>
        <w:t xml:space="preserve"> equal to 2 or 3 in a luma TB and to the 2 </w:t>
      </w:r>
      <w:r w:rsidR="002E76DC">
        <w:rPr>
          <w:szCs w:val="22"/>
          <w:lang w:val="en-CA"/>
        </w:rPr>
        <w:t xml:space="preserve">context subsets corresponding to the TB zones </w:t>
      </w:r>
      <w:r w:rsidR="00AA15E3">
        <w:rPr>
          <w:szCs w:val="22"/>
          <w:lang w:val="en-CA"/>
        </w:rPr>
        <w:lastRenderedPageBreak/>
        <w:t xml:space="preserve">associated </w:t>
      </w:r>
      <w:r w:rsidR="002E76DC">
        <w:rPr>
          <w:szCs w:val="22"/>
          <w:lang w:val="en-CA"/>
        </w:rPr>
        <w:t xml:space="preserve">with d &lt; 2 and </w:t>
      </w:r>
      <w:r w:rsidR="002E76DC" w:rsidRPr="00945AFA">
        <w:rPr>
          <w:noProof/>
          <w:lang w:val="en-CA" w:eastAsia="ko-KR"/>
        </w:rPr>
        <w:t>QState</w:t>
      </w:r>
      <w:r w:rsidR="002E76DC">
        <w:rPr>
          <w:noProof/>
          <w:lang w:val="en-CA" w:eastAsia="ko-KR"/>
        </w:rPr>
        <w:t xml:space="preserve"> equal to 2 or 3 in a chroma TB, leading to overall context reduction by 24.</w:t>
      </w:r>
    </w:p>
    <w:p w14:paraId="2E583427" w14:textId="2C066922" w:rsidR="009B3521" w:rsidRPr="005B217D" w:rsidRDefault="009B3521" w:rsidP="004234F0">
      <w:pPr>
        <w:rPr>
          <w:szCs w:val="22"/>
          <w:lang w:val="en-CA"/>
        </w:rPr>
      </w:pPr>
    </w:p>
    <w:p w14:paraId="3AE7F27F" w14:textId="77777777" w:rsidR="00F86FC5" w:rsidRDefault="00F86FC5" w:rsidP="00F86FC5">
      <w:pPr>
        <w:pStyle w:val="Heading1"/>
        <w:rPr>
          <w:lang w:val="en-CA" w:eastAsia="zh-TW"/>
        </w:rPr>
      </w:pPr>
      <w:r>
        <w:rPr>
          <w:lang w:val="en-CA" w:eastAsia="zh-TW"/>
        </w:rPr>
        <w:t>Experimental results</w:t>
      </w:r>
    </w:p>
    <w:p w14:paraId="043C5A21" w14:textId="6525DAB8" w:rsidR="00EA0F32" w:rsidRDefault="00EA0F32" w:rsidP="00EA0F32">
      <w:pPr>
        <w:rPr>
          <w:szCs w:val="22"/>
          <w:lang w:val="en-CA"/>
        </w:rPr>
      </w:pPr>
      <w:r w:rsidRPr="00726C9D">
        <w:rPr>
          <w:szCs w:val="22"/>
          <w:lang w:val="en-CA"/>
        </w:rPr>
        <w:t>The proposed method was integrated into the VTM</w:t>
      </w:r>
      <w:r>
        <w:rPr>
          <w:szCs w:val="22"/>
          <w:lang w:val="en-CA"/>
        </w:rPr>
        <w:t>5</w:t>
      </w:r>
      <w:r w:rsidRPr="00726C9D">
        <w:rPr>
          <w:szCs w:val="22"/>
          <w:lang w:val="en-CA"/>
        </w:rPr>
        <w:t>.0 reference software [2]. The coding results generated by the proposed method were evaluated against the anchor results generated by the unmodified VTM</w:t>
      </w:r>
      <w:r>
        <w:rPr>
          <w:szCs w:val="22"/>
          <w:lang w:val="en-CA"/>
        </w:rPr>
        <w:t>5</w:t>
      </w:r>
      <w:r w:rsidRPr="00726C9D">
        <w:rPr>
          <w:szCs w:val="22"/>
          <w:lang w:val="en-CA"/>
        </w:rPr>
        <w:t xml:space="preserve">.0 </w:t>
      </w:r>
      <w:r>
        <w:rPr>
          <w:szCs w:val="22"/>
          <w:lang w:val="en-CA"/>
        </w:rPr>
        <w:t>reference software. Table 1</w:t>
      </w:r>
      <w:r w:rsidRPr="00726C9D">
        <w:rPr>
          <w:szCs w:val="22"/>
          <w:lang w:val="en-CA"/>
        </w:rPr>
        <w:t xml:space="preserve"> summarizes the experimental</w:t>
      </w:r>
      <w:r>
        <w:rPr>
          <w:szCs w:val="22"/>
          <w:lang w:val="en-CA"/>
        </w:rPr>
        <w:t xml:space="preserve"> </w:t>
      </w:r>
      <w:r w:rsidR="00CC27CA">
        <w:rPr>
          <w:szCs w:val="22"/>
          <w:lang w:val="en-CA"/>
        </w:rPr>
        <w:t>results conducted under the CTC</w:t>
      </w:r>
      <w:r>
        <w:rPr>
          <w:szCs w:val="22"/>
          <w:lang w:val="en-CA"/>
        </w:rPr>
        <w:t xml:space="preserve"> defined </w:t>
      </w:r>
      <w:r w:rsidRPr="00726C9D">
        <w:rPr>
          <w:szCs w:val="22"/>
          <w:lang w:val="en-CA"/>
        </w:rPr>
        <w:t>in [3]. The detailed simulation results can be found in the attached spreadsheets.</w:t>
      </w:r>
    </w:p>
    <w:p w14:paraId="6824362F" w14:textId="77777777" w:rsidR="00EA0F32" w:rsidRDefault="00EA0F32" w:rsidP="00EA0F32">
      <w:pPr>
        <w:rPr>
          <w:szCs w:val="22"/>
          <w:lang w:val="en-CA" w:eastAsia="zh-TW"/>
        </w:rPr>
      </w:pPr>
    </w:p>
    <w:p w14:paraId="70F8427E" w14:textId="77777777" w:rsidR="002B6794" w:rsidRDefault="002B6794" w:rsidP="002B6794">
      <w:pPr>
        <w:jc w:val="center"/>
        <w:rPr>
          <w:szCs w:val="22"/>
          <w:lang w:val="en-CA" w:eastAsia="zh-TW"/>
        </w:rPr>
      </w:pPr>
      <w:r>
        <w:rPr>
          <w:szCs w:val="22"/>
          <w:lang w:val="en-CA" w:eastAsia="zh-TW"/>
        </w:rPr>
        <w:t>Table 1</w:t>
      </w:r>
      <w:r w:rsidRPr="00726C9D">
        <w:rPr>
          <w:szCs w:val="22"/>
          <w:lang w:val="en-CA" w:eastAsia="zh-TW"/>
        </w:rPr>
        <w:t>: Summary of the average BD bitrate results using the proposed method</w:t>
      </w:r>
    </w:p>
    <w:tbl>
      <w:tblPr>
        <w:tblW w:w="7700" w:type="dxa"/>
        <w:jc w:val="center"/>
        <w:tblLook w:val="04A0" w:firstRow="1" w:lastRow="0" w:firstColumn="1" w:lastColumn="0" w:noHBand="0" w:noVBand="1"/>
      </w:tblPr>
      <w:tblGrid>
        <w:gridCol w:w="1000"/>
        <w:gridCol w:w="1467"/>
        <w:gridCol w:w="1467"/>
        <w:gridCol w:w="1467"/>
        <w:gridCol w:w="1101"/>
        <w:gridCol w:w="1198"/>
      </w:tblGrid>
      <w:tr w:rsidR="002B6794" w:rsidRPr="00B8059B" w14:paraId="6F790C4F" w14:textId="77777777" w:rsidTr="00143C1D">
        <w:trPr>
          <w:trHeight w:val="255"/>
          <w:jc w:val="center"/>
        </w:trPr>
        <w:tc>
          <w:tcPr>
            <w:tcW w:w="1000" w:type="dxa"/>
            <w:tcBorders>
              <w:top w:val="nil"/>
              <w:left w:val="nil"/>
              <w:bottom w:val="nil"/>
              <w:right w:val="nil"/>
            </w:tcBorders>
            <w:shd w:val="clear" w:color="auto" w:fill="auto"/>
            <w:noWrap/>
            <w:vAlign w:val="bottom"/>
            <w:hideMark/>
          </w:tcPr>
          <w:p w14:paraId="7F1BBF0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7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67D497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8059B">
              <w:rPr>
                <w:rFonts w:ascii="Arial" w:eastAsia="Times New Roman" w:hAnsi="Arial" w:cs="Arial"/>
                <w:b/>
                <w:bCs/>
                <w:color w:val="000000"/>
                <w:sz w:val="18"/>
                <w:szCs w:val="18"/>
                <w:lang w:eastAsia="zh-TW"/>
              </w:rPr>
              <w:t>Random Access Main 10</w:t>
            </w:r>
          </w:p>
        </w:tc>
      </w:tr>
      <w:tr w:rsidR="002B6794" w:rsidRPr="00B8059B" w14:paraId="5D5A7922" w14:textId="77777777" w:rsidTr="00143C1D">
        <w:trPr>
          <w:trHeight w:val="255"/>
          <w:jc w:val="center"/>
        </w:trPr>
        <w:tc>
          <w:tcPr>
            <w:tcW w:w="1000" w:type="dxa"/>
            <w:tcBorders>
              <w:top w:val="nil"/>
              <w:left w:val="nil"/>
              <w:bottom w:val="nil"/>
              <w:right w:val="nil"/>
            </w:tcBorders>
            <w:shd w:val="clear" w:color="auto" w:fill="auto"/>
            <w:noWrap/>
            <w:vAlign w:val="bottom"/>
            <w:hideMark/>
          </w:tcPr>
          <w:p w14:paraId="11DA32F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7AE27975"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8059B">
              <w:rPr>
                <w:rFonts w:ascii="Arial" w:eastAsia="Times New Roman" w:hAnsi="Arial" w:cs="Arial"/>
                <w:b/>
                <w:bCs/>
                <w:color w:val="000000"/>
                <w:sz w:val="18"/>
                <w:szCs w:val="18"/>
                <w:lang w:eastAsia="zh-TW"/>
              </w:rPr>
              <w:t>Over VTM-5.0</w:t>
            </w:r>
          </w:p>
        </w:tc>
      </w:tr>
      <w:tr w:rsidR="002B6794" w:rsidRPr="00B8059B" w14:paraId="6AA2A331" w14:textId="77777777" w:rsidTr="00143C1D">
        <w:trPr>
          <w:trHeight w:val="255"/>
          <w:jc w:val="center"/>
        </w:trPr>
        <w:tc>
          <w:tcPr>
            <w:tcW w:w="1000" w:type="dxa"/>
            <w:tcBorders>
              <w:top w:val="nil"/>
              <w:left w:val="nil"/>
              <w:bottom w:val="nil"/>
              <w:right w:val="nil"/>
            </w:tcBorders>
            <w:shd w:val="clear" w:color="auto" w:fill="auto"/>
            <w:noWrap/>
            <w:vAlign w:val="bottom"/>
            <w:hideMark/>
          </w:tcPr>
          <w:p w14:paraId="72E6027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67" w:type="dxa"/>
            <w:tcBorders>
              <w:top w:val="nil"/>
              <w:left w:val="single" w:sz="8" w:space="0" w:color="000000"/>
              <w:bottom w:val="single" w:sz="8" w:space="0" w:color="000000"/>
              <w:right w:val="nil"/>
            </w:tcBorders>
            <w:shd w:val="clear" w:color="auto" w:fill="auto"/>
            <w:noWrap/>
            <w:vAlign w:val="center"/>
            <w:hideMark/>
          </w:tcPr>
          <w:p w14:paraId="7CF96565"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Y</w:t>
            </w:r>
          </w:p>
        </w:tc>
        <w:tc>
          <w:tcPr>
            <w:tcW w:w="1467" w:type="dxa"/>
            <w:tcBorders>
              <w:top w:val="nil"/>
              <w:left w:val="nil"/>
              <w:bottom w:val="single" w:sz="8" w:space="0" w:color="000000"/>
              <w:right w:val="nil"/>
            </w:tcBorders>
            <w:shd w:val="clear" w:color="auto" w:fill="auto"/>
            <w:noWrap/>
            <w:vAlign w:val="center"/>
            <w:hideMark/>
          </w:tcPr>
          <w:p w14:paraId="06B3CFB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U</w:t>
            </w:r>
          </w:p>
        </w:tc>
        <w:tc>
          <w:tcPr>
            <w:tcW w:w="1467" w:type="dxa"/>
            <w:tcBorders>
              <w:top w:val="nil"/>
              <w:left w:val="nil"/>
              <w:bottom w:val="single" w:sz="8" w:space="0" w:color="000000"/>
              <w:right w:val="single" w:sz="4" w:space="0" w:color="000000"/>
            </w:tcBorders>
            <w:shd w:val="clear" w:color="auto" w:fill="auto"/>
            <w:noWrap/>
            <w:vAlign w:val="center"/>
            <w:hideMark/>
          </w:tcPr>
          <w:p w14:paraId="3B33D12E"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V</w:t>
            </w:r>
          </w:p>
        </w:tc>
        <w:tc>
          <w:tcPr>
            <w:tcW w:w="1101" w:type="dxa"/>
            <w:tcBorders>
              <w:top w:val="nil"/>
              <w:left w:val="nil"/>
              <w:bottom w:val="single" w:sz="8" w:space="0" w:color="000000"/>
              <w:right w:val="nil"/>
            </w:tcBorders>
            <w:shd w:val="clear" w:color="auto" w:fill="auto"/>
            <w:noWrap/>
            <w:vAlign w:val="center"/>
            <w:hideMark/>
          </w:tcPr>
          <w:p w14:paraId="4DECB2A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8059B">
              <w:rPr>
                <w:rFonts w:ascii="Arial" w:eastAsia="Times New Roman" w:hAnsi="Arial" w:cs="Arial"/>
                <w:color w:val="000000"/>
                <w:sz w:val="18"/>
                <w:szCs w:val="18"/>
                <w:lang w:eastAsia="zh-TW"/>
              </w:rPr>
              <w:t>EncT</w:t>
            </w:r>
            <w:proofErr w:type="spellEnd"/>
          </w:p>
        </w:tc>
        <w:tc>
          <w:tcPr>
            <w:tcW w:w="1198" w:type="dxa"/>
            <w:tcBorders>
              <w:top w:val="nil"/>
              <w:left w:val="nil"/>
              <w:bottom w:val="single" w:sz="8" w:space="0" w:color="000000"/>
              <w:right w:val="single" w:sz="8" w:space="0" w:color="000000"/>
            </w:tcBorders>
            <w:shd w:val="clear" w:color="auto" w:fill="auto"/>
            <w:noWrap/>
            <w:vAlign w:val="center"/>
            <w:hideMark/>
          </w:tcPr>
          <w:p w14:paraId="0C8F259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8059B">
              <w:rPr>
                <w:rFonts w:ascii="Arial" w:eastAsia="Times New Roman" w:hAnsi="Arial" w:cs="Arial"/>
                <w:color w:val="000000"/>
                <w:sz w:val="18"/>
                <w:szCs w:val="18"/>
                <w:lang w:eastAsia="zh-TW"/>
              </w:rPr>
              <w:t>DecT</w:t>
            </w:r>
            <w:proofErr w:type="spellEnd"/>
          </w:p>
        </w:tc>
      </w:tr>
      <w:tr w:rsidR="002B6794" w:rsidRPr="00B8059B" w14:paraId="0A2B606E" w14:textId="77777777" w:rsidTr="00143C1D">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7C5B809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5D6203D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0.00%</w:t>
            </w:r>
          </w:p>
        </w:tc>
        <w:tc>
          <w:tcPr>
            <w:tcW w:w="1467" w:type="dxa"/>
            <w:tcBorders>
              <w:top w:val="nil"/>
              <w:left w:val="nil"/>
              <w:bottom w:val="nil"/>
              <w:right w:val="nil"/>
            </w:tcBorders>
            <w:shd w:val="clear" w:color="auto" w:fill="auto"/>
            <w:noWrap/>
            <w:vAlign w:val="center"/>
            <w:hideMark/>
          </w:tcPr>
          <w:p w14:paraId="143B26CE"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0.05%</w:t>
            </w:r>
          </w:p>
        </w:tc>
        <w:tc>
          <w:tcPr>
            <w:tcW w:w="1467" w:type="dxa"/>
            <w:tcBorders>
              <w:top w:val="nil"/>
              <w:left w:val="nil"/>
              <w:bottom w:val="nil"/>
              <w:right w:val="single" w:sz="4" w:space="0" w:color="000000"/>
            </w:tcBorders>
            <w:shd w:val="clear" w:color="auto" w:fill="auto"/>
            <w:noWrap/>
            <w:vAlign w:val="center"/>
            <w:hideMark/>
          </w:tcPr>
          <w:p w14:paraId="3C4C676E"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0.07%</w:t>
            </w:r>
          </w:p>
        </w:tc>
        <w:tc>
          <w:tcPr>
            <w:tcW w:w="1101" w:type="dxa"/>
            <w:tcBorders>
              <w:top w:val="nil"/>
              <w:left w:val="nil"/>
              <w:bottom w:val="nil"/>
              <w:right w:val="nil"/>
            </w:tcBorders>
            <w:shd w:val="clear" w:color="auto" w:fill="auto"/>
            <w:noWrap/>
            <w:vAlign w:val="center"/>
            <w:hideMark/>
          </w:tcPr>
          <w:p w14:paraId="5A28C27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99%</w:t>
            </w:r>
          </w:p>
        </w:tc>
        <w:tc>
          <w:tcPr>
            <w:tcW w:w="1198" w:type="dxa"/>
            <w:tcBorders>
              <w:top w:val="nil"/>
              <w:left w:val="nil"/>
              <w:bottom w:val="nil"/>
              <w:right w:val="single" w:sz="8" w:space="0" w:color="000000"/>
            </w:tcBorders>
            <w:shd w:val="clear" w:color="auto" w:fill="auto"/>
            <w:noWrap/>
            <w:vAlign w:val="center"/>
            <w:hideMark/>
          </w:tcPr>
          <w:p w14:paraId="68B8874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98%</w:t>
            </w:r>
          </w:p>
        </w:tc>
      </w:tr>
      <w:tr w:rsidR="002B6794" w:rsidRPr="00B8059B" w14:paraId="02F0C33D" w14:textId="77777777" w:rsidTr="00143C1D">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3D1F0C11"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6B1EB32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0.02%</w:t>
            </w:r>
          </w:p>
        </w:tc>
        <w:tc>
          <w:tcPr>
            <w:tcW w:w="1467" w:type="dxa"/>
            <w:tcBorders>
              <w:top w:val="nil"/>
              <w:left w:val="nil"/>
              <w:bottom w:val="nil"/>
              <w:right w:val="nil"/>
            </w:tcBorders>
            <w:shd w:val="clear" w:color="auto" w:fill="auto"/>
            <w:noWrap/>
            <w:vAlign w:val="center"/>
            <w:hideMark/>
          </w:tcPr>
          <w:p w14:paraId="13CCBEB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0.02%</w:t>
            </w:r>
          </w:p>
        </w:tc>
        <w:tc>
          <w:tcPr>
            <w:tcW w:w="1467" w:type="dxa"/>
            <w:tcBorders>
              <w:top w:val="nil"/>
              <w:left w:val="nil"/>
              <w:bottom w:val="nil"/>
              <w:right w:val="single" w:sz="4" w:space="0" w:color="000000"/>
            </w:tcBorders>
            <w:shd w:val="clear" w:color="auto" w:fill="auto"/>
            <w:noWrap/>
            <w:vAlign w:val="center"/>
            <w:hideMark/>
          </w:tcPr>
          <w:p w14:paraId="30BDEFA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-0.10%</w:t>
            </w:r>
          </w:p>
        </w:tc>
        <w:tc>
          <w:tcPr>
            <w:tcW w:w="1101" w:type="dxa"/>
            <w:tcBorders>
              <w:top w:val="nil"/>
              <w:left w:val="nil"/>
              <w:bottom w:val="nil"/>
              <w:right w:val="nil"/>
            </w:tcBorders>
            <w:shd w:val="clear" w:color="auto" w:fill="auto"/>
            <w:noWrap/>
            <w:vAlign w:val="center"/>
            <w:hideMark/>
          </w:tcPr>
          <w:p w14:paraId="01A01D89"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99%</w:t>
            </w:r>
          </w:p>
        </w:tc>
        <w:tc>
          <w:tcPr>
            <w:tcW w:w="1198" w:type="dxa"/>
            <w:tcBorders>
              <w:top w:val="nil"/>
              <w:left w:val="nil"/>
              <w:bottom w:val="nil"/>
              <w:right w:val="single" w:sz="8" w:space="0" w:color="000000"/>
            </w:tcBorders>
            <w:shd w:val="clear" w:color="auto" w:fill="auto"/>
            <w:noWrap/>
            <w:vAlign w:val="center"/>
            <w:hideMark/>
          </w:tcPr>
          <w:p w14:paraId="7699BCE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101%</w:t>
            </w:r>
          </w:p>
        </w:tc>
      </w:tr>
      <w:tr w:rsidR="002B6794" w:rsidRPr="00B8059B" w14:paraId="47093E00" w14:textId="77777777" w:rsidTr="00143C1D">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697EA79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3AF0410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0.01%</w:t>
            </w:r>
          </w:p>
        </w:tc>
        <w:tc>
          <w:tcPr>
            <w:tcW w:w="1467" w:type="dxa"/>
            <w:tcBorders>
              <w:top w:val="nil"/>
              <w:left w:val="nil"/>
              <w:bottom w:val="nil"/>
              <w:right w:val="nil"/>
            </w:tcBorders>
            <w:shd w:val="clear" w:color="auto" w:fill="auto"/>
            <w:noWrap/>
            <w:vAlign w:val="center"/>
            <w:hideMark/>
          </w:tcPr>
          <w:p w14:paraId="2DFC3723"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-0.02%</w:t>
            </w:r>
          </w:p>
        </w:tc>
        <w:tc>
          <w:tcPr>
            <w:tcW w:w="1467" w:type="dxa"/>
            <w:tcBorders>
              <w:top w:val="nil"/>
              <w:left w:val="nil"/>
              <w:bottom w:val="nil"/>
              <w:right w:val="single" w:sz="4" w:space="0" w:color="000000"/>
            </w:tcBorders>
            <w:shd w:val="clear" w:color="auto" w:fill="auto"/>
            <w:noWrap/>
            <w:vAlign w:val="center"/>
            <w:hideMark/>
          </w:tcPr>
          <w:p w14:paraId="3FDC0205"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-0.35%</w:t>
            </w:r>
          </w:p>
        </w:tc>
        <w:tc>
          <w:tcPr>
            <w:tcW w:w="1101" w:type="dxa"/>
            <w:tcBorders>
              <w:top w:val="nil"/>
              <w:left w:val="nil"/>
              <w:bottom w:val="nil"/>
              <w:right w:val="nil"/>
            </w:tcBorders>
            <w:shd w:val="clear" w:color="auto" w:fill="auto"/>
            <w:noWrap/>
            <w:vAlign w:val="center"/>
            <w:hideMark/>
          </w:tcPr>
          <w:p w14:paraId="76465E8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99%</w:t>
            </w:r>
          </w:p>
        </w:tc>
        <w:tc>
          <w:tcPr>
            <w:tcW w:w="1198" w:type="dxa"/>
            <w:tcBorders>
              <w:top w:val="nil"/>
              <w:left w:val="nil"/>
              <w:bottom w:val="nil"/>
              <w:right w:val="single" w:sz="8" w:space="0" w:color="000000"/>
            </w:tcBorders>
            <w:shd w:val="clear" w:color="auto" w:fill="auto"/>
            <w:noWrap/>
            <w:vAlign w:val="center"/>
            <w:hideMark/>
          </w:tcPr>
          <w:p w14:paraId="04A4F2F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94%</w:t>
            </w:r>
          </w:p>
        </w:tc>
      </w:tr>
      <w:tr w:rsidR="002B6794" w:rsidRPr="00B8059B" w14:paraId="08ED2B4F" w14:textId="77777777" w:rsidTr="00143C1D">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489C6B2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33C7994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-0.04%</w:t>
            </w:r>
          </w:p>
        </w:tc>
        <w:tc>
          <w:tcPr>
            <w:tcW w:w="1467" w:type="dxa"/>
            <w:tcBorders>
              <w:top w:val="nil"/>
              <w:left w:val="nil"/>
              <w:bottom w:val="nil"/>
              <w:right w:val="nil"/>
            </w:tcBorders>
            <w:shd w:val="clear" w:color="auto" w:fill="auto"/>
            <w:noWrap/>
            <w:vAlign w:val="center"/>
            <w:hideMark/>
          </w:tcPr>
          <w:p w14:paraId="0B4EFD2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-0.11%</w:t>
            </w:r>
          </w:p>
        </w:tc>
        <w:tc>
          <w:tcPr>
            <w:tcW w:w="1467" w:type="dxa"/>
            <w:tcBorders>
              <w:top w:val="nil"/>
              <w:left w:val="nil"/>
              <w:bottom w:val="nil"/>
              <w:right w:val="single" w:sz="4" w:space="0" w:color="000000"/>
            </w:tcBorders>
            <w:shd w:val="clear" w:color="auto" w:fill="auto"/>
            <w:noWrap/>
            <w:vAlign w:val="center"/>
            <w:hideMark/>
          </w:tcPr>
          <w:p w14:paraId="7053616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-0.18%</w:t>
            </w:r>
          </w:p>
        </w:tc>
        <w:tc>
          <w:tcPr>
            <w:tcW w:w="1101" w:type="dxa"/>
            <w:tcBorders>
              <w:top w:val="nil"/>
              <w:left w:val="nil"/>
              <w:bottom w:val="nil"/>
              <w:right w:val="nil"/>
            </w:tcBorders>
            <w:shd w:val="clear" w:color="auto" w:fill="auto"/>
            <w:noWrap/>
            <w:vAlign w:val="center"/>
            <w:hideMark/>
          </w:tcPr>
          <w:p w14:paraId="49CD16F1"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99%</w:t>
            </w:r>
          </w:p>
        </w:tc>
        <w:tc>
          <w:tcPr>
            <w:tcW w:w="1198" w:type="dxa"/>
            <w:tcBorders>
              <w:top w:val="nil"/>
              <w:left w:val="nil"/>
              <w:bottom w:val="nil"/>
              <w:right w:val="single" w:sz="8" w:space="0" w:color="000000"/>
            </w:tcBorders>
            <w:shd w:val="clear" w:color="auto" w:fill="auto"/>
            <w:noWrap/>
            <w:vAlign w:val="center"/>
            <w:hideMark/>
          </w:tcPr>
          <w:p w14:paraId="5BF60A1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92%</w:t>
            </w:r>
          </w:p>
        </w:tc>
      </w:tr>
      <w:tr w:rsidR="002B6794" w:rsidRPr="00B8059B" w14:paraId="7AB23883" w14:textId="77777777" w:rsidTr="00143C1D">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0DA3363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49639E8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0DC5132F"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single" w:sz="4" w:space="0" w:color="000000"/>
            </w:tcBorders>
            <w:shd w:val="clear" w:color="auto" w:fill="auto"/>
            <w:noWrap/>
            <w:vAlign w:val="center"/>
            <w:hideMark/>
          </w:tcPr>
          <w:p w14:paraId="5C7DB4C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c>
          <w:tcPr>
            <w:tcW w:w="1101" w:type="dxa"/>
            <w:tcBorders>
              <w:top w:val="nil"/>
              <w:left w:val="nil"/>
              <w:bottom w:val="nil"/>
              <w:right w:val="nil"/>
            </w:tcBorders>
            <w:shd w:val="clear" w:color="auto" w:fill="auto"/>
            <w:noWrap/>
            <w:vAlign w:val="center"/>
            <w:hideMark/>
          </w:tcPr>
          <w:p w14:paraId="5D8C69A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c>
          <w:tcPr>
            <w:tcW w:w="1198" w:type="dxa"/>
            <w:tcBorders>
              <w:top w:val="nil"/>
              <w:left w:val="nil"/>
              <w:bottom w:val="nil"/>
              <w:right w:val="single" w:sz="8" w:space="0" w:color="000000"/>
            </w:tcBorders>
            <w:shd w:val="clear" w:color="auto" w:fill="auto"/>
            <w:noWrap/>
            <w:vAlign w:val="center"/>
            <w:hideMark/>
          </w:tcPr>
          <w:p w14:paraId="6EBD996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r>
      <w:tr w:rsidR="002B6794" w:rsidRPr="00B8059B" w14:paraId="06D44063" w14:textId="77777777" w:rsidTr="00143C1D">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222EF9C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8059B">
              <w:rPr>
                <w:rFonts w:ascii="Arial" w:eastAsia="Times New Roman" w:hAnsi="Arial" w:cs="Arial"/>
                <w:b/>
                <w:bCs/>
                <w:color w:val="000000"/>
                <w:sz w:val="18"/>
                <w:szCs w:val="18"/>
                <w:lang w:eastAsia="zh-TW"/>
              </w:rPr>
              <w:t>Overall</w:t>
            </w:r>
          </w:p>
        </w:tc>
        <w:tc>
          <w:tcPr>
            <w:tcW w:w="1467" w:type="dxa"/>
            <w:tcBorders>
              <w:top w:val="single" w:sz="8" w:space="0" w:color="000000"/>
              <w:left w:val="nil"/>
              <w:bottom w:val="nil"/>
              <w:right w:val="nil"/>
            </w:tcBorders>
            <w:shd w:val="clear" w:color="auto" w:fill="auto"/>
            <w:noWrap/>
            <w:vAlign w:val="center"/>
            <w:hideMark/>
          </w:tcPr>
          <w:p w14:paraId="7F31B27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0.00%</w:t>
            </w:r>
          </w:p>
        </w:tc>
        <w:tc>
          <w:tcPr>
            <w:tcW w:w="1467" w:type="dxa"/>
            <w:tcBorders>
              <w:top w:val="single" w:sz="8" w:space="0" w:color="000000"/>
              <w:left w:val="nil"/>
              <w:bottom w:val="nil"/>
              <w:right w:val="nil"/>
            </w:tcBorders>
            <w:shd w:val="clear" w:color="auto" w:fill="auto"/>
            <w:noWrap/>
            <w:vAlign w:val="center"/>
            <w:hideMark/>
          </w:tcPr>
          <w:p w14:paraId="30996C2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-0.02%</w:t>
            </w:r>
          </w:p>
        </w:tc>
        <w:tc>
          <w:tcPr>
            <w:tcW w:w="1467" w:type="dxa"/>
            <w:tcBorders>
              <w:top w:val="single" w:sz="8" w:space="0" w:color="000000"/>
              <w:left w:val="nil"/>
              <w:bottom w:val="nil"/>
              <w:right w:val="single" w:sz="4" w:space="0" w:color="000000"/>
            </w:tcBorders>
            <w:shd w:val="clear" w:color="auto" w:fill="auto"/>
            <w:noWrap/>
            <w:vAlign w:val="center"/>
            <w:hideMark/>
          </w:tcPr>
          <w:p w14:paraId="08D61E9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-0.17%</w:t>
            </w:r>
          </w:p>
        </w:tc>
        <w:tc>
          <w:tcPr>
            <w:tcW w:w="1101" w:type="dxa"/>
            <w:tcBorders>
              <w:top w:val="single" w:sz="8" w:space="0" w:color="000000"/>
              <w:left w:val="nil"/>
              <w:bottom w:val="nil"/>
              <w:right w:val="nil"/>
            </w:tcBorders>
            <w:shd w:val="clear" w:color="auto" w:fill="auto"/>
            <w:noWrap/>
            <w:vAlign w:val="center"/>
            <w:hideMark/>
          </w:tcPr>
          <w:p w14:paraId="1960FA6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99%</w:t>
            </w:r>
          </w:p>
        </w:tc>
        <w:tc>
          <w:tcPr>
            <w:tcW w:w="1198" w:type="dxa"/>
            <w:tcBorders>
              <w:top w:val="single" w:sz="8" w:space="0" w:color="000000"/>
              <w:left w:val="nil"/>
              <w:bottom w:val="nil"/>
              <w:right w:val="single" w:sz="8" w:space="0" w:color="000000"/>
            </w:tcBorders>
            <w:shd w:val="clear" w:color="auto" w:fill="auto"/>
            <w:noWrap/>
            <w:vAlign w:val="center"/>
            <w:hideMark/>
          </w:tcPr>
          <w:p w14:paraId="3871F51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96%</w:t>
            </w:r>
          </w:p>
        </w:tc>
      </w:tr>
      <w:tr w:rsidR="002B6794" w:rsidRPr="00B8059B" w14:paraId="64B46EA8" w14:textId="77777777" w:rsidTr="00143C1D">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17B6BEF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D</w:t>
            </w:r>
          </w:p>
        </w:tc>
        <w:tc>
          <w:tcPr>
            <w:tcW w:w="1467" w:type="dxa"/>
            <w:tcBorders>
              <w:top w:val="single" w:sz="8" w:space="0" w:color="000000"/>
              <w:left w:val="nil"/>
              <w:bottom w:val="nil"/>
              <w:right w:val="nil"/>
            </w:tcBorders>
            <w:shd w:val="clear" w:color="auto" w:fill="auto"/>
            <w:noWrap/>
            <w:vAlign w:val="center"/>
            <w:hideMark/>
          </w:tcPr>
          <w:p w14:paraId="58C857D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0.02%</w:t>
            </w:r>
          </w:p>
        </w:tc>
        <w:tc>
          <w:tcPr>
            <w:tcW w:w="1467" w:type="dxa"/>
            <w:tcBorders>
              <w:top w:val="single" w:sz="8" w:space="0" w:color="000000"/>
              <w:left w:val="nil"/>
              <w:bottom w:val="nil"/>
              <w:right w:val="nil"/>
            </w:tcBorders>
            <w:shd w:val="clear" w:color="auto" w:fill="auto"/>
            <w:noWrap/>
            <w:vAlign w:val="center"/>
            <w:hideMark/>
          </w:tcPr>
          <w:p w14:paraId="18DE3AE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-0.11%</w:t>
            </w:r>
          </w:p>
        </w:tc>
        <w:tc>
          <w:tcPr>
            <w:tcW w:w="1467" w:type="dxa"/>
            <w:tcBorders>
              <w:top w:val="single" w:sz="8" w:space="0" w:color="000000"/>
              <w:left w:val="nil"/>
              <w:bottom w:val="nil"/>
              <w:right w:val="single" w:sz="4" w:space="0" w:color="000000"/>
            </w:tcBorders>
            <w:shd w:val="clear" w:color="auto" w:fill="auto"/>
            <w:noWrap/>
            <w:vAlign w:val="center"/>
            <w:hideMark/>
          </w:tcPr>
          <w:p w14:paraId="2086966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0.04%</w:t>
            </w:r>
          </w:p>
        </w:tc>
        <w:tc>
          <w:tcPr>
            <w:tcW w:w="1101" w:type="dxa"/>
            <w:tcBorders>
              <w:top w:val="single" w:sz="8" w:space="0" w:color="000000"/>
              <w:left w:val="nil"/>
              <w:bottom w:val="nil"/>
              <w:right w:val="nil"/>
            </w:tcBorders>
            <w:shd w:val="clear" w:color="auto" w:fill="auto"/>
            <w:noWrap/>
            <w:vAlign w:val="center"/>
            <w:hideMark/>
          </w:tcPr>
          <w:p w14:paraId="6645734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98%</w:t>
            </w:r>
          </w:p>
        </w:tc>
        <w:tc>
          <w:tcPr>
            <w:tcW w:w="1198" w:type="dxa"/>
            <w:tcBorders>
              <w:top w:val="single" w:sz="8" w:space="0" w:color="000000"/>
              <w:left w:val="nil"/>
              <w:bottom w:val="nil"/>
              <w:right w:val="single" w:sz="8" w:space="0" w:color="000000"/>
            </w:tcBorders>
            <w:shd w:val="clear" w:color="auto" w:fill="auto"/>
            <w:noWrap/>
            <w:vAlign w:val="center"/>
            <w:hideMark/>
          </w:tcPr>
          <w:p w14:paraId="1164D7B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95%</w:t>
            </w:r>
          </w:p>
        </w:tc>
      </w:tr>
      <w:tr w:rsidR="002B6794" w:rsidRPr="00B8059B" w14:paraId="4C97DB04" w14:textId="77777777" w:rsidTr="00143C1D">
        <w:trPr>
          <w:trHeight w:val="255"/>
          <w:jc w:val="center"/>
        </w:trPr>
        <w:tc>
          <w:tcPr>
            <w:tcW w:w="1000" w:type="dxa"/>
            <w:tcBorders>
              <w:top w:val="nil"/>
              <w:left w:val="single" w:sz="8" w:space="0" w:color="000000"/>
              <w:bottom w:val="single" w:sz="8" w:space="0" w:color="000000"/>
              <w:right w:val="single" w:sz="8" w:space="0" w:color="000000"/>
            </w:tcBorders>
            <w:shd w:val="clear" w:color="auto" w:fill="auto"/>
            <w:noWrap/>
            <w:vAlign w:val="center"/>
            <w:hideMark/>
          </w:tcPr>
          <w:p w14:paraId="7906017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F</w:t>
            </w:r>
          </w:p>
        </w:tc>
        <w:tc>
          <w:tcPr>
            <w:tcW w:w="1467" w:type="dxa"/>
            <w:tcBorders>
              <w:top w:val="nil"/>
              <w:left w:val="nil"/>
              <w:bottom w:val="single" w:sz="8" w:space="0" w:color="000000"/>
              <w:right w:val="nil"/>
            </w:tcBorders>
            <w:shd w:val="clear" w:color="auto" w:fill="auto"/>
            <w:noWrap/>
            <w:vAlign w:val="center"/>
            <w:hideMark/>
          </w:tcPr>
          <w:p w14:paraId="767220C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-0.01%</w:t>
            </w:r>
          </w:p>
        </w:tc>
        <w:tc>
          <w:tcPr>
            <w:tcW w:w="1467" w:type="dxa"/>
            <w:tcBorders>
              <w:top w:val="nil"/>
              <w:left w:val="nil"/>
              <w:bottom w:val="single" w:sz="8" w:space="0" w:color="000000"/>
              <w:right w:val="nil"/>
            </w:tcBorders>
            <w:shd w:val="clear" w:color="auto" w:fill="auto"/>
            <w:noWrap/>
            <w:vAlign w:val="center"/>
            <w:hideMark/>
          </w:tcPr>
          <w:p w14:paraId="1360F65F"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-0.02%</w:t>
            </w:r>
          </w:p>
        </w:tc>
        <w:tc>
          <w:tcPr>
            <w:tcW w:w="1467" w:type="dxa"/>
            <w:tcBorders>
              <w:top w:val="nil"/>
              <w:left w:val="nil"/>
              <w:bottom w:val="single" w:sz="8" w:space="0" w:color="000000"/>
              <w:right w:val="single" w:sz="4" w:space="0" w:color="000000"/>
            </w:tcBorders>
            <w:shd w:val="clear" w:color="auto" w:fill="auto"/>
            <w:noWrap/>
            <w:vAlign w:val="center"/>
            <w:hideMark/>
          </w:tcPr>
          <w:p w14:paraId="09D8604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0.06%</w:t>
            </w:r>
          </w:p>
        </w:tc>
        <w:tc>
          <w:tcPr>
            <w:tcW w:w="1101" w:type="dxa"/>
            <w:tcBorders>
              <w:top w:val="nil"/>
              <w:left w:val="nil"/>
              <w:bottom w:val="single" w:sz="8" w:space="0" w:color="000000"/>
              <w:right w:val="nil"/>
            </w:tcBorders>
            <w:shd w:val="clear" w:color="auto" w:fill="auto"/>
            <w:noWrap/>
            <w:vAlign w:val="center"/>
            <w:hideMark/>
          </w:tcPr>
          <w:p w14:paraId="4CF2150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99%</w:t>
            </w:r>
          </w:p>
        </w:tc>
        <w:tc>
          <w:tcPr>
            <w:tcW w:w="1198" w:type="dxa"/>
            <w:tcBorders>
              <w:top w:val="nil"/>
              <w:left w:val="nil"/>
              <w:bottom w:val="single" w:sz="8" w:space="0" w:color="000000"/>
              <w:right w:val="single" w:sz="8" w:space="0" w:color="000000"/>
            </w:tcBorders>
            <w:shd w:val="clear" w:color="auto" w:fill="auto"/>
            <w:noWrap/>
            <w:vAlign w:val="center"/>
            <w:hideMark/>
          </w:tcPr>
          <w:p w14:paraId="7E1D7ED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92%</w:t>
            </w:r>
          </w:p>
        </w:tc>
      </w:tr>
      <w:tr w:rsidR="002B6794" w:rsidRPr="00B8059B" w14:paraId="4BCFD2CA" w14:textId="77777777" w:rsidTr="00143C1D">
        <w:trPr>
          <w:trHeight w:val="255"/>
          <w:jc w:val="center"/>
        </w:trPr>
        <w:tc>
          <w:tcPr>
            <w:tcW w:w="1000" w:type="dxa"/>
            <w:tcBorders>
              <w:top w:val="nil"/>
              <w:left w:val="nil"/>
              <w:bottom w:val="nil"/>
              <w:right w:val="nil"/>
            </w:tcBorders>
            <w:shd w:val="clear" w:color="auto" w:fill="auto"/>
            <w:noWrap/>
            <w:vAlign w:val="bottom"/>
            <w:hideMark/>
          </w:tcPr>
          <w:p w14:paraId="78BA0B4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nil"/>
            </w:tcBorders>
            <w:shd w:val="clear" w:color="auto" w:fill="auto"/>
            <w:noWrap/>
            <w:vAlign w:val="bottom"/>
            <w:hideMark/>
          </w:tcPr>
          <w:p w14:paraId="144FB96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67" w:type="dxa"/>
            <w:tcBorders>
              <w:top w:val="nil"/>
              <w:left w:val="nil"/>
              <w:bottom w:val="nil"/>
              <w:right w:val="nil"/>
            </w:tcBorders>
            <w:shd w:val="clear" w:color="auto" w:fill="auto"/>
            <w:noWrap/>
            <w:vAlign w:val="bottom"/>
            <w:hideMark/>
          </w:tcPr>
          <w:p w14:paraId="51885BC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67" w:type="dxa"/>
            <w:tcBorders>
              <w:top w:val="nil"/>
              <w:left w:val="nil"/>
              <w:bottom w:val="nil"/>
              <w:right w:val="nil"/>
            </w:tcBorders>
            <w:shd w:val="clear" w:color="auto" w:fill="auto"/>
            <w:noWrap/>
            <w:vAlign w:val="bottom"/>
            <w:hideMark/>
          </w:tcPr>
          <w:p w14:paraId="77363723"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01" w:type="dxa"/>
            <w:tcBorders>
              <w:top w:val="nil"/>
              <w:left w:val="nil"/>
              <w:bottom w:val="nil"/>
              <w:right w:val="nil"/>
            </w:tcBorders>
            <w:shd w:val="clear" w:color="auto" w:fill="auto"/>
            <w:noWrap/>
            <w:vAlign w:val="bottom"/>
            <w:hideMark/>
          </w:tcPr>
          <w:p w14:paraId="75EE22F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8" w:type="dxa"/>
            <w:tcBorders>
              <w:top w:val="nil"/>
              <w:left w:val="nil"/>
              <w:bottom w:val="nil"/>
              <w:right w:val="nil"/>
            </w:tcBorders>
            <w:shd w:val="clear" w:color="auto" w:fill="auto"/>
            <w:noWrap/>
            <w:vAlign w:val="bottom"/>
            <w:hideMark/>
          </w:tcPr>
          <w:p w14:paraId="4BC125B1"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B6794" w:rsidRPr="00B8059B" w14:paraId="05DB55D8" w14:textId="77777777" w:rsidTr="00143C1D">
        <w:trPr>
          <w:trHeight w:val="255"/>
          <w:jc w:val="center"/>
        </w:trPr>
        <w:tc>
          <w:tcPr>
            <w:tcW w:w="1000" w:type="dxa"/>
            <w:tcBorders>
              <w:top w:val="nil"/>
              <w:left w:val="nil"/>
              <w:bottom w:val="nil"/>
              <w:right w:val="nil"/>
            </w:tcBorders>
            <w:shd w:val="clear" w:color="auto" w:fill="auto"/>
            <w:noWrap/>
            <w:vAlign w:val="bottom"/>
            <w:hideMark/>
          </w:tcPr>
          <w:p w14:paraId="7ED660E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7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1506FB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8059B">
              <w:rPr>
                <w:rFonts w:ascii="Arial" w:eastAsia="Times New Roman" w:hAnsi="Arial" w:cs="Arial"/>
                <w:b/>
                <w:bCs/>
                <w:color w:val="000000"/>
                <w:sz w:val="18"/>
                <w:szCs w:val="18"/>
                <w:lang w:eastAsia="zh-TW"/>
              </w:rPr>
              <w:t xml:space="preserve">Low delay B Main10 </w:t>
            </w:r>
          </w:p>
        </w:tc>
      </w:tr>
      <w:tr w:rsidR="002B6794" w:rsidRPr="00B8059B" w14:paraId="5D8D968A" w14:textId="77777777" w:rsidTr="00143C1D">
        <w:trPr>
          <w:trHeight w:val="255"/>
          <w:jc w:val="center"/>
        </w:trPr>
        <w:tc>
          <w:tcPr>
            <w:tcW w:w="1000" w:type="dxa"/>
            <w:tcBorders>
              <w:top w:val="nil"/>
              <w:left w:val="nil"/>
              <w:bottom w:val="nil"/>
              <w:right w:val="nil"/>
            </w:tcBorders>
            <w:shd w:val="clear" w:color="auto" w:fill="auto"/>
            <w:noWrap/>
            <w:vAlign w:val="bottom"/>
            <w:hideMark/>
          </w:tcPr>
          <w:p w14:paraId="4A78EB1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1BDF38A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8059B">
              <w:rPr>
                <w:rFonts w:ascii="Arial" w:eastAsia="Times New Roman" w:hAnsi="Arial" w:cs="Arial"/>
                <w:b/>
                <w:bCs/>
                <w:color w:val="000000"/>
                <w:sz w:val="18"/>
                <w:szCs w:val="18"/>
                <w:lang w:eastAsia="zh-TW"/>
              </w:rPr>
              <w:t>Over VTM-5.0</w:t>
            </w:r>
          </w:p>
        </w:tc>
      </w:tr>
      <w:tr w:rsidR="002B6794" w:rsidRPr="00B8059B" w14:paraId="27CEA891" w14:textId="77777777" w:rsidTr="00143C1D">
        <w:trPr>
          <w:trHeight w:val="255"/>
          <w:jc w:val="center"/>
        </w:trPr>
        <w:tc>
          <w:tcPr>
            <w:tcW w:w="1000" w:type="dxa"/>
            <w:tcBorders>
              <w:top w:val="nil"/>
              <w:left w:val="nil"/>
              <w:bottom w:val="nil"/>
              <w:right w:val="nil"/>
            </w:tcBorders>
            <w:shd w:val="clear" w:color="auto" w:fill="auto"/>
            <w:noWrap/>
            <w:vAlign w:val="bottom"/>
            <w:hideMark/>
          </w:tcPr>
          <w:p w14:paraId="1BD52299"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67" w:type="dxa"/>
            <w:tcBorders>
              <w:top w:val="nil"/>
              <w:left w:val="single" w:sz="8" w:space="0" w:color="000000"/>
              <w:bottom w:val="single" w:sz="8" w:space="0" w:color="000000"/>
              <w:right w:val="nil"/>
            </w:tcBorders>
            <w:shd w:val="clear" w:color="auto" w:fill="auto"/>
            <w:noWrap/>
            <w:vAlign w:val="center"/>
            <w:hideMark/>
          </w:tcPr>
          <w:p w14:paraId="5A9D01B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Y</w:t>
            </w:r>
          </w:p>
        </w:tc>
        <w:tc>
          <w:tcPr>
            <w:tcW w:w="1467" w:type="dxa"/>
            <w:tcBorders>
              <w:top w:val="nil"/>
              <w:left w:val="nil"/>
              <w:bottom w:val="single" w:sz="8" w:space="0" w:color="000000"/>
              <w:right w:val="nil"/>
            </w:tcBorders>
            <w:shd w:val="clear" w:color="auto" w:fill="auto"/>
            <w:noWrap/>
            <w:vAlign w:val="center"/>
            <w:hideMark/>
          </w:tcPr>
          <w:p w14:paraId="5458149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U</w:t>
            </w:r>
          </w:p>
        </w:tc>
        <w:tc>
          <w:tcPr>
            <w:tcW w:w="1467" w:type="dxa"/>
            <w:tcBorders>
              <w:top w:val="nil"/>
              <w:left w:val="nil"/>
              <w:bottom w:val="single" w:sz="8" w:space="0" w:color="000000"/>
              <w:right w:val="single" w:sz="4" w:space="0" w:color="000000"/>
            </w:tcBorders>
            <w:shd w:val="clear" w:color="auto" w:fill="auto"/>
            <w:noWrap/>
            <w:vAlign w:val="center"/>
            <w:hideMark/>
          </w:tcPr>
          <w:p w14:paraId="521B8EE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V</w:t>
            </w:r>
          </w:p>
        </w:tc>
        <w:tc>
          <w:tcPr>
            <w:tcW w:w="1101" w:type="dxa"/>
            <w:tcBorders>
              <w:top w:val="nil"/>
              <w:left w:val="nil"/>
              <w:bottom w:val="single" w:sz="8" w:space="0" w:color="000000"/>
              <w:right w:val="nil"/>
            </w:tcBorders>
            <w:shd w:val="clear" w:color="auto" w:fill="auto"/>
            <w:noWrap/>
            <w:vAlign w:val="center"/>
            <w:hideMark/>
          </w:tcPr>
          <w:p w14:paraId="0646BCF1"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8059B">
              <w:rPr>
                <w:rFonts w:ascii="Arial" w:eastAsia="Times New Roman" w:hAnsi="Arial" w:cs="Arial"/>
                <w:color w:val="000000"/>
                <w:sz w:val="18"/>
                <w:szCs w:val="18"/>
                <w:lang w:eastAsia="zh-TW"/>
              </w:rPr>
              <w:t>EncT</w:t>
            </w:r>
            <w:proofErr w:type="spellEnd"/>
          </w:p>
        </w:tc>
        <w:tc>
          <w:tcPr>
            <w:tcW w:w="1198" w:type="dxa"/>
            <w:tcBorders>
              <w:top w:val="nil"/>
              <w:left w:val="nil"/>
              <w:bottom w:val="single" w:sz="8" w:space="0" w:color="000000"/>
              <w:right w:val="single" w:sz="8" w:space="0" w:color="000000"/>
            </w:tcBorders>
            <w:shd w:val="clear" w:color="auto" w:fill="auto"/>
            <w:noWrap/>
            <w:vAlign w:val="center"/>
            <w:hideMark/>
          </w:tcPr>
          <w:p w14:paraId="62CB2EC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8059B">
              <w:rPr>
                <w:rFonts w:ascii="Arial" w:eastAsia="Times New Roman" w:hAnsi="Arial" w:cs="Arial"/>
                <w:color w:val="000000"/>
                <w:sz w:val="18"/>
                <w:szCs w:val="18"/>
                <w:lang w:eastAsia="zh-TW"/>
              </w:rPr>
              <w:t>DecT</w:t>
            </w:r>
            <w:proofErr w:type="spellEnd"/>
          </w:p>
        </w:tc>
      </w:tr>
      <w:tr w:rsidR="002B6794" w:rsidRPr="00B8059B" w14:paraId="5CFC15F3" w14:textId="77777777" w:rsidTr="00143C1D">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3E258A75"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413D84C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701C34D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c>
          <w:tcPr>
            <w:tcW w:w="1467" w:type="dxa"/>
            <w:tcBorders>
              <w:top w:val="nil"/>
              <w:left w:val="nil"/>
              <w:bottom w:val="nil"/>
              <w:right w:val="single" w:sz="4" w:space="0" w:color="000000"/>
            </w:tcBorders>
            <w:shd w:val="clear" w:color="auto" w:fill="auto"/>
            <w:noWrap/>
            <w:vAlign w:val="center"/>
            <w:hideMark/>
          </w:tcPr>
          <w:p w14:paraId="0524E951"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c>
          <w:tcPr>
            <w:tcW w:w="1101" w:type="dxa"/>
            <w:tcBorders>
              <w:top w:val="nil"/>
              <w:left w:val="nil"/>
              <w:bottom w:val="nil"/>
              <w:right w:val="nil"/>
            </w:tcBorders>
            <w:shd w:val="clear" w:color="auto" w:fill="auto"/>
            <w:noWrap/>
            <w:vAlign w:val="center"/>
            <w:hideMark/>
          </w:tcPr>
          <w:p w14:paraId="7417729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c>
          <w:tcPr>
            <w:tcW w:w="1198" w:type="dxa"/>
            <w:tcBorders>
              <w:top w:val="nil"/>
              <w:left w:val="nil"/>
              <w:bottom w:val="nil"/>
              <w:right w:val="single" w:sz="8" w:space="0" w:color="000000"/>
            </w:tcBorders>
            <w:shd w:val="clear" w:color="auto" w:fill="auto"/>
            <w:noWrap/>
            <w:vAlign w:val="center"/>
            <w:hideMark/>
          </w:tcPr>
          <w:p w14:paraId="4294AEA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r>
      <w:tr w:rsidR="002B6794" w:rsidRPr="00B8059B" w14:paraId="36020B1B" w14:textId="77777777" w:rsidTr="00143C1D">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4DE305B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195EE951"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692985D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single" w:sz="4" w:space="0" w:color="000000"/>
            </w:tcBorders>
            <w:shd w:val="clear" w:color="auto" w:fill="auto"/>
            <w:noWrap/>
            <w:vAlign w:val="center"/>
            <w:hideMark/>
          </w:tcPr>
          <w:p w14:paraId="79016D63"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c>
          <w:tcPr>
            <w:tcW w:w="1101" w:type="dxa"/>
            <w:tcBorders>
              <w:top w:val="nil"/>
              <w:left w:val="nil"/>
              <w:bottom w:val="nil"/>
              <w:right w:val="nil"/>
            </w:tcBorders>
            <w:shd w:val="clear" w:color="auto" w:fill="auto"/>
            <w:noWrap/>
            <w:vAlign w:val="center"/>
            <w:hideMark/>
          </w:tcPr>
          <w:p w14:paraId="46CE63B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c>
          <w:tcPr>
            <w:tcW w:w="1198" w:type="dxa"/>
            <w:tcBorders>
              <w:top w:val="nil"/>
              <w:left w:val="nil"/>
              <w:bottom w:val="nil"/>
              <w:right w:val="single" w:sz="8" w:space="0" w:color="000000"/>
            </w:tcBorders>
            <w:shd w:val="clear" w:color="auto" w:fill="auto"/>
            <w:noWrap/>
            <w:vAlign w:val="center"/>
            <w:hideMark/>
          </w:tcPr>
          <w:p w14:paraId="76D3CA3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 </w:t>
            </w:r>
          </w:p>
        </w:tc>
      </w:tr>
      <w:tr w:rsidR="002B6794" w:rsidRPr="00B8059B" w14:paraId="458B3BFD" w14:textId="77777777" w:rsidTr="00143C1D">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0770E45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10F5067F"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-0.01%</w:t>
            </w:r>
          </w:p>
        </w:tc>
        <w:tc>
          <w:tcPr>
            <w:tcW w:w="1467" w:type="dxa"/>
            <w:tcBorders>
              <w:top w:val="nil"/>
              <w:left w:val="nil"/>
              <w:bottom w:val="nil"/>
              <w:right w:val="nil"/>
            </w:tcBorders>
            <w:shd w:val="clear" w:color="auto" w:fill="auto"/>
            <w:noWrap/>
            <w:vAlign w:val="center"/>
            <w:hideMark/>
          </w:tcPr>
          <w:p w14:paraId="2306F9A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0.09%</w:t>
            </w:r>
          </w:p>
        </w:tc>
        <w:tc>
          <w:tcPr>
            <w:tcW w:w="1467" w:type="dxa"/>
            <w:tcBorders>
              <w:top w:val="nil"/>
              <w:left w:val="nil"/>
              <w:bottom w:val="nil"/>
              <w:right w:val="single" w:sz="4" w:space="0" w:color="000000"/>
            </w:tcBorders>
            <w:shd w:val="clear" w:color="auto" w:fill="auto"/>
            <w:noWrap/>
            <w:vAlign w:val="center"/>
            <w:hideMark/>
          </w:tcPr>
          <w:p w14:paraId="5DA4220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0.08%</w:t>
            </w:r>
          </w:p>
        </w:tc>
        <w:tc>
          <w:tcPr>
            <w:tcW w:w="1101" w:type="dxa"/>
            <w:tcBorders>
              <w:top w:val="nil"/>
              <w:left w:val="nil"/>
              <w:bottom w:val="nil"/>
              <w:right w:val="nil"/>
            </w:tcBorders>
            <w:shd w:val="clear" w:color="auto" w:fill="auto"/>
            <w:noWrap/>
            <w:vAlign w:val="center"/>
            <w:hideMark/>
          </w:tcPr>
          <w:p w14:paraId="7CBA66BE"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99%</w:t>
            </w:r>
          </w:p>
        </w:tc>
        <w:tc>
          <w:tcPr>
            <w:tcW w:w="1198" w:type="dxa"/>
            <w:tcBorders>
              <w:top w:val="nil"/>
              <w:left w:val="nil"/>
              <w:bottom w:val="nil"/>
              <w:right w:val="single" w:sz="8" w:space="0" w:color="000000"/>
            </w:tcBorders>
            <w:shd w:val="clear" w:color="auto" w:fill="auto"/>
            <w:noWrap/>
            <w:vAlign w:val="center"/>
            <w:hideMark/>
          </w:tcPr>
          <w:p w14:paraId="16047F1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97%</w:t>
            </w:r>
          </w:p>
        </w:tc>
      </w:tr>
      <w:tr w:rsidR="002B6794" w:rsidRPr="00B8059B" w14:paraId="58BE0186" w14:textId="77777777" w:rsidTr="00143C1D">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09893513"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6FC5DD69"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0.02%</w:t>
            </w:r>
          </w:p>
        </w:tc>
        <w:tc>
          <w:tcPr>
            <w:tcW w:w="1467" w:type="dxa"/>
            <w:tcBorders>
              <w:top w:val="nil"/>
              <w:left w:val="nil"/>
              <w:bottom w:val="nil"/>
              <w:right w:val="nil"/>
            </w:tcBorders>
            <w:shd w:val="clear" w:color="auto" w:fill="auto"/>
            <w:noWrap/>
            <w:vAlign w:val="center"/>
            <w:hideMark/>
          </w:tcPr>
          <w:p w14:paraId="14CBF83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0.21%</w:t>
            </w:r>
          </w:p>
        </w:tc>
        <w:tc>
          <w:tcPr>
            <w:tcW w:w="1467" w:type="dxa"/>
            <w:tcBorders>
              <w:top w:val="nil"/>
              <w:left w:val="nil"/>
              <w:bottom w:val="nil"/>
              <w:right w:val="single" w:sz="4" w:space="0" w:color="000000"/>
            </w:tcBorders>
            <w:shd w:val="clear" w:color="auto" w:fill="auto"/>
            <w:noWrap/>
            <w:vAlign w:val="center"/>
            <w:hideMark/>
          </w:tcPr>
          <w:p w14:paraId="6FFEEFA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-0.01%</w:t>
            </w:r>
          </w:p>
        </w:tc>
        <w:tc>
          <w:tcPr>
            <w:tcW w:w="1101" w:type="dxa"/>
            <w:tcBorders>
              <w:top w:val="nil"/>
              <w:left w:val="nil"/>
              <w:bottom w:val="nil"/>
              <w:right w:val="nil"/>
            </w:tcBorders>
            <w:shd w:val="clear" w:color="auto" w:fill="auto"/>
            <w:noWrap/>
            <w:vAlign w:val="center"/>
            <w:hideMark/>
          </w:tcPr>
          <w:p w14:paraId="223C11E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99%</w:t>
            </w:r>
          </w:p>
        </w:tc>
        <w:tc>
          <w:tcPr>
            <w:tcW w:w="1198" w:type="dxa"/>
            <w:tcBorders>
              <w:top w:val="nil"/>
              <w:left w:val="nil"/>
              <w:bottom w:val="nil"/>
              <w:right w:val="single" w:sz="8" w:space="0" w:color="000000"/>
            </w:tcBorders>
            <w:shd w:val="clear" w:color="auto" w:fill="auto"/>
            <w:noWrap/>
            <w:vAlign w:val="center"/>
            <w:hideMark/>
          </w:tcPr>
          <w:p w14:paraId="75870B0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95%</w:t>
            </w:r>
          </w:p>
        </w:tc>
      </w:tr>
      <w:tr w:rsidR="002B6794" w:rsidRPr="00B8059B" w14:paraId="3E569999" w14:textId="77777777" w:rsidTr="00143C1D">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0C4D5BB5"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0EC3E30F"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-0.20%</w:t>
            </w:r>
          </w:p>
        </w:tc>
        <w:tc>
          <w:tcPr>
            <w:tcW w:w="1467" w:type="dxa"/>
            <w:tcBorders>
              <w:top w:val="nil"/>
              <w:left w:val="nil"/>
              <w:bottom w:val="nil"/>
              <w:right w:val="nil"/>
            </w:tcBorders>
            <w:shd w:val="clear" w:color="auto" w:fill="auto"/>
            <w:noWrap/>
            <w:vAlign w:val="center"/>
            <w:hideMark/>
          </w:tcPr>
          <w:p w14:paraId="0BEA61B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-0.30%</w:t>
            </w:r>
          </w:p>
        </w:tc>
        <w:tc>
          <w:tcPr>
            <w:tcW w:w="1467" w:type="dxa"/>
            <w:tcBorders>
              <w:top w:val="nil"/>
              <w:left w:val="nil"/>
              <w:bottom w:val="nil"/>
              <w:right w:val="single" w:sz="4" w:space="0" w:color="000000"/>
            </w:tcBorders>
            <w:shd w:val="clear" w:color="auto" w:fill="auto"/>
            <w:noWrap/>
            <w:vAlign w:val="center"/>
            <w:hideMark/>
          </w:tcPr>
          <w:p w14:paraId="39B248FF"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-0.03%</w:t>
            </w:r>
          </w:p>
        </w:tc>
        <w:tc>
          <w:tcPr>
            <w:tcW w:w="1101" w:type="dxa"/>
            <w:tcBorders>
              <w:top w:val="nil"/>
              <w:left w:val="nil"/>
              <w:bottom w:val="nil"/>
              <w:right w:val="nil"/>
            </w:tcBorders>
            <w:shd w:val="clear" w:color="auto" w:fill="auto"/>
            <w:noWrap/>
            <w:vAlign w:val="center"/>
            <w:hideMark/>
          </w:tcPr>
          <w:p w14:paraId="07A730F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99%</w:t>
            </w:r>
          </w:p>
        </w:tc>
        <w:tc>
          <w:tcPr>
            <w:tcW w:w="1198" w:type="dxa"/>
            <w:tcBorders>
              <w:top w:val="nil"/>
              <w:left w:val="nil"/>
              <w:bottom w:val="nil"/>
              <w:right w:val="single" w:sz="8" w:space="0" w:color="000000"/>
            </w:tcBorders>
            <w:shd w:val="clear" w:color="auto" w:fill="auto"/>
            <w:noWrap/>
            <w:vAlign w:val="center"/>
            <w:hideMark/>
          </w:tcPr>
          <w:p w14:paraId="340EFEE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95%</w:t>
            </w:r>
          </w:p>
        </w:tc>
      </w:tr>
      <w:tr w:rsidR="002B6794" w:rsidRPr="00B8059B" w14:paraId="252F78B5" w14:textId="77777777" w:rsidTr="00143C1D">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1B4F51B5"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8059B">
              <w:rPr>
                <w:rFonts w:ascii="Arial" w:eastAsia="Times New Roman" w:hAnsi="Arial" w:cs="Arial"/>
                <w:b/>
                <w:bCs/>
                <w:color w:val="000000"/>
                <w:sz w:val="18"/>
                <w:szCs w:val="18"/>
                <w:lang w:eastAsia="zh-TW"/>
              </w:rPr>
              <w:t>Overall</w:t>
            </w:r>
          </w:p>
        </w:tc>
        <w:tc>
          <w:tcPr>
            <w:tcW w:w="1467" w:type="dxa"/>
            <w:tcBorders>
              <w:top w:val="single" w:sz="8" w:space="0" w:color="000000"/>
              <w:left w:val="nil"/>
              <w:bottom w:val="nil"/>
              <w:right w:val="nil"/>
            </w:tcBorders>
            <w:shd w:val="clear" w:color="auto" w:fill="auto"/>
            <w:noWrap/>
            <w:vAlign w:val="center"/>
            <w:hideMark/>
          </w:tcPr>
          <w:p w14:paraId="4CFE5F6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-0.05%</w:t>
            </w:r>
          </w:p>
        </w:tc>
        <w:tc>
          <w:tcPr>
            <w:tcW w:w="1467" w:type="dxa"/>
            <w:tcBorders>
              <w:top w:val="single" w:sz="8" w:space="0" w:color="000000"/>
              <w:left w:val="nil"/>
              <w:bottom w:val="nil"/>
              <w:right w:val="nil"/>
            </w:tcBorders>
            <w:shd w:val="clear" w:color="auto" w:fill="auto"/>
            <w:noWrap/>
            <w:vAlign w:val="center"/>
            <w:hideMark/>
          </w:tcPr>
          <w:p w14:paraId="559EB34E"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0.03%</w:t>
            </w:r>
          </w:p>
        </w:tc>
        <w:tc>
          <w:tcPr>
            <w:tcW w:w="1467" w:type="dxa"/>
            <w:tcBorders>
              <w:top w:val="single" w:sz="8" w:space="0" w:color="000000"/>
              <w:left w:val="nil"/>
              <w:bottom w:val="nil"/>
              <w:right w:val="single" w:sz="4" w:space="0" w:color="000000"/>
            </w:tcBorders>
            <w:shd w:val="clear" w:color="auto" w:fill="auto"/>
            <w:noWrap/>
            <w:vAlign w:val="center"/>
            <w:hideMark/>
          </w:tcPr>
          <w:p w14:paraId="44519CB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0.02%</w:t>
            </w:r>
          </w:p>
        </w:tc>
        <w:tc>
          <w:tcPr>
            <w:tcW w:w="1101" w:type="dxa"/>
            <w:tcBorders>
              <w:top w:val="single" w:sz="8" w:space="0" w:color="000000"/>
              <w:left w:val="nil"/>
              <w:bottom w:val="nil"/>
              <w:right w:val="nil"/>
            </w:tcBorders>
            <w:shd w:val="clear" w:color="auto" w:fill="auto"/>
            <w:noWrap/>
            <w:vAlign w:val="center"/>
            <w:hideMark/>
          </w:tcPr>
          <w:p w14:paraId="09F5E91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99%</w:t>
            </w:r>
          </w:p>
        </w:tc>
        <w:tc>
          <w:tcPr>
            <w:tcW w:w="1198" w:type="dxa"/>
            <w:tcBorders>
              <w:top w:val="single" w:sz="8" w:space="0" w:color="000000"/>
              <w:left w:val="nil"/>
              <w:bottom w:val="nil"/>
              <w:right w:val="single" w:sz="8" w:space="0" w:color="000000"/>
            </w:tcBorders>
            <w:shd w:val="clear" w:color="auto" w:fill="auto"/>
            <w:noWrap/>
            <w:vAlign w:val="center"/>
            <w:hideMark/>
          </w:tcPr>
          <w:p w14:paraId="39FC755E"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96%</w:t>
            </w:r>
          </w:p>
        </w:tc>
      </w:tr>
      <w:tr w:rsidR="002B6794" w:rsidRPr="00B8059B" w14:paraId="1E0DEC06" w14:textId="77777777" w:rsidTr="00143C1D">
        <w:trPr>
          <w:trHeight w:val="255"/>
          <w:jc w:val="center"/>
        </w:trPr>
        <w:tc>
          <w:tcPr>
            <w:tcW w:w="1000" w:type="dxa"/>
            <w:tcBorders>
              <w:top w:val="single" w:sz="8" w:space="0" w:color="000000"/>
              <w:left w:val="single" w:sz="8" w:space="0" w:color="000000"/>
              <w:bottom w:val="nil"/>
              <w:right w:val="nil"/>
            </w:tcBorders>
            <w:shd w:val="clear" w:color="auto" w:fill="auto"/>
            <w:noWrap/>
            <w:vAlign w:val="center"/>
            <w:hideMark/>
          </w:tcPr>
          <w:p w14:paraId="29367E43"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D</w:t>
            </w:r>
          </w:p>
        </w:tc>
        <w:tc>
          <w:tcPr>
            <w:tcW w:w="1467" w:type="dxa"/>
            <w:tcBorders>
              <w:top w:val="single" w:sz="8" w:space="0" w:color="000000"/>
              <w:left w:val="single" w:sz="8" w:space="0" w:color="000000"/>
              <w:bottom w:val="nil"/>
              <w:right w:val="nil"/>
            </w:tcBorders>
            <w:shd w:val="clear" w:color="auto" w:fill="auto"/>
            <w:noWrap/>
            <w:vAlign w:val="center"/>
            <w:hideMark/>
          </w:tcPr>
          <w:p w14:paraId="2A96A74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0.02%</w:t>
            </w:r>
          </w:p>
        </w:tc>
        <w:tc>
          <w:tcPr>
            <w:tcW w:w="1467" w:type="dxa"/>
            <w:tcBorders>
              <w:top w:val="single" w:sz="8" w:space="0" w:color="000000"/>
              <w:left w:val="nil"/>
              <w:bottom w:val="nil"/>
              <w:right w:val="nil"/>
            </w:tcBorders>
            <w:shd w:val="clear" w:color="auto" w:fill="auto"/>
            <w:noWrap/>
            <w:vAlign w:val="center"/>
            <w:hideMark/>
          </w:tcPr>
          <w:p w14:paraId="709B5D6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-0.30%</w:t>
            </w:r>
          </w:p>
        </w:tc>
        <w:tc>
          <w:tcPr>
            <w:tcW w:w="1467" w:type="dxa"/>
            <w:tcBorders>
              <w:top w:val="single" w:sz="8" w:space="0" w:color="000000"/>
              <w:left w:val="nil"/>
              <w:bottom w:val="nil"/>
              <w:right w:val="single" w:sz="4" w:space="0" w:color="000000"/>
            </w:tcBorders>
            <w:shd w:val="clear" w:color="auto" w:fill="auto"/>
            <w:noWrap/>
            <w:vAlign w:val="center"/>
            <w:hideMark/>
          </w:tcPr>
          <w:p w14:paraId="135BFF4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0.56%</w:t>
            </w:r>
          </w:p>
        </w:tc>
        <w:tc>
          <w:tcPr>
            <w:tcW w:w="1101" w:type="dxa"/>
            <w:tcBorders>
              <w:top w:val="single" w:sz="8" w:space="0" w:color="000000"/>
              <w:left w:val="nil"/>
              <w:bottom w:val="nil"/>
              <w:right w:val="nil"/>
            </w:tcBorders>
            <w:shd w:val="clear" w:color="auto" w:fill="auto"/>
            <w:noWrap/>
            <w:vAlign w:val="center"/>
            <w:hideMark/>
          </w:tcPr>
          <w:p w14:paraId="4B5C46B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97%</w:t>
            </w:r>
          </w:p>
        </w:tc>
        <w:tc>
          <w:tcPr>
            <w:tcW w:w="1198" w:type="dxa"/>
            <w:tcBorders>
              <w:top w:val="single" w:sz="8" w:space="0" w:color="000000"/>
              <w:left w:val="nil"/>
              <w:bottom w:val="nil"/>
              <w:right w:val="single" w:sz="8" w:space="0" w:color="000000"/>
            </w:tcBorders>
            <w:shd w:val="clear" w:color="auto" w:fill="auto"/>
            <w:noWrap/>
            <w:vAlign w:val="center"/>
            <w:hideMark/>
          </w:tcPr>
          <w:p w14:paraId="2E12B09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95%</w:t>
            </w:r>
          </w:p>
        </w:tc>
      </w:tr>
      <w:tr w:rsidR="002B6794" w:rsidRPr="00B8059B" w14:paraId="51ED272C" w14:textId="77777777" w:rsidTr="00143C1D">
        <w:trPr>
          <w:trHeight w:val="255"/>
          <w:jc w:val="center"/>
        </w:trPr>
        <w:tc>
          <w:tcPr>
            <w:tcW w:w="1000" w:type="dxa"/>
            <w:tcBorders>
              <w:top w:val="nil"/>
              <w:left w:val="single" w:sz="8" w:space="0" w:color="000000"/>
              <w:bottom w:val="single" w:sz="8" w:space="0" w:color="000000"/>
              <w:right w:val="nil"/>
            </w:tcBorders>
            <w:shd w:val="clear" w:color="auto" w:fill="auto"/>
            <w:noWrap/>
            <w:vAlign w:val="center"/>
            <w:hideMark/>
          </w:tcPr>
          <w:p w14:paraId="1724611F"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Class F</w:t>
            </w:r>
          </w:p>
        </w:tc>
        <w:tc>
          <w:tcPr>
            <w:tcW w:w="1467" w:type="dxa"/>
            <w:tcBorders>
              <w:top w:val="nil"/>
              <w:left w:val="single" w:sz="8" w:space="0" w:color="000000"/>
              <w:bottom w:val="single" w:sz="8" w:space="0" w:color="000000"/>
              <w:right w:val="nil"/>
            </w:tcBorders>
            <w:shd w:val="clear" w:color="auto" w:fill="auto"/>
            <w:noWrap/>
            <w:vAlign w:val="center"/>
            <w:hideMark/>
          </w:tcPr>
          <w:p w14:paraId="69AEABE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-0.01%</w:t>
            </w:r>
          </w:p>
        </w:tc>
        <w:tc>
          <w:tcPr>
            <w:tcW w:w="1467" w:type="dxa"/>
            <w:tcBorders>
              <w:top w:val="nil"/>
              <w:left w:val="nil"/>
              <w:bottom w:val="single" w:sz="8" w:space="0" w:color="000000"/>
              <w:right w:val="nil"/>
            </w:tcBorders>
            <w:shd w:val="clear" w:color="auto" w:fill="auto"/>
            <w:noWrap/>
            <w:vAlign w:val="center"/>
            <w:hideMark/>
          </w:tcPr>
          <w:p w14:paraId="6D061F0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-0.46%</w:t>
            </w:r>
          </w:p>
        </w:tc>
        <w:tc>
          <w:tcPr>
            <w:tcW w:w="1467" w:type="dxa"/>
            <w:tcBorders>
              <w:top w:val="nil"/>
              <w:left w:val="nil"/>
              <w:bottom w:val="single" w:sz="8" w:space="0" w:color="000000"/>
              <w:right w:val="single" w:sz="4" w:space="0" w:color="000000"/>
            </w:tcBorders>
            <w:shd w:val="clear" w:color="auto" w:fill="auto"/>
            <w:noWrap/>
            <w:vAlign w:val="center"/>
            <w:hideMark/>
          </w:tcPr>
          <w:p w14:paraId="1EE216E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0.69%</w:t>
            </w:r>
          </w:p>
        </w:tc>
        <w:tc>
          <w:tcPr>
            <w:tcW w:w="1101" w:type="dxa"/>
            <w:tcBorders>
              <w:top w:val="nil"/>
              <w:left w:val="nil"/>
              <w:bottom w:val="single" w:sz="8" w:space="0" w:color="000000"/>
              <w:right w:val="nil"/>
            </w:tcBorders>
            <w:shd w:val="clear" w:color="auto" w:fill="auto"/>
            <w:noWrap/>
            <w:vAlign w:val="center"/>
            <w:hideMark/>
          </w:tcPr>
          <w:p w14:paraId="62958C6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97%</w:t>
            </w:r>
          </w:p>
        </w:tc>
        <w:tc>
          <w:tcPr>
            <w:tcW w:w="1198" w:type="dxa"/>
            <w:tcBorders>
              <w:top w:val="nil"/>
              <w:left w:val="nil"/>
              <w:bottom w:val="single" w:sz="8" w:space="0" w:color="000000"/>
              <w:right w:val="single" w:sz="8" w:space="0" w:color="000000"/>
            </w:tcBorders>
            <w:shd w:val="clear" w:color="auto" w:fill="auto"/>
            <w:noWrap/>
            <w:vAlign w:val="center"/>
            <w:hideMark/>
          </w:tcPr>
          <w:p w14:paraId="1E377E1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8059B">
              <w:rPr>
                <w:rFonts w:ascii="Arial" w:eastAsia="Times New Roman" w:hAnsi="Arial" w:cs="Arial"/>
                <w:color w:val="000000"/>
                <w:sz w:val="18"/>
                <w:szCs w:val="18"/>
                <w:lang w:eastAsia="zh-TW"/>
              </w:rPr>
              <w:t>94%</w:t>
            </w:r>
          </w:p>
        </w:tc>
      </w:tr>
    </w:tbl>
    <w:p w14:paraId="32B2F878" w14:textId="77777777" w:rsidR="00EA0F32" w:rsidRDefault="00EA0F32" w:rsidP="00EA0F32">
      <w:pPr>
        <w:rPr>
          <w:szCs w:val="22"/>
          <w:lang w:val="en-CA" w:eastAsia="zh-TW"/>
        </w:rPr>
      </w:pPr>
    </w:p>
    <w:p w14:paraId="223658F0" w14:textId="77777777" w:rsidR="00F86FC5" w:rsidRDefault="00F86FC5" w:rsidP="00F86FC5">
      <w:pPr>
        <w:pStyle w:val="Heading1"/>
        <w:rPr>
          <w:lang w:val="en-CA" w:eastAsia="zh-TW"/>
        </w:rPr>
      </w:pPr>
      <w:r>
        <w:rPr>
          <w:rFonts w:hint="eastAsia"/>
          <w:lang w:val="en-CA" w:eastAsia="zh-TW"/>
        </w:rPr>
        <w:t>Conclusions</w:t>
      </w:r>
    </w:p>
    <w:p w14:paraId="6F4ECA2D" w14:textId="77DFCFD4" w:rsidR="00F86FC5" w:rsidRDefault="00CF6EA5" w:rsidP="009234A5">
      <w:pPr>
        <w:rPr>
          <w:szCs w:val="22"/>
          <w:lang w:val="en-CA"/>
        </w:rPr>
      </w:pPr>
      <w:r>
        <w:rPr>
          <w:szCs w:val="22"/>
          <w:lang w:val="en-CA"/>
        </w:rPr>
        <w:t xml:space="preserve">This contribution proposes to reduce the number of context variables in the two additional context sets </w:t>
      </w:r>
      <w:r>
        <w:rPr>
          <w:lang w:eastAsia="zh-TW"/>
        </w:rPr>
        <w:t xml:space="preserve">associated with </w:t>
      </w:r>
      <w:r>
        <w:rPr>
          <w:szCs w:val="22"/>
          <w:lang w:val="en-CA"/>
        </w:rPr>
        <w:t xml:space="preserve">dependent quantization states 2 and 3. The experimental results are reportedly shown that </w:t>
      </w:r>
      <w:r>
        <w:rPr>
          <w:szCs w:val="22"/>
        </w:rPr>
        <w:t xml:space="preserve">the proposed method has negligible impact on BD rate performance while significantly reducing the number of context variables for entropy coding </w:t>
      </w:r>
      <w:r w:rsidR="00A37661">
        <w:rPr>
          <w:szCs w:val="22"/>
        </w:rPr>
        <w:t xml:space="preserve">the syntax element </w:t>
      </w:r>
      <w:proofErr w:type="spellStart"/>
      <w:r>
        <w:rPr>
          <w:rFonts w:hint="eastAsia"/>
          <w:lang w:eastAsia="zh-TW"/>
        </w:rPr>
        <w:t>sig_coeff_flag</w:t>
      </w:r>
      <w:proofErr w:type="spellEnd"/>
      <w:r>
        <w:rPr>
          <w:lang w:eastAsia="zh-TW"/>
        </w:rPr>
        <w:t>.</w:t>
      </w:r>
    </w:p>
    <w:p w14:paraId="3AE52092" w14:textId="77777777" w:rsidR="00AA15E3" w:rsidRDefault="00AA15E3" w:rsidP="009234A5">
      <w:pPr>
        <w:rPr>
          <w:szCs w:val="22"/>
          <w:lang w:val="en-CA"/>
        </w:rPr>
      </w:pPr>
    </w:p>
    <w:p w14:paraId="73768C2E" w14:textId="77777777" w:rsidR="00F86FC5" w:rsidRDefault="00F86FC5" w:rsidP="00F86FC5">
      <w:pPr>
        <w:pStyle w:val="Heading1"/>
        <w:rPr>
          <w:lang w:val="en-CA" w:eastAsia="zh-TW"/>
        </w:rPr>
      </w:pPr>
      <w:r>
        <w:rPr>
          <w:rFonts w:hint="eastAsia"/>
          <w:lang w:val="en-CA" w:eastAsia="zh-TW"/>
        </w:rPr>
        <w:t>References</w:t>
      </w:r>
    </w:p>
    <w:p w14:paraId="25ECB5D3" w14:textId="34BD55DC" w:rsidR="00F86FC5" w:rsidRDefault="00F86FC5" w:rsidP="00F86FC5">
      <w:pPr>
        <w:numPr>
          <w:ilvl w:val="0"/>
          <w:numId w:val="12"/>
        </w:numPr>
        <w:tabs>
          <w:tab w:val="clear" w:pos="1080"/>
        </w:tabs>
        <w:rPr>
          <w:szCs w:val="22"/>
          <w:lang w:val="en-CA"/>
        </w:rPr>
      </w:pPr>
      <w:r>
        <w:rPr>
          <w:szCs w:val="22"/>
          <w:lang w:val="en-CA"/>
        </w:rPr>
        <w:t xml:space="preserve"> </w:t>
      </w:r>
      <w:bookmarkStart w:id="3" w:name="_Ref517546129"/>
      <w:r w:rsidRPr="00A106F2">
        <w:rPr>
          <w:szCs w:val="22"/>
          <w:lang w:val="en-CA"/>
        </w:rPr>
        <w:t xml:space="preserve">B. Bross, J. Chen, and S. Liu </w:t>
      </w:r>
      <w:r w:rsidR="00125EF9">
        <w:rPr>
          <w:szCs w:val="22"/>
          <w:lang w:val="en-CA"/>
        </w:rPr>
        <w:t>“Versatile Video Coding (Draft 5</w:t>
      </w:r>
      <w:r w:rsidRPr="00A106F2">
        <w:rPr>
          <w:szCs w:val="22"/>
          <w:lang w:val="en-CA"/>
        </w:rPr>
        <w:t>),” Document of Joint Video Experts Team of ITU-T SG16 WP3 an</w:t>
      </w:r>
      <w:r w:rsidR="00125EF9">
        <w:rPr>
          <w:szCs w:val="22"/>
          <w:lang w:val="en-CA"/>
        </w:rPr>
        <w:t xml:space="preserve">d ISO/IEC JTC1/SC29/WG11, JVET-N1001, </w:t>
      </w:r>
      <w:r w:rsidR="00125EF9">
        <w:t>14th</w:t>
      </w:r>
      <w:r w:rsidR="00125EF9" w:rsidRPr="00B648F1">
        <w:t xml:space="preserve"> Meeting: </w:t>
      </w:r>
      <w:r w:rsidR="00125EF9">
        <w:rPr>
          <w:lang w:val="en-CA"/>
        </w:rPr>
        <w:t>Geneva</w:t>
      </w:r>
      <w:r w:rsidR="00125EF9" w:rsidRPr="00B57A23">
        <w:rPr>
          <w:lang w:val="en-CA"/>
        </w:rPr>
        <w:t xml:space="preserve">, </w:t>
      </w:r>
      <w:r w:rsidR="00125EF9">
        <w:rPr>
          <w:lang w:val="en-CA"/>
        </w:rPr>
        <w:t>CH</w:t>
      </w:r>
      <w:r w:rsidR="00125EF9" w:rsidRPr="00B57A23">
        <w:rPr>
          <w:lang w:val="en-CA"/>
        </w:rPr>
        <w:t xml:space="preserve">, </w:t>
      </w:r>
      <w:r w:rsidR="00125EF9">
        <w:rPr>
          <w:lang w:val="en-CA"/>
        </w:rPr>
        <w:t>19</w:t>
      </w:r>
      <w:r w:rsidR="00125EF9" w:rsidRPr="00B57A23">
        <w:rPr>
          <w:lang w:val="en-CA"/>
        </w:rPr>
        <w:t>–</w:t>
      </w:r>
      <w:r w:rsidR="00125EF9">
        <w:rPr>
          <w:lang w:val="en-CA"/>
        </w:rPr>
        <w:t>27</w:t>
      </w:r>
      <w:r w:rsidR="00125EF9" w:rsidRPr="00B57A23">
        <w:rPr>
          <w:lang w:val="en-CA"/>
        </w:rPr>
        <w:t xml:space="preserve"> </w:t>
      </w:r>
      <w:r w:rsidR="00125EF9">
        <w:rPr>
          <w:lang w:val="en-CA"/>
        </w:rPr>
        <w:t>March</w:t>
      </w:r>
      <w:r w:rsidR="00125EF9" w:rsidRPr="00B57A23">
        <w:rPr>
          <w:lang w:val="en-CA"/>
        </w:rPr>
        <w:t xml:space="preserve"> 201</w:t>
      </w:r>
      <w:r w:rsidR="00125EF9">
        <w:rPr>
          <w:lang w:val="en-CA"/>
        </w:rPr>
        <w:t>9</w:t>
      </w:r>
      <w:r w:rsidRPr="00A106F2">
        <w:rPr>
          <w:szCs w:val="22"/>
          <w:lang w:val="en-CA"/>
        </w:rPr>
        <w:t>.</w:t>
      </w:r>
    </w:p>
    <w:p w14:paraId="050835E6" w14:textId="6093E6A1" w:rsidR="00F86FC5" w:rsidRDefault="00F86FC5" w:rsidP="00F86FC5">
      <w:pPr>
        <w:numPr>
          <w:ilvl w:val="0"/>
          <w:numId w:val="12"/>
        </w:numPr>
        <w:rPr>
          <w:szCs w:val="22"/>
          <w:lang w:val="en-CA"/>
        </w:rPr>
      </w:pPr>
      <w:r>
        <w:rPr>
          <w:szCs w:val="22"/>
          <w:lang w:val="en-CA"/>
        </w:rPr>
        <w:t xml:space="preserve"> </w:t>
      </w:r>
      <w:r w:rsidRPr="00F3568B">
        <w:rPr>
          <w:szCs w:val="22"/>
          <w:lang w:val="en-CA"/>
        </w:rPr>
        <w:t>VTM</w:t>
      </w:r>
      <w:r w:rsidR="00125EF9">
        <w:rPr>
          <w:szCs w:val="22"/>
          <w:lang w:val="en-CA"/>
        </w:rPr>
        <w:t>5</w:t>
      </w:r>
      <w:r w:rsidRPr="00F3568B">
        <w:rPr>
          <w:szCs w:val="22"/>
          <w:lang w:val="en-CA"/>
        </w:rPr>
        <w:t>.0</w:t>
      </w:r>
      <w:r>
        <w:rPr>
          <w:szCs w:val="22"/>
          <w:lang w:val="en-CA"/>
        </w:rPr>
        <w:t>, available at</w:t>
      </w:r>
      <w:r w:rsidRPr="00F3568B">
        <w:rPr>
          <w:szCs w:val="22"/>
          <w:lang w:val="en-CA"/>
        </w:rPr>
        <w:t xml:space="preserve"> </w:t>
      </w:r>
      <w:bookmarkStart w:id="4" w:name="_Ref531871856"/>
      <w:bookmarkStart w:id="5" w:name="_Ref517546181"/>
      <w:bookmarkEnd w:id="3"/>
      <w:r w:rsidR="00C2054F">
        <w:rPr>
          <w:szCs w:val="22"/>
          <w:lang w:val="en-CA"/>
        </w:rPr>
        <w:fldChar w:fldCharType="begin"/>
      </w:r>
      <w:r w:rsidR="00C2054F">
        <w:rPr>
          <w:szCs w:val="22"/>
          <w:lang w:val="en-CA"/>
        </w:rPr>
        <w:instrText xml:space="preserve"> HYPERLINK "</w:instrText>
      </w:r>
      <w:r w:rsidR="00C2054F" w:rsidRPr="00C2054F">
        <w:rPr>
          <w:szCs w:val="22"/>
          <w:lang w:val="en-CA"/>
        </w:rPr>
        <w:instrText>https://vcgit.hhi.fraunhofer.de/jvet/VVCSoftware_VTM/tags/VTM5</w:instrText>
      </w:r>
      <w:r w:rsidR="00C2054F" w:rsidRPr="007F6060">
        <w:rPr>
          <w:szCs w:val="22"/>
          <w:lang w:val="en-CA"/>
        </w:rPr>
        <w:instrText>.0</w:instrText>
      </w:r>
      <w:r w:rsidR="00C2054F">
        <w:rPr>
          <w:szCs w:val="22"/>
          <w:lang w:val="en-CA"/>
        </w:rPr>
        <w:instrText xml:space="preserve">" </w:instrText>
      </w:r>
      <w:r w:rsidR="00C2054F">
        <w:rPr>
          <w:szCs w:val="22"/>
          <w:lang w:val="en-CA"/>
        </w:rPr>
        <w:fldChar w:fldCharType="separate"/>
      </w:r>
      <w:r w:rsidR="00C2054F" w:rsidRPr="000F673C">
        <w:rPr>
          <w:rStyle w:val="Hyperlink"/>
          <w:szCs w:val="22"/>
          <w:lang w:val="en-CA"/>
        </w:rPr>
        <w:t>https://vcgit.hhi.fraunhofer.de/jvet/VVCSoftware_VTM/tags/VTM5.0</w:t>
      </w:r>
      <w:r w:rsidR="00C2054F">
        <w:rPr>
          <w:szCs w:val="22"/>
          <w:lang w:val="en-CA"/>
        </w:rPr>
        <w:fldChar w:fldCharType="end"/>
      </w:r>
    </w:p>
    <w:p w14:paraId="4811F1D0" w14:textId="272302E1" w:rsidR="00F86FC5" w:rsidRPr="00EA0F32" w:rsidRDefault="00F830E3" w:rsidP="00EA0F32">
      <w:pPr>
        <w:numPr>
          <w:ilvl w:val="0"/>
          <w:numId w:val="12"/>
        </w:numPr>
        <w:rPr>
          <w:szCs w:val="22"/>
          <w:lang w:val="en-CA"/>
        </w:rPr>
      </w:pPr>
      <w:r>
        <w:rPr>
          <w:szCs w:val="22"/>
          <w:lang w:val="en-CA"/>
        </w:rPr>
        <w:lastRenderedPageBreak/>
        <w:t xml:space="preserve"> </w:t>
      </w:r>
      <w:r w:rsidR="00C2054F">
        <w:rPr>
          <w:szCs w:val="22"/>
          <w:lang w:val="en-CA"/>
        </w:rPr>
        <w:t>F. Bossen, J. Boyce, X. Li, V. Seregin, and K. Sühring, “JVET common test conditions and software reference configurations for SDR video,” Document of Joint Video Experts Team, JVET-N1010.</w:t>
      </w:r>
      <w:bookmarkEnd w:id="4"/>
      <w:bookmarkEnd w:id="5"/>
    </w:p>
    <w:p w14:paraId="5AAD5E92" w14:textId="77777777" w:rsidR="00F86FC5" w:rsidRPr="005B217D" w:rsidRDefault="00F86FC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3DE2F23" w:rsidR="00342FF4" w:rsidRPr="00F86FC5" w:rsidRDefault="00F86FC5" w:rsidP="009234A5">
      <w:pPr>
        <w:rPr>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A4CA4" w14:textId="77777777" w:rsidR="00AA4D15" w:rsidRDefault="00AA4D15">
      <w:r>
        <w:separator/>
      </w:r>
    </w:p>
  </w:endnote>
  <w:endnote w:type="continuationSeparator" w:id="0">
    <w:p w14:paraId="6DA0EFE4" w14:textId="77777777" w:rsidR="00AA4D15" w:rsidRDefault="00AA4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7EBC00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81DE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1DED">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CD7A7" w14:textId="77777777" w:rsidR="00AA4D15" w:rsidRDefault="00AA4D15">
      <w:r>
        <w:separator/>
      </w:r>
    </w:p>
  </w:footnote>
  <w:footnote w:type="continuationSeparator" w:id="0">
    <w:p w14:paraId="6A9CD71C" w14:textId="77777777" w:rsidR="00AA4D15" w:rsidRDefault="00AA4D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5E9"/>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25EF9"/>
    <w:rsid w:val="00131F90"/>
    <w:rsid w:val="0013458C"/>
    <w:rsid w:val="0013526E"/>
    <w:rsid w:val="00146152"/>
    <w:rsid w:val="00155526"/>
    <w:rsid w:val="00165BA7"/>
    <w:rsid w:val="0016639F"/>
    <w:rsid w:val="00171371"/>
    <w:rsid w:val="00171D45"/>
    <w:rsid w:val="00175A24"/>
    <w:rsid w:val="00187E58"/>
    <w:rsid w:val="001A297E"/>
    <w:rsid w:val="001A368E"/>
    <w:rsid w:val="001A7329"/>
    <w:rsid w:val="001A792F"/>
    <w:rsid w:val="001B4E28"/>
    <w:rsid w:val="001C1D01"/>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C77"/>
    <w:rsid w:val="002375C1"/>
    <w:rsid w:val="00263398"/>
    <w:rsid w:val="00263B99"/>
    <w:rsid w:val="00266F06"/>
    <w:rsid w:val="00275BCF"/>
    <w:rsid w:val="00290488"/>
    <w:rsid w:val="00290F62"/>
    <w:rsid w:val="00291E36"/>
    <w:rsid w:val="00292257"/>
    <w:rsid w:val="002A54E0"/>
    <w:rsid w:val="002B1595"/>
    <w:rsid w:val="002B191D"/>
    <w:rsid w:val="002B2E83"/>
    <w:rsid w:val="002B6794"/>
    <w:rsid w:val="002D0AF6"/>
    <w:rsid w:val="002D0C3C"/>
    <w:rsid w:val="002E76DC"/>
    <w:rsid w:val="002F164D"/>
    <w:rsid w:val="003021BC"/>
    <w:rsid w:val="00304D98"/>
    <w:rsid w:val="00306206"/>
    <w:rsid w:val="00317D85"/>
    <w:rsid w:val="00327C56"/>
    <w:rsid w:val="003315A1"/>
    <w:rsid w:val="003373EC"/>
    <w:rsid w:val="00342FF4"/>
    <w:rsid w:val="00344E5A"/>
    <w:rsid w:val="00346148"/>
    <w:rsid w:val="003619BA"/>
    <w:rsid w:val="003669EA"/>
    <w:rsid w:val="003706CC"/>
    <w:rsid w:val="00377710"/>
    <w:rsid w:val="003A2D8E"/>
    <w:rsid w:val="003A7CE6"/>
    <w:rsid w:val="003C20E4"/>
    <w:rsid w:val="003D0176"/>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03A4"/>
    <w:rsid w:val="00531AE9"/>
    <w:rsid w:val="00536188"/>
    <w:rsid w:val="00550A66"/>
    <w:rsid w:val="00567EC7"/>
    <w:rsid w:val="00570013"/>
    <w:rsid w:val="005753EC"/>
    <w:rsid w:val="005801A2"/>
    <w:rsid w:val="005952A5"/>
    <w:rsid w:val="00595FDC"/>
    <w:rsid w:val="005A33A1"/>
    <w:rsid w:val="005B217D"/>
    <w:rsid w:val="005C385F"/>
    <w:rsid w:val="005D5BF4"/>
    <w:rsid w:val="005E1AC6"/>
    <w:rsid w:val="005E3F2B"/>
    <w:rsid w:val="005E7704"/>
    <w:rsid w:val="005F6F1B"/>
    <w:rsid w:val="00615995"/>
    <w:rsid w:val="00616155"/>
    <w:rsid w:val="00624B33"/>
    <w:rsid w:val="0063041A"/>
    <w:rsid w:val="00630AA2"/>
    <w:rsid w:val="00646707"/>
    <w:rsid w:val="00657F7E"/>
    <w:rsid w:val="00662E58"/>
    <w:rsid w:val="006637F2"/>
    <w:rsid w:val="006642A5"/>
    <w:rsid w:val="00664DCF"/>
    <w:rsid w:val="006A247B"/>
    <w:rsid w:val="006C5D39"/>
    <w:rsid w:val="006D6D9B"/>
    <w:rsid w:val="006E2810"/>
    <w:rsid w:val="006E5417"/>
    <w:rsid w:val="006E6706"/>
    <w:rsid w:val="006E6F24"/>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6B28"/>
    <w:rsid w:val="007D1181"/>
    <w:rsid w:val="007E01A3"/>
    <w:rsid w:val="007F1F8B"/>
    <w:rsid w:val="007F67A1"/>
    <w:rsid w:val="00811C05"/>
    <w:rsid w:val="00815A7D"/>
    <w:rsid w:val="008206C8"/>
    <w:rsid w:val="00862845"/>
    <w:rsid w:val="0086387C"/>
    <w:rsid w:val="00874A6C"/>
    <w:rsid w:val="00876C65"/>
    <w:rsid w:val="00881DED"/>
    <w:rsid w:val="00882CE2"/>
    <w:rsid w:val="00882F72"/>
    <w:rsid w:val="00896946"/>
    <w:rsid w:val="008A4B4C"/>
    <w:rsid w:val="008C239F"/>
    <w:rsid w:val="008C298E"/>
    <w:rsid w:val="008E480C"/>
    <w:rsid w:val="00907757"/>
    <w:rsid w:val="009212B0"/>
    <w:rsid w:val="00921FA1"/>
    <w:rsid w:val="009234A5"/>
    <w:rsid w:val="00933453"/>
    <w:rsid w:val="009336F7"/>
    <w:rsid w:val="0093636C"/>
    <w:rsid w:val="009374A7"/>
    <w:rsid w:val="00955F6D"/>
    <w:rsid w:val="00977C16"/>
    <w:rsid w:val="009829EE"/>
    <w:rsid w:val="0098551D"/>
    <w:rsid w:val="00985DCB"/>
    <w:rsid w:val="00991478"/>
    <w:rsid w:val="0099518F"/>
    <w:rsid w:val="009A523D"/>
    <w:rsid w:val="009B02A1"/>
    <w:rsid w:val="009B3361"/>
    <w:rsid w:val="009B3521"/>
    <w:rsid w:val="009B7F3F"/>
    <w:rsid w:val="009D7CE6"/>
    <w:rsid w:val="009F266B"/>
    <w:rsid w:val="009F496B"/>
    <w:rsid w:val="00A01439"/>
    <w:rsid w:val="00A02E61"/>
    <w:rsid w:val="00A05CFF"/>
    <w:rsid w:val="00A11866"/>
    <w:rsid w:val="00A13048"/>
    <w:rsid w:val="00A37661"/>
    <w:rsid w:val="00A46843"/>
    <w:rsid w:val="00A56B97"/>
    <w:rsid w:val="00A6093D"/>
    <w:rsid w:val="00A60E64"/>
    <w:rsid w:val="00A767DC"/>
    <w:rsid w:val="00A76A6D"/>
    <w:rsid w:val="00A83253"/>
    <w:rsid w:val="00AA15E3"/>
    <w:rsid w:val="00AA4D15"/>
    <w:rsid w:val="00AA6E84"/>
    <w:rsid w:val="00AB1A1C"/>
    <w:rsid w:val="00AC11A8"/>
    <w:rsid w:val="00AD05A8"/>
    <w:rsid w:val="00AD54AA"/>
    <w:rsid w:val="00AE341B"/>
    <w:rsid w:val="00B01905"/>
    <w:rsid w:val="00B06A14"/>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054F"/>
    <w:rsid w:val="00C26CCB"/>
    <w:rsid w:val="00C30249"/>
    <w:rsid w:val="00C34692"/>
    <w:rsid w:val="00C3723B"/>
    <w:rsid w:val="00C42466"/>
    <w:rsid w:val="00C606C9"/>
    <w:rsid w:val="00C80288"/>
    <w:rsid w:val="00C84003"/>
    <w:rsid w:val="00C841F7"/>
    <w:rsid w:val="00C90650"/>
    <w:rsid w:val="00C97D78"/>
    <w:rsid w:val="00CC27CA"/>
    <w:rsid w:val="00CC2AAE"/>
    <w:rsid w:val="00CC5A42"/>
    <w:rsid w:val="00CD0EAB"/>
    <w:rsid w:val="00CE5E02"/>
    <w:rsid w:val="00CF34DB"/>
    <w:rsid w:val="00CF3917"/>
    <w:rsid w:val="00CF558F"/>
    <w:rsid w:val="00CF6EA5"/>
    <w:rsid w:val="00D010C0"/>
    <w:rsid w:val="00D073E2"/>
    <w:rsid w:val="00D12358"/>
    <w:rsid w:val="00D446EC"/>
    <w:rsid w:val="00D51BF0"/>
    <w:rsid w:val="00D531DB"/>
    <w:rsid w:val="00D55942"/>
    <w:rsid w:val="00D807BF"/>
    <w:rsid w:val="00D82FCC"/>
    <w:rsid w:val="00DA17FC"/>
    <w:rsid w:val="00DA7887"/>
    <w:rsid w:val="00DB2C26"/>
    <w:rsid w:val="00DC7F9D"/>
    <w:rsid w:val="00DD02F4"/>
    <w:rsid w:val="00DD6622"/>
    <w:rsid w:val="00DE1C7C"/>
    <w:rsid w:val="00DE6B43"/>
    <w:rsid w:val="00E035B2"/>
    <w:rsid w:val="00E11923"/>
    <w:rsid w:val="00E17B5C"/>
    <w:rsid w:val="00E262D4"/>
    <w:rsid w:val="00E36250"/>
    <w:rsid w:val="00E47F2D"/>
    <w:rsid w:val="00E54511"/>
    <w:rsid w:val="00E60EDC"/>
    <w:rsid w:val="00E61DAC"/>
    <w:rsid w:val="00E72B80"/>
    <w:rsid w:val="00E75FE3"/>
    <w:rsid w:val="00E76C9A"/>
    <w:rsid w:val="00E86C4C"/>
    <w:rsid w:val="00E907A3"/>
    <w:rsid w:val="00EA0F32"/>
    <w:rsid w:val="00EA5AE0"/>
    <w:rsid w:val="00EB56E1"/>
    <w:rsid w:val="00EB7AB1"/>
    <w:rsid w:val="00EE5FF5"/>
    <w:rsid w:val="00EE7CD8"/>
    <w:rsid w:val="00EF37F6"/>
    <w:rsid w:val="00EF48CC"/>
    <w:rsid w:val="00F00801"/>
    <w:rsid w:val="00F2488D"/>
    <w:rsid w:val="00F523A0"/>
    <w:rsid w:val="00F601A0"/>
    <w:rsid w:val="00F635EE"/>
    <w:rsid w:val="00F712E9"/>
    <w:rsid w:val="00F73032"/>
    <w:rsid w:val="00F830E3"/>
    <w:rsid w:val="00F848FC"/>
    <w:rsid w:val="00F86FC5"/>
    <w:rsid w:val="00F906F6"/>
    <w:rsid w:val="00F9282A"/>
    <w:rsid w:val="00F96BAD"/>
    <w:rsid w:val="00FA139D"/>
    <w:rsid w:val="00FA60F5"/>
    <w:rsid w:val="00FB0E84"/>
    <w:rsid w:val="00FC2405"/>
    <w:rsid w:val="00FD01C2"/>
    <w:rsid w:val="00FE4A2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E1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302982">
      <w:bodyDiv w:val="1"/>
      <w:marLeft w:val="0"/>
      <w:marRight w:val="0"/>
      <w:marTop w:val="0"/>
      <w:marBottom w:val="0"/>
      <w:divBdr>
        <w:top w:val="none" w:sz="0" w:space="0" w:color="auto"/>
        <w:left w:val="none" w:sz="0" w:space="0" w:color="auto"/>
        <w:bottom w:val="none" w:sz="0" w:space="0" w:color="auto"/>
        <w:right w:val="none" w:sz="0" w:space="0" w:color="auto"/>
      </w:divBdr>
    </w:div>
    <w:div w:id="16224951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51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3</Pages>
  <Words>845</Words>
  <Characters>4819</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41</cp:revision>
  <cp:lastPrinted>1900-01-01T08:00:00Z</cp:lastPrinted>
  <dcterms:created xsi:type="dcterms:W3CDTF">2019-04-11T19:57:00Z</dcterms:created>
  <dcterms:modified xsi:type="dcterms:W3CDTF">2019-07-05T13:27:00Z</dcterms:modified>
</cp:coreProperties>
</file>