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7C8B7C5" w:rsidR="008A4B4C" w:rsidRPr="005B217D" w:rsidRDefault="00E61DAC" w:rsidP="0002758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8D0FFD">
              <w:rPr>
                <w:lang w:val="en-CA"/>
              </w:rPr>
              <w:t>0663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9EAA95" w:rsidR="00E61DAC" w:rsidRPr="005B217D" w:rsidRDefault="006B732D" w:rsidP="006B732D">
            <w:pPr>
              <w:spacing w:before="60" w:after="60"/>
              <w:rPr>
                <w:b/>
                <w:szCs w:val="22"/>
                <w:lang w:val="en-CA"/>
              </w:rPr>
            </w:pPr>
            <w:r>
              <w:rPr>
                <w:b/>
                <w:szCs w:val="22"/>
                <w:lang w:val="en-CA"/>
              </w:rPr>
              <w:t>CE11-</w:t>
            </w:r>
            <w:r w:rsidR="00727607">
              <w:rPr>
                <w:b/>
                <w:szCs w:val="22"/>
                <w:lang w:val="en-CA"/>
              </w:rPr>
              <w:t>3.2</w:t>
            </w:r>
            <w:r>
              <w:rPr>
                <w:b/>
                <w:szCs w:val="22"/>
                <w:lang w:val="en-CA"/>
              </w:rPr>
              <w:t xml:space="preserve">: </w:t>
            </w:r>
            <w:r w:rsidR="00727607">
              <w:rPr>
                <w:b/>
                <w:szCs w:val="22"/>
                <w:lang w:val="en-CA"/>
              </w:rPr>
              <w:t>Gradual Random Access (GRA) with Sub-Pictures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7FB424" w:rsidR="00E61DAC" w:rsidRPr="005B217D" w:rsidRDefault="0013458C" w:rsidP="00FD52C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ABD6B31" w:rsidR="00E61DAC" w:rsidRPr="005B217D" w:rsidRDefault="00E61DAC" w:rsidP="00FD52C2">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0134C47" w14:textId="77777777" w:rsidR="00727607" w:rsidRDefault="00727607" w:rsidP="006B732D">
            <w:pPr>
              <w:spacing w:before="60" w:after="60"/>
              <w:rPr>
                <w:szCs w:val="22"/>
                <w:lang w:val="fi-FI"/>
              </w:rPr>
            </w:pPr>
            <w:r w:rsidRPr="00727607">
              <w:rPr>
                <w:szCs w:val="22"/>
                <w:lang w:val="fi-FI"/>
              </w:rPr>
              <w:t xml:space="preserve">Kashyap Kammachi-Sreedhar, </w:t>
            </w:r>
          </w:p>
          <w:p w14:paraId="44DD6BD7" w14:textId="788D16A8" w:rsidR="006B732D" w:rsidRDefault="00727607" w:rsidP="006B732D">
            <w:pPr>
              <w:spacing w:before="60" w:after="60"/>
              <w:rPr>
                <w:szCs w:val="22"/>
                <w:lang w:val="fi-FI"/>
              </w:rPr>
            </w:pPr>
            <w:r w:rsidRPr="00727607">
              <w:rPr>
                <w:szCs w:val="22"/>
                <w:lang w:val="fi-FI"/>
              </w:rPr>
              <w:t>Miska M. Ha</w:t>
            </w:r>
            <w:r>
              <w:rPr>
                <w:szCs w:val="22"/>
                <w:lang w:val="fi-FI"/>
              </w:rPr>
              <w:t>nnuksela</w:t>
            </w:r>
            <w:r w:rsidR="008C3430">
              <w:rPr>
                <w:szCs w:val="22"/>
                <w:lang w:val="fi-FI"/>
              </w:rPr>
              <w:t>,</w:t>
            </w:r>
          </w:p>
          <w:p w14:paraId="332A2E9F" w14:textId="59A05FEE" w:rsidR="008C3430" w:rsidRPr="00727607" w:rsidRDefault="008C3430" w:rsidP="006B732D">
            <w:pPr>
              <w:spacing w:before="60" w:after="60"/>
              <w:rPr>
                <w:szCs w:val="22"/>
                <w:lang w:val="fi-FI"/>
              </w:rPr>
            </w:pPr>
            <w:r>
              <w:rPr>
                <w:szCs w:val="22"/>
                <w:lang w:val="fi-FI"/>
              </w:rPr>
              <w:t>Alireza Aminlou</w:t>
            </w:r>
          </w:p>
          <w:p w14:paraId="49D81240" w14:textId="5955A49C" w:rsidR="00E61DAC" w:rsidRPr="00727607" w:rsidRDefault="001D6136" w:rsidP="006B732D">
            <w:pPr>
              <w:spacing w:before="60" w:after="60"/>
              <w:rPr>
                <w:szCs w:val="22"/>
                <w:lang w:val="fi-FI"/>
              </w:rPr>
            </w:pPr>
            <w:r w:rsidRPr="008C3430">
              <w:rPr>
                <w:szCs w:val="22"/>
                <w:lang w:val="fi-FI"/>
              </w:rPr>
              <w:t>Nokia Technologies</w:t>
            </w:r>
            <w:r w:rsidRPr="008C3430">
              <w:rPr>
                <w:szCs w:val="22"/>
                <w:lang w:val="fi-FI"/>
              </w:rPr>
              <w:br/>
              <w:t>Hatanpaan valtatie 30</w:t>
            </w:r>
            <w:r w:rsidRPr="008C3430">
              <w:rPr>
                <w:szCs w:val="22"/>
                <w:lang w:val="fi-FI"/>
              </w:rPr>
              <w:br/>
              <w:t>33100 Tampere</w:t>
            </w:r>
            <w:r w:rsidRPr="008C3430">
              <w:rPr>
                <w:szCs w:val="22"/>
                <w:lang w:val="fi-FI"/>
              </w:rPr>
              <w:br/>
              <w:t>Finland</w:t>
            </w:r>
          </w:p>
        </w:tc>
        <w:tc>
          <w:tcPr>
            <w:tcW w:w="900" w:type="dxa"/>
          </w:tcPr>
          <w:p w14:paraId="0140ECA2" w14:textId="77777777" w:rsidR="00E61DAC" w:rsidRPr="005B217D" w:rsidRDefault="00E61DAC">
            <w:pPr>
              <w:spacing w:before="60" w:after="60"/>
              <w:rPr>
                <w:szCs w:val="22"/>
                <w:lang w:val="en-CA"/>
              </w:rPr>
            </w:pPr>
            <w:r w:rsidRPr="00727607">
              <w:rPr>
                <w:szCs w:val="22"/>
                <w:lang w:val="fi-FI"/>
              </w:rPr>
              <w:br/>
            </w:r>
            <w:r w:rsidRPr="005B217D">
              <w:rPr>
                <w:szCs w:val="22"/>
                <w:lang w:val="en-CA"/>
              </w:rPr>
              <w:t>Tel:</w:t>
            </w:r>
            <w:r w:rsidRPr="005B217D">
              <w:rPr>
                <w:szCs w:val="22"/>
                <w:lang w:val="en-CA"/>
              </w:rPr>
              <w:br/>
              <w:t>Email:</w:t>
            </w:r>
          </w:p>
        </w:tc>
        <w:tc>
          <w:tcPr>
            <w:tcW w:w="3060" w:type="dxa"/>
          </w:tcPr>
          <w:p w14:paraId="752EAF7E" w14:textId="34F50625" w:rsidR="006B732D" w:rsidRPr="006B732D" w:rsidRDefault="00E61DAC" w:rsidP="006B732D">
            <w:pPr>
              <w:spacing w:before="60" w:after="60"/>
              <w:rPr>
                <w:szCs w:val="22"/>
                <w:lang w:val="en-CA"/>
              </w:rPr>
            </w:pPr>
            <w:r w:rsidRPr="005B217D">
              <w:rPr>
                <w:szCs w:val="22"/>
                <w:lang w:val="en-CA"/>
              </w:rPr>
              <w:br/>
            </w:r>
          </w:p>
          <w:p w14:paraId="32C2ABFD" w14:textId="5A817F14" w:rsidR="00E61DAC" w:rsidRPr="005B217D" w:rsidRDefault="00727607" w:rsidP="006B732D">
            <w:pPr>
              <w:spacing w:before="60" w:after="60"/>
              <w:rPr>
                <w:szCs w:val="22"/>
                <w:lang w:val="en-CA"/>
              </w:rPr>
            </w:pPr>
            <w:r>
              <w:rPr>
                <w:szCs w:val="22"/>
                <w:lang w:val="en-CA"/>
              </w:rPr>
              <w:t>firstname</w:t>
            </w:r>
            <w:r w:rsidR="006B732D" w:rsidRPr="006B732D">
              <w:rPr>
                <w:szCs w:val="22"/>
                <w:lang w:val="en-CA"/>
              </w:rPr>
              <w:t>.</w:t>
            </w:r>
            <w:r>
              <w:rPr>
                <w:szCs w:val="22"/>
                <w:lang w:val="en-CA"/>
              </w:rPr>
              <w:t>lastname</w:t>
            </w:r>
            <w:r w:rsidR="006B732D" w:rsidRPr="006B732D">
              <w:rPr>
                <w:szCs w:val="22"/>
                <w:lang w:val="en-CA"/>
              </w:rPr>
              <w:t>@</w:t>
            </w:r>
            <w:r>
              <w:rPr>
                <w:szCs w:val="22"/>
                <w:lang w:val="en-CA"/>
              </w:rPr>
              <w:t>nokia</w:t>
            </w:r>
            <w:r w:rsidR="006B732D" w:rsidRPr="006B732D">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F792B94" w:rsidR="00E61DAC" w:rsidRPr="005B217D" w:rsidRDefault="00727607">
            <w:pPr>
              <w:spacing w:before="60" w:after="60"/>
              <w:rPr>
                <w:szCs w:val="22"/>
                <w:lang w:val="en-CA"/>
              </w:rPr>
            </w:pPr>
            <w:r>
              <w:rPr>
                <w:szCs w:val="22"/>
                <w:lang w:val="en-CA"/>
              </w:rPr>
              <w:t>Nokia</w:t>
            </w:r>
            <w:r w:rsidR="006B732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CA67CB6" w14:textId="1AD8A195" w:rsidR="0008666D" w:rsidRDefault="0008666D" w:rsidP="008C3430">
      <w:pPr>
        <w:rPr>
          <w:szCs w:val="22"/>
        </w:rPr>
      </w:pPr>
      <w:r w:rsidRPr="000D7AA2">
        <w:rPr>
          <w:szCs w:val="22"/>
        </w:rPr>
        <w:t xml:space="preserve">This contribution </w:t>
      </w:r>
      <w:r w:rsidR="008C3430">
        <w:rPr>
          <w:szCs w:val="22"/>
        </w:rPr>
        <w:t>presents the result of CE11 test 3.2 for Gradual Random Access (GRA) using sub-</w:t>
      </w:r>
      <w:r w:rsidR="008601C4">
        <w:rPr>
          <w:szCs w:val="22"/>
        </w:rPr>
        <w:t>picture-based</w:t>
      </w:r>
      <w:r w:rsidR="008C3430">
        <w:rPr>
          <w:szCs w:val="22"/>
        </w:rPr>
        <w:t xml:space="preserve"> picture partitioning</w:t>
      </w:r>
      <w:r w:rsidR="008601C4">
        <w:rPr>
          <w:szCs w:val="22"/>
        </w:rPr>
        <w:t>. In the proposed method, the GRA is achieved by separating the refreshed region (clean area) and the un-refreshed region (dirty area) into two different sub-pictures</w:t>
      </w:r>
      <w:r w:rsidR="008C3430">
        <w:rPr>
          <w:szCs w:val="22"/>
        </w:rPr>
        <w:t xml:space="preserve"> as detailed in </w:t>
      </w:r>
      <w:r w:rsidR="008601C4">
        <w:rPr>
          <w:szCs w:val="22"/>
        </w:rPr>
        <w:fldChar w:fldCharType="begin"/>
      </w:r>
      <w:r w:rsidR="008601C4">
        <w:rPr>
          <w:szCs w:val="22"/>
        </w:rPr>
        <w:instrText xml:space="preserve"> REF _Ref12432566 \r \h </w:instrText>
      </w:r>
      <w:r w:rsidR="008601C4">
        <w:rPr>
          <w:szCs w:val="22"/>
        </w:rPr>
      </w:r>
      <w:r w:rsidR="008601C4">
        <w:rPr>
          <w:szCs w:val="22"/>
        </w:rPr>
        <w:fldChar w:fldCharType="separate"/>
      </w:r>
      <w:r w:rsidR="008601C4">
        <w:rPr>
          <w:szCs w:val="22"/>
        </w:rPr>
        <w:t>[1]</w:t>
      </w:r>
      <w:r w:rsidR="008601C4">
        <w:rPr>
          <w:szCs w:val="22"/>
        </w:rPr>
        <w:fldChar w:fldCharType="end"/>
      </w:r>
      <w:r w:rsidR="008601C4">
        <w:rPr>
          <w:szCs w:val="22"/>
        </w:rPr>
        <w:t xml:space="preserve">. </w:t>
      </w:r>
    </w:p>
    <w:p w14:paraId="2B51545A" w14:textId="54820F62" w:rsidR="0008666D" w:rsidRPr="000D7AA2" w:rsidRDefault="0008666D" w:rsidP="0008666D">
      <w:pPr>
        <w:rPr>
          <w:szCs w:val="22"/>
        </w:rPr>
      </w:pPr>
      <w:r w:rsidRPr="0008666D">
        <w:rPr>
          <w:szCs w:val="22"/>
        </w:rPr>
        <w:t>Simulation</w:t>
      </w:r>
      <w:r w:rsidR="008601C4">
        <w:rPr>
          <w:szCs w:val="22"/>
        </w:rPr>
        <w:t>s</w:t>
      </w:r>
      <w:r w:rsidRPr="0008666D">
        <w:rPr>
          <w:szCs w:val="22"/>
        </w:rPr>
        <w:t xml:space="preserve"> </w:t>
      </w:r>
      <w:r w:rsidR="008601C4">
        <w:rPr>
          <w:szCs w:val="22"/>
        </w:rPr>
        <w:t>were carried out according to</w:t>
      </w:r>
      <w:r w:rsidR="00FD52C2">
        <w:rPr>
          <w:szCs w:val="22"/>
        </w:rPr>
        <w:t xml:space="preserve"> CE11 specific test conditions. </w:t>
      </w:r>
      <w:r w:rsidR="005B7271">
        <w:rPr>
          <w:szCs w:val="22"/>
        </w:rPr>
        <w:t>The reported r</w:t>
      </w:r>
      <w:r w:rsidR="00FD52C2">
        <w:rPr>
          <w:szCs w:val="22"/>
        </w:rPr>
        <w:t xml:space="preserve">esults </w:t>
      </w:r>
      <w:r w:rsidRPr="0008666D">
        <w:rPr>
          <w:szCs w:val="22"/>
        </w:rPr>
        <w:t xml:space="preserve">show that the average </w:t>
      </w:r>
      <w:r w:rsidR="008601C4">
        <w:rPr>
          <w:szCs w:val="22"/>
        </w:rPr>
        <w:t>Y component</w:t>
      </w:r>
      <w:r w:rsidRPr="0008666D">
        <w:rPr>
          <w:szCs w:val="22"/>
        </w:rPr>
        <w:t xml:space="preserve"> BD-rate</w:t>
      </w:r>
      <w:r w:rsidR="00D9312B">
        <w:rPr>
          <w:szCs w:val="22"/>
        </w:rPr>
        <w:t xml:space="preserve"> overhead</w:t>
      </w:r>
      <w:r w:rsidRPr="0008666D">
        <w:rPr>
          <w:szCs w:val="22"/>
        </w:rPr>
        <w:t xml:space="preserve"> </w:t>
      </w:r>
      <w:r w:rsidR="00D9312B">
        <w:rPr>
          <w:szCs w:val="22"/>
          <w:lang w:val="en-GB"/>
        </w:rPr>
        <w:t>is</w:t>
      </w:r>
      <w:r w:rsidRPr="0008666D">
        <w:rPr>
          <w:szCs w:val="22"/>
        </w:rPr>
        <w:t xml:space="preserve"> </w:t>
      </w:r>
      <w:r w:rsidR="008601C4" w:rsidRPr="008601C4">
        <w:rPr>
          <w:szCs w:val="22"/>
          <w:highlight w:val="yellow"/>
        </w:rPr>
        <w:t>xxx</w:t>
      </w:r>
      <w:r w:rsidRPr="0008666D">
        <w:rPr>
          <w:szCs w:val="22"/>
        </w:rPr>
        <w:t xml:space="preserve">% </w:t>
      </w:r>
      <w:r w:rsidR="00FD52C2">
        <w:rPr>
          <w:szCs w:val="22"/>
        </w:rPr>
        <w:t xml:space="preserve">in </w:t>
      </w:r>
      <w:r w:rsidR="008601C4">
        <w:rPr>
          <w:szCs w:val="22"/>
        </w:rPr>
        <w:t>low-delay B</w:t>
      </w:r>
      <w:r w:rsidR="0027553D">
        <w:rPr>
          <w:szCs w:val="22"/>
        </w:rPr>
        <w:t xml:space="preserve"> configuration</w:t>
      </w:r>
      <w:r w:rsidR="008601C4">
        <w:rPr>
          <w:szCs w:val="22"/>
        </w:rPr>
        <w:t xml:space="preserve"> of </w:t>
      </w:r>
      <w:r w:rsidR="008601C4">
        <w:rPr>
          <w:szCs w:val="22"/>
        </w:rPr>
        <w:fldChar w:fldCharType="begin"/>
      </w:r>
      <w:r w:rsidR="008601C4">
        <w:rPr>
          <w:szCs w:val="22"/>
        </w:rPr>
        <w:instrText xml:space="preserve"> REF _Ref11793243 \r \h </w:instrText>
      </w:r>
      <w:r w:rsidR="008601C4">
        <w:rPr>
          <w:szCs w:val="22"/>
        </w:rPr>
      </w:r>
      <w:r w:rsidR="008601C4">
        <w:rPr>
          <w:szCs w:val="22"/>
        </w:rPr>
        <w:fldChar w:fldCharType="separate"/>
      </w:r>
      <w:r w:rsidR="008601C4">
        <w:rPr>
          <w:szCs w:val="22"/>
        </w:rPr>
        <w:t>[2]</w:t>
      </w:r>
      <w:r w:rsidR="008601C4">
        <w:rPr>
          <w:szCs w:val="22"/>
        </w:rPr>
        <w:fldChar w:fldCharType="end"/>
      </w:r>
      <w:r w:rsidRPr="0008666D">
        <w:rPr>
          <w:szCs w:val="22"/>
        </w:rPr>
        <w:t>.</w:t>
      </w:r>
      <w:r w:rsidR="00FD52C2">
        <w:rPr>
          <w:szCs w:val="22"/>
        </w:rPr>
        <w:t xml:space="preserve"> </w:t>
      </w:r>
    </w:p>
    <w:p w14:paraId="7D2AC1F0" w14:textId="75C2621E" w:rsidR="00745F6B" w:rsidRPr="005B217D" w:rsidRDefault="00745F6B" w:rsidP="00E11923">
      <w:pPr>
        <w:pStyle w:val="Heading1"/>
        <w:rPr>
          <w:lang w:val="en-CA"/>
        </w:rPr>
      </w:pPr>
      <w:r w:rsidRPr="005B217D">
        <w:rPr>
          <w:lang w:val="en-CA"/>
        </w:rPr>
        <w:t>Introduction</w:t>
      </w:r>
    </w:p>
    <w:p w14:paraId="42179E97" w14:textId="05B9C7A4" w:rsidR="0008666D" w:rsidRDefault="005B7271" w:rsidP="0008666D">
      <w:r>
        <w:t>A</w:t>
      </w:r>
      <w:r>
        <w:t>n AHG was established</w:t>
      </w:r>
      <w:r>
        <w:t>,</w:t>
      </w:r>
      <w:r>
        <w:t xml:space="preserve"> </w:t>
      </w:r>
      <w:r>
        <w:t>d</w:t>
      </w:r>
      <w:r w:rsidR="00CC6FEF">
        <w:t>uring the 14</w:t>
      </w:r>
      <w:r w:rsidR="00CC6FEF" w:rsidRPr="00CC6FEF">
        <w:rPr>
          <w:vertAlign w:val="superscript"/>
        </w:rPr>
        <w:t>th</w:t>
      </w:r>
      <w:r w:rsidR="00CC6FEF">
        <w:t xml:space="preserve"> JVET meeting in Gene</w:t>
      </w:r>
      <w:r>
        <w:t xml:space="preserve">va, March 2019. The aim of the AHG was to study alternate solutions including both normative and non-normative categories for achieving </w:t>
      </w:r>
      <w:r>
        <w:t>gradual random access (GRA)</w:t>
      </w:r>
      <w:r>
        <w:t>.   Multiple solutions</w:t>
      </w:r>
      <w:r w:rsidR="0008666D">
        <w:t xml:space="preserve"> </w:t>
      </w:r>
      <w:r>
        <w:t xml:space="preserve">for achieving </w:t>
      </w:r>
      <w:r w:rsidR="0008666D">
        <w:t xml:space="preserve">gradual </w:t>
      </w:r>
      <w:r w:rsidR="00FD52C2">
        <w:t>random access</w:t>
      </w:r>
      <w:r w:rsidR="0008666D">
        <w:t xml:space="preserve"> (GR</w:t>
      </w:r>
      <w:r w:rsidR="00FD52C2">
        <w:t>A</w:t>
      </w:r>
      <w:r w:rsidR="0008666D">
        <w:t xml:space="preserve">) </w:t>
      </w:r>
      <w:r w:rsidR="00FD52C2">
        <w:t xml:space="preserve">techniques </w:t>
      </w:r>
      <w:r w:rsidR="0008666D">
        <w:t xml:space="preserve">have been </w:t>
      </w:r>
      <w:r w:rsidR="00FD52C2">
        <w:t xml:space="preserve">recommended for further </w:t>
      </w:r>
      <w:r w:rsidR="0008666D">
        <w:t>stud</w:t>
      </w:r>
      <w:r w:rsidR="00FD52C2">
        <w:t>y in CE11</w:t>
      </w:r>
      <w:r w:rsidR="0008666D">
        <w:t>.</w:t>
      </w:r>
    </w:p>
    <w:p w14:paraId="1047A449" w14:textId="4BF95560" w:rsidR="005B7271" w:rsidRDefault="005B7271" w:rsidP="005B7271">
      <w:pPr>
        <w:rPr>
          <w:lang w:val="en-CA"/>
        </w:rPr>
      </w:pPr>
      <w:r>
        <w:rPr>
          <w:lang w:val="en-CA"/>
        </w:rPr>
        <w:t xml:space="preserve">The proposal </w:t>
      </w:r>
      <w:r>
        <w:rPr>
          <w:lang w:val="en-CA"/>
        </w:rPr>
        <w:t xml:space="preserve">in test CE11 3.2 </w:t>
      </w:r>
      <w:r>
        <w:rPr>
          <w:lang w:val="en-CA"/>
        </w:rPr>
        <w:t>is summarized as follows:</w:t>
      </w:r>
    </w:p>
    <w:p w14:paraId="27762F15" w14:textId="77777777" w:rsidR="005B7271" w:rsidRPr="005B7271" w:rsidRDefault="005B7271" w:rsidP="005B7271">
      <w:pPr>
        <w:pStyle w:val="ListParagraph"/>
        <w:numPr>
          <w:ilvl w:val="0"/>
          <w:numId w:val="14"/>
        </w:numPr>
        <w:ind w:left="714" w:hanging="357"/>
        <w:contextualSpacing w:val="0"/>
        <w:rPr>
          <w:sz w:val="22"/>
          <w:szCs w:val="22"/>
          <w:lang w:val="en-CA"/>
        </w:rPr>
      </w:pPr>
      <w:r w:rsidRPr="005B7271">
        <w:rPr>
          <w:sz w:val="22"/>
          <w:szCs w:val="22"/>
          <w:lang w:val="en-CA"/>
        </w:rPr>
        <w:t xml:space="preserve">Pictures from the </w:t>
      </w:r>
      <w:proofErr w:type="gramStart"/>
      <w:r w:rsidRPr="005B7271">
        <w:rPr>
          <w:sz w:val="22"/>
          <w:szCs w:val="22"/>
          <w:lang w:val="en-CA"/>
        </w:rPr>
        <w:t>random access</w:t>
      </w:r>
      <w:proofErr w:type="gramEnd"/>
      <w:r w:rsidRPr="005B7271">
        <w:rPr>
          <w:sz w:val="22"/>
          <w:szCs w:val="22"/>
          <w:lang w:val="en-CA"/>
        </w:rPr>
        <w:t xml:space="preserve"> point (inclusive) to the recovery point (exclusive) have two sub-pictures, a refresh sub-picture and a "dirty" sub-picture. The size of the refresh sub-picture increases from the </w:t>
      </w:r>
      <w:proofErr w:type="gramStart"/>
      <w:r w:rsidRPr="005B7271">
        <w:rPr>
          <w:sz w:val="22"/>
          <w:szCs w:val="22"/>
          <w:lang w:val="en-CA"/>
        </w:rPr>
        <w:t>random access</w:t>
      </w:r>
      <w:proofErr w:type="gramEnd"/>
      <w:r w:rsidRPr="005B7271">
        <w:rPr>
          <w:sz w:val="22"/>
          <w:szCs w:val="22"/>
          <w:lang w:val="en-CA"/>
        </w:rPr>
        <w:t xml:space="preserve"> point towards the recovery point.</w:t>
      </w:r>
    </w:p>
    <w:p w14:paraId="7BF8F2B2" w14:textId="77777777" w:rsidR="005B7271" w:rsidRPr="005B7271" w:rsidRDefault="005B7271" w:rsidP="005B7271">
      <w:pPr>
        <w:pStyle w:val="ListParagraph"/>
        <w:numPr>
          <w:ilvl w:val="0"/>
          <w:numId w:val="14"/>
        </w:numPr>
        <w:ind w:left="714" w:hanging="357"/>
        <w:contextualSpacing w:val="0"/>
        <w:rPr>
          <w:sz w:val="22"/>
          <w:szCs w:val="22"/>
          <w:lang w:val="en-CA"/>
        </w:rPr>
      </w:pPr>
      <w:proofErr w:type="spellStart"/>
      <w:r w:rsidRPr="005B7271">
        <w:rPr>
          <w:sz w:val="22"/>
          <w:szCs w:val="22"/>
          <w:lang w:val="en-CA"/>
        </w:rPr>
        <w:t>full_pic_ref_flag</w:t>
      </w:r>
      <w:proofErr w:type="spellEnd"/>
      <w:r w:rsidRPr="005B7271">
        <w:rPr>
          <w:sz w:val="22"/>
          <w:szCs w:val="22"/>
          <w:lang w:val="en-CA"/>
        </w:rPr>
        <w:t xml:space="preserve"> is included in the PPS. When equal to 0, the sub-picture with the index (in decoding order, within the referenced coded picture) that has the same index as the current sub-picture in the current picture is extracted and used as reference for inter prediction. When equal to 1, the entire reference picture is used as reference for inter prediction of the current sub-picture.</w:t>
      </w:r>
    </w:p>
    <w:p w14:paraId="18838E1A" w14:textId="77777777" w:rsidR="005B7271" w:rsidRPr="005B7271" w:rsidRDefault="005B7271" w:rsidP="005B7271">
      <w:pPr>
        <w:pStyle w:val="ListParagraph"/>
        <w:numPr>
          <w:ilvl w:val="0"/>
          <w:numId w:val="14"/>
        </w:numPr>
        <w:ind w:left="714" w:hanging="357"/>
        <w:contextualSpacing w:val="0"/>
        <w:rPr>
          <w:sz w:val="22"/>
          <w:szCs w:val="22"/>
          <w:lang w:val="en-CA"/>
        </w:rPr>
      </w:pPr>
      <w:proofErr w:type="spellStart"/>
      <w:r w:rsidRPr="005B7271">
        <w:rPr>
          <w:sz w:val="22"/>
          <w:szCs w:val="22"/>
          <w:lang w:val="en-CA"/>
        </w:rPr>
        <w:t>full_pic_ref_flag</w:t>
      </w:r>
      <w:proofErr w:type="spellEnd"/>
      <w:r w:rsidRPr="005B7271">
        <w:rPr>
          <w:sz w:val="22"/>
          <w:szCs w:val="22"/>
          <w:lang w:val="en-CA"/>
        </w:rPr>
        <w:t xml:space="preserve"> is equal to 0 in the active PPS for the refresh sub-picture. Thus, only the previous refresh sub-pictures are used as reference for prediction of the current refresh sub-picture.</w:t>
      </w:r>
    </w:p>
    <w:p w14:paraId="09EF439B" w14:textId="764BE39A" w:rsidR="005B7271" w:rsidRDefault="005B7271" w:rsidP="005B7271">
      <w:pPr>
        <w:pStyle w:val="ListParagraph"/>
        <w:numPr>
          <w:ilvl w:val="0"/>
          <w:numId w:val="14"/>
        </w:numPr>
        <w:ind w:left="714" w:hanging="357"/>
        <w:contextualSpacing w:val="0"/>
        <w:rPr>
          <w:sz w:val="22"/>
          <w:szCs w:val="22"/>
          <w:lang w:val="en-CA"/>
        </w:rPr>
      </w:pPr>
      <w:proofErr w:type="spellStart"/>
      <w:r w:rsidRPr="005B7271">
        <w:rPr>
          <w:sz w:val="22"/>
          <w:szCs w:val="22"/>
          <w:lang w:val="en-CA"/>
        </w:rPr>
        <w:t>full_pic_ref_flag</w:t>
      </w:r>
      <w:proofErr w:type="spellEnd"/>
      <w:r w:rsidRPr="005B7271">
        <w:rPr>
          <w:sz w:val="22"/>
          <w:szCs w:val="22"/>
          <w:lang w:val="en-CA"/>
        </w:rPr>
        <w:t xml:space="preserve"> is equal to 1 in the active PPS for the "dirty" sub-picture. Thus, a "dirty" sub-picture can use samples from both "dirty" sub-picture and refresh sub-pictures for deriving prediction blocks of inter prediction.</w:t>
      </w:r>
    </w:p>
    <w:p w14:paraId="58678201" w14:textId="77777777" w:rsidR="005B7271" w:rsidRPr="005B7271" w:rsidRDefault="005B7271" w:rsidP="005B7271">
      <w:pPr>
        <w:rPr>
          <w:szCs w:val="22"/>
          <w:lang w:val="en-CA"/>
        </w:rPr>
      </w:pPr>
    </w:p>
    <w:p w14:paraId="178767F5" w14:textId="6868EB75" w:rsidR="002127E0" w:rsidRDefault="00A10FCE" w:rsidP="002127E0">
      <w:pPr>
        <w:pStyle w:val="Heading1"/>
      </w:pPr>
      <w:r>
        <w:lastRenderedPageBreak/>
        <w:t>Refreshed and unrefreshed regions</w:t>
      </w:r>
    </w:p>
    <w:p w14:paraId="60934D04" w14:textId="77777777" w:rsidR="00A10FCE" w:rsidRDefault="00A10FCE" w:rsidP="00A10FCE">
      <w:pPr>
        <w:rPr>
          <w:lang w:val="en-CA"/>
        </w:rPr>
      </w:pPr>
      <w:r>
        <w:rPr>
          <w:lang w:val="en-CA"/>
        </w:rPr>
        <w:fldChar w:fldCharType="begin"/>
      </w:r>
      <w:r>
        <w:rPr>
          <w:lang w:val="en-CA"/>
        </w:rPr>
        <w:instrText xml:space="preserve"> REF _Ref534208554 \h </w:instrText>
      </w:r>
      <w:r>
        <w:rPr>
          <w:lang w:val="en-CA"/>
        </w:rPr>
      </w:r>
      <w:r>
        <w:rPr>
          <w:lang w:val="en-CA"/>
        </w:rPr>
        <w:fldChar w:fldCharType="separate"/>
      </w:r>
      <w:r>
        <w:t xml:space="preserve">Figure </w:t>
      </w:r>
      <w:r>
        <w:rPr>
          <w:noProof/>
        </w:rPr>
        <w:t>1</w:t>
      </w:r>
      <w:r>
        <w:rPr>
          <w:lang w:val="en-CA"/>
        </w:rPr>
        <w:fldChar w:fldCharType="end"/>
      </w:r>
      <w:r>
        <w:rPr>
          <w:lang w:val="en-CA"/>
        </w:rPr>
        <w:t xml:space="preserve"> provides an example illustrating the proposal. Refresh sub-pictures are indicated with the diagonally striped rectangles, while the remaining picture area forms another sub-picture, which is casually called "dirty" sub-picture.</w:t>
      </w:r>
    </w:p>
    <w:p w14:paraId="0DFE8EEA" w14:textId="77777777" w:rsidR="00A10FCE" w:rsidRDefault="00A10FCE" w:rsidP="00A10FCE">
      <w:pPr>
        <w:rPr>
          <w:lang w:val="en-CA"/>
        </w:rPr>
      </w:pPr>
      <w:r>
        <w:rPr>
          <w:noProof/>
          <w:lang w:val="en-CA"/>
        </w:rPr>
        <w:drawing>
          <wp:inline distT="0" distB="0" distL="0" distR="0" wp14:anchorId="6E930C3F" wp14:editId="1A49AED2">
            <wp:extent cx="6141600" cy="918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41600" cy="918000"/>
                    </a:xfrm>
                    <a:prstGeom prst="rect">
                      <a:avLst/>
                    </a:prstGeom>
                    <a:noFill/>
                  </pic:spPr>
                </pic:pic>
              </a:graphicData>
            </a:graphic>
          </wp:inline>
        </w:drawing>
      </w:r>
    </w:p>
    <w:p w14:paraId="79BD4F2B" w14:textId="77777777" w:rsidR="00A10FCE" w:rsidRDefault="00A10FCE" w:rsidP="00A10FCE">
      <w:pPr>
        <w:pStyle w:val="Caption"/>
        <w:rPr>
          <w:lang w:val="en-CA"/>
        </w:rPr>
      </w:pPr>
      <w:bookmarkStart w:id="0" w:name="_Ref534208554"/>
      <w:bookmarkStart w:id="1" w:name="_Hlk53421088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t xml:space="preserve">. </w:t>
      </w:r>
      <w:r>
        <w:rPr>
          <w:lang w:eastAsia="ko-KR"/>
        </w:rPr>
        <w:t>Example of the proposed sub-picture based gradual decoding refresh</w:t>
      </w:r>
    </w:p>
    <w:bookmarkEnd w:id="1"/>
    <w:p w14:paraId="663D52F9" w14:textId="5EF05BC9" w:rsidR="00A10FCE" w:rsidRDefault="00A10FCE" w:rsidP="00A10FCE">
      <w:pPr>
        <w:rPr>
          <w:lang w:val="en-CA"/>
        </w:rPr>
      </w:pPr>
      <w:r>
        <w:rPr>
          <w:lang w:val="en-CA"/>
        </w:rPr>
        <w:t xml:space="preserve">As </w:t>
      </w:r>
      <w:r>
        <w:rPr>
          <w:lang w:val="en-CA"/>
        </w:rPr>
        <w:t>shown</w:t>
      </w:r>
      <w:r>
        <w:rPr>
          <w:lang w:val="en-CA"/>
        </w:rPr>
        <w:t xml:space="preserve"> above, blocks within a </w:t>
      </w:r>
      <w:r>
        <w:rPr>
          <w:lang w:val="en-CA"/>
        </w:rPr>
        <w:t>refresh sub-picture</w:t>
      </w:r>
      <w:r>
        <w:rPr>
          <w:lang w:val="en-CA"/>
        </w:rPr>
        <w:t xml:space="preserve"> refer </w:t>
      </w:r>
      <w:r>
        <w:rPr>
          <w:lang w:val="en-CA"/>
        </w:rPr>
        <w:t xml:space="preserve">only </w:t>
      </w:r>
      <w:r>
        <w:rPr>
          <w:lang w:val="en-CA"/>
        </w:rPr>
        <w:t xml:space="preserve">to blocks that belong to the refresh sub-picture </w:t>
      </w:r>
      <w:r>
        <w:rPr>
          <w:lang w:val="en-CA"/>
        </w:rPr>
        <w:t xml:space="preserve">region </w:t>
      </w:r>
      <w:r>
        <w:rPr>
          <w:lang w:val="en-CA"/>
        </w:rPr>
        <w:t xml:space="preserve">in a reference picture </w:t>
      </w:r>
      <w:r>
        <w:rPr>
          <w:lang w:val="en-CA"/>
        </w:rPr>
        <w:t>within</w:t>
      </w:r>
      <w:r>
        <w:rPr>
          <w:lang w:val="en-CA"/>
        </w:rPr>
        <w:t xml:space="preserve"> the same GRA period. </w:t>
      </w:r>
      <w:r w:rsidR="00483B40">
        <w:rPr>
          <w:lang w:val="en-CA"/>
        </w:rPr>
        <w:t>B</w:t>
      </w:r>
      <w:r>
        <w:rPr>
          <w:lang w:val="en-CA"/>
        </w:rPr>
        <w:t xml:space="preserve">locks within an unrefreshed </w:t>
      </w:r>
      <w:r w:rsidR="00483B40">
        <w:rPr>
          <w:lang w:val="en-CA"/>
        </w:rPr>
        <w:t>sub-picture</w:t>
      </w:r>
      <w:r>
        <w:rPr>
          <w:lang w:val="en-CA"/>
        </w:rPr>
        <w:t xml:space="preserve"> can refer to blocks </w:t>
      </w:r>
      <w:r w:rsidR="00483B40">
        <w:rPr>
          <w:lang w:val="en-CA"/>
        </w:rPr>
        <w:t>anywhere in the reference picture including both refresh sub-picture region and the unrefreshed sub-picture region</w:t>
      </w:r>
      <w:r>
        <w:rPr>
          <w:lang w:val="en-CA"/>
        </w:rPr>
        <w:t xml:space="preserve">. </w:t>
      </w:r>
    </w:p>
    <w:p w14:paraId="4375487C" w14:textId="68CB9B7D" w:rsidR="001953C3" w:rsidRDefault="00483B40" w:rsidP="00E11923">
      <w:pPr>
        <w:pStyle w:val="Heading1"/>
        <w:rPr>
          <w:lang w:val="en-GB"/>
        </w:rPr>
      </w:pPr>
      <w:r>
        <w:rPr>
          <w:lang w:val="en-GB"/>
        </w:rPr>
        <w:t>Simulation results</w:t>
      </w:r>
    </w:p>
    <w:p w14:paraId="70BC92AF" w14:textId="14698B6E" w:rsidR="00C53C78" w:rsidRDefault="008F78C9" w:rsidP="008F78C9">
      <w:pPr>
        <w:rPr>
          <w:rStyle w:val="Hyperlink"/>
          <w:lang w:val="en-CA"/>
        </w:rPr>
      </w:pPr>
      <w:r>
        <w:rPr>
          <w:lang w:val="en-CA"/>
        </w:rPr>
        <w:t xml:space="preserve">The implementation of CE11 test 3.2 was done on top of VTM 5.0 </w:t>
      </w:r>
      <w:r>
        <w:rPr>
          <w:lang w:val="en-CA"/>
        </w:rPr>
        <w:fldChar w:fldCharType="begin"/>
      </w:r>
      <w:r>
        <w:rPr>
          <w:lang w:val="en-CA"/>
        </w:rPr>
        <w:instrText xml:space="preserve"> REF _Ref11793504 \r \h </w:instrText>
      </w:r>
      <w:r>
        <w:rPr>
          <w:lang w:val="en-CA"/>
        </w:rPr>
      </w:r>
      <w:r>
        <w:rPr>
          <w:lang w:val="en-CA"/>
        </w:rPr>
        <w:fldChar w:fldCharType="separate"/>
      </w:r>
      <w:r>
        <w:rPr>
          <w:lang w:val="en-CA"/>
        </w:rPr>
        <w:t>[3]</w:t>
      </w:r>
      <w:r>
        <w:rPr>
          <w:lang w:val="en-CA"/>
        </w:rPr>
        <w:fldChar w:fldCharType="end"/>
      </w:r>
      <w:r>
        <w:rPr>
          <w:lang w:val="en-CA"/>
        </w:rPr>
        <w:t xml:space="preserve">. The implementation is available in CE11 software repository </w:t>
      </w:r>
      <w:hyperlink r:id="rId11" w:history="1">
        <w:r w:rsidRPr="002C483D">
          <w:rPr>
            <w:rStyle w:val="Hyperlink"/>
            <w:lang w:val="en-CA"/>
          </w:rPr>
          <w:t>https://vcgit.hhi.fraunhofer.de/jvet-n-ce11/VVCSoftware_VTM/branches</w:t>
        </w:r>
      </w:hyperlink>
      <w:r>
        <w:rPr>
          <w:rStyle w:val="Hyperlink"/>
          <w:lang w:val="en-CA"/>
        </w:rPr>
        <w:t>.</w:t>
      </w:r>
    </w:p>
    <w:p w14:paraId="5C789894" w14:textId="344121B0" w:rsidR="008F78C9" w:rsidRDefault="008F78C9" w:rsidP="008F78C9">
      <w:pPr>
        <w:rPr>
          <w:lang w:val="en-CA"/>
        </w:rPr>
      </w:pPr>
      <w:r>
        <w:rPr>
          <w:lang w:val="en-CA"/>
        </w:rPr>
        <w:t xml:space="preserve">Simulation were performed using CE11 specific test conditions as detailed in </w:t>
      </w:r>
      <w:r>
        <w:rPr>
          <w:lang w:val="en-CA"/>
        </w:rPr>
        <w:fldChar w:fldCharType="begin"/>
      </w:r>
      <w:r>
        <w:rPr>
          <w:lang w:val="en-CA"/>
        </w:rPr>
        <w:instrText xml:space="preserve"> REF _Ref11793243 \r \h </w:instrText>
      </w:r>
      <w:r>
        <w:rPr>
          <w:lang w:val="en-CA"/>
        </w:rPr>
      </w:r>
      <w:r>
        <w:rPr>
          <w:lang w:val="en-CA"/>
        </w:rPr>
        <w:fldChar w:fldCharType="separate"/>
      </w:r>
      <w:r>
        <w:rPr>
          <w:lang w:val="en-CA"/>
        </w:rPr>
        <w:t>[2]</w:t>
      </w:r>
      <w:r>
        <w:rPr>
          <w:lang w:val="en-CA"/>
        </w:rPr>
        <w:fldChar w:fldCharType="end"/>
      </w:r>
      <w:r>
        <w:rPr>
          <w:lang w:val="en-CA"/>
        </w:rPr>
        <w:t>. The BD-rate results are shown in table below.</w:t>
      </w:r>
    </w:p>
    <w:p w14:paraId="41B63A86" w14:textId="77777777" w:rsidR="00065499" w:rsidRDefault="00065499" w:rsidP="008F78C9">
      <w:pPr>
        <w:rPr>
          <w:lang w:val="en-CA"/>
        </w:rPr>
      </w:pPr>
    </w:p>
    <w:tbl>
      <w:tblPr>
        <w:tblW w:w="7535" w:type="dxa"/>
        <w:jc w:val="center"/>
        <w:tblCellMar>
          <w:left w:w="70" w:type="dxa"/>
          <w:right w:w="70" w:type="dxa"/>
        </w:tblCellMar>
        <w:tblLook w:val="04A0" w:firstRow="1" w:lastRow="0" w:firstColumn="1" w:lastColumn="0" w:noHBand="0" w:noVBand="1"/>
      </w:tblPr>
      <w:tblGrid>
        <w:gridCol w:w="1656"/>
        <w:gridCol w:w="1068"/>
        <w:gridCol w:w="1076"/>
        <w:gridCol w:w="1591"/>
        <w:gridCol w:w="1076"/>
        <w:gridCol w:w="1068"/>
      </w:tblGrid>
      <w:tr w:rsidR="00065499" w:rsidRPr="00065499" w14:paraId="36FC9694" w14:textId="77777777" w:rsidTr="00065499">
        <w:trPr>
          <w:trHeight w:val="255"/>
          <w:jc w:val="center"/>
        </w:trPr>
        <w:tc>
          <w:tcPr>
            <w:tcW w:w="1656" w:type="dxa"/>
            <w:tcBorders>
              <w:top w:val="nil"/>
              <w:left w:val="nil"/>
              <w:bottom w:val="nil"/>
              <w:right w:val="nil"/>
            </w:tcBorders>
            <w:shd w:val="clear" w:color="auto" w:fill="auto"/>
            <w:noWrap/>
            <w:vAlign w:val="center"/>
            <w:hideMark/>
          </w:tcPr>
          <w:p w14:paraId="4E9C5AA1"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i-FI" w:eastAsia="fi-FI"/>
              </w:rPr>
            </w:pPr>
          </w:p>
        </w:tc>
        <w:tc>
          <w:tcPr>
            <w:tcW w:w="1068" w:type="dxa"/>
            <w:tcBorders>
              <w:top w:val="single" w:sz="8" w:space="0" w:color="auto"/>
              <w:left w:val="single" w:sz="8" w:space="0" w:color="auto"/>
              <w:bottom w:val="single" w:sz="8" w:space="0" w:color="auto"/>
              <w:right w:val="nil"/>
            </w:tcBorders>
            <w:shd w:val="clear" w:color="auto" w:fill="auto"/>
            <w:noWrap/>
            <w:vAlign w:val="center"/>
            <w:hideMark/>
          </w:tcPr>
          <w:p w14:paraId="5F4DC128"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065499">
              <w:rPr>
                <w:rFonts w:ascii="Arial" w:hAnsi="Arial" w:cs="Arial"/>
                <w:b/>
                <w:bCs/>
                <w:color w:val="000000"/>
                <w:sz w:val="18"/>
                <w:szCs w:val="18"/>
                <w:lang w:val="fi-FI" w:eastAsia="fi-FI"/>
              </w:rPr>
              <w:t> </w:t>
            </w:r>
          </w:p>
        </w:tc>
        <w:tc>
          <w:tcPr>
            <w:tcW w:w="1076" w:type="dxa"/>
            <w:tcBorders>
              <w:top w:val="single" w:sz="8" w:space="0" w:color="auto"/>
              <w:left w:val="nil"/>
              <w:bottom w:val="single" w:sz="8" w:space="0" w:color="auto"/>
              <w:right w:val="nil"/>
            </w:tcBorders>
            <w:shd w:val="clear" w:color="auto" w:fill="auto"/>
            <w:noWrap/>
            <w:vAlign w:val="center"/>
            <w:hideMark/>
          </w:tcPr>
          <w:p w14:paraId="44F8003C"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sidRPr="00065499">
              <w:rPr>
                <w:rFonts w:ascii="Calibri" w:hAnsi="Calibri" w:cs="Calibri"/>
                <w:color w:val="000000"/>
                <w:sz w:val="24"/>
                <w:szCs w:val="24"/>
                <w:lang w:val="fi-FI" w:eastAsia="fi-FI"/>
              </w:rPr>
              <w:t> </w:t>
            </w:r>
          </w:p>
        </w:tc>
        <w:tc>
          <w:tcPr>
            <w:tcW w:w="1591" w:type="dxa"/>
            <w:tcBorders>
              <w:top w:val="single" w:sz="8" w:space="0" w:color="auto"/>
              <w:left w:val="nil"/>
              <w:bottom w:val="single" w:sz="8" w:space="0" w:color="auto"/>
              <w:right w:val="nil"/>
            </w:tcBorders>
            <w:shd w:val="clear" w:color="auto" w:fill="auto"/>
            <w:noWrap/>
            <w:vAlign w:val="center"/>
            <w:hideMark/>
          </w:tcPr>
          <w:p w14:paraId="792DDC6E"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roofErr w:type="spellStart"/>
            <w:r w:rsidRPr="00065499">
              <w:rPr>
                <w:rFonts w:ascii="Arial" w:hAnsi="Arial" w:cs="Arial"/>
                <w:b/>
                <w:bCs/>
                <w:color w:val="000000"/>
                <w:sz w:val="18"/>
                <w:szCs w:val="18"/>
                <w:lang w:val="fi-FI" w:eastAsia="fi-FI"/>
              </w:rPr>
              <w:t>Low</w:t>
            </w:r>
            <w:proofErr w:type="spellEnd"/>
            <w:r w:rsidRPr="00065499">
              <w:rPr>
                <w:rFonts w:ascii="Arial" w:hAnsi="Arial" w:cs="Arial"/>
                <w:b/>
                <w:bCs/>
                <w:color w:val="000000"/>
                <w:sz w:val="18"/>
                <w:szCs w:val="18"/>
                <w:lang w:val="fi-FI" w:eastAsia="fi-FI"/>
              </w:rPr>
              <w:t xml:space="preserve"> </w:t>
            </w:r>
            <w:proofErr w:type="spellStart"/>
            <w:r w:rsidRPr="00065499">
              <w:rPr>
                <w:rFonts w:ascii="Arial" w:hAnsi="Arial" w:cs="Arial"/>
                <w:b/>
                <w:bCs/>
                <w:color w:val="000000"/>
                <w:sz w:val="18"/>
                <w:szCs w:val="18"/>
                <w:lang w:val="fi-FI" w:eastAsia="fi-FI"/>
              </w:rPr>
              <w:t>delay</w:t>
            </w:r>
            <w:proofErr w:type="spellEnd"/>
            <w:r w:rsidRPr="00065499">
              <w:rPr>
                <w:rFonts w:ascii="Arial" w:hAnsi="Arial" w:cs="Arial"/>
                <w:b/>
                <w:bCs/>
                <w:color w:val="000000"/>
                <w:sz w:val="18"/>
                <w:szCs w:val="18"/>
                <w:lang w:val="fi-FI" w:eastAsia="fi-FI"/>
              </w:rPr>
              <w:t xml:space="preserve"> B Main10 </w:t>
            </w:r>
          </w:p>
        </w:tc>
        <w:tc>
          <w:tcPr>
            <w:tcW w:w="1076" w:type="dxa"/>
            <w:tcBorders>
              <w:top w:val="single" w:sz="8" w:space="0" w:color="auto"/>
              <w:left w:val="nil"/>
              <w:bottom w:val="single" w:sz="8" w:space="0" w:color="auto"/>
              <w:right w:val="nil"/>
            </w:tcBorders>
            <w:shd w:val="clear" w:color="auto" w:fill="auto"/>
            <w:noWrap/>
            <w:vAlign w:val="center"/>
            <w:hideMark/>
          </w:tcPr>
          <w:p w14:paraId="6F6E519B"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sidRPr="00065499">
              <w:rPr>
                <w:rFonts w:ascii="Calibri" w:hAnsi="Calibri" w:cs="Calibri"/>
                <w:color w:val="000000"/>
                <w:sz w:val="24"/>
                <w:szCs w:val="24"/>
                <w:lang w:val="fi-FI" w:eastAsia="fi-FI"/>
              </w:rPr>
              <w:t> </w:t>
            </w:r>
          </w:p>
        </w:tc>
        <w:tc>
          <w:tcPr>
            <w:tcW w:w="1068" w:type="dxa"/>
            <w:tcBorders>
              <w:top w:val="single" w:sz="8" w:space="0" w:color="auto"/>
              <w:left w:val="nil"/>
              <w:bottom w:val="single" w:sz="8" w:space="0" w:color="auto"/>
              <w:right w:val="single" w:sz="8" w:space="0" w:color="auto"/>
            </w:tcBorders>
            <w:shd w:val="clear" w:color="auto" w:fill="auto"/>
            <w:noWrap/>
            <w:vAlign w:val="center"/>
            <w:hideMark/>
          </w:tcPr>
          <w:p w14:paraId="763DAC01"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sidRPr="00065499">
              <w:rPr>
                <w:rFonts w:ascii="Calibri" w:hAnsi="Calibri" w:cs="Calibri"/>
                <w:color w:val="000000"/>
                <w:sz w:val="24"/>
                <w:szCs w:val="24"/>
                <w:lang w:val="fi-FI" w:eastAsia="fi-FI"/>
              </w:rPr>
              <w:t> </w:t>
            </w:r>
          </w:p>
        </w:tc>
      </w:tr>
      <w:tr w:rsidR="00065499" w:rsidRPr="00065499" w14:paraId="659CEEC2" w14:textId="77777777" w:rsidTr="00065499">
        <w:trPr>
          <w:trHeight w:val="255"/>
          <w:jc w:val="center"/>
        </w:trPr>
        <w:tc>
          <w:tcPr>
            <w:tcW w:w="1656" w:type="dxa"/>
            <w:tcBorders>
              <w:top w:val="nil"/>
              <w:left w:val="nil"/>
              <w:bottom w:val="nil"/>
              <w:right w:val="nil"/>
            </w:tcBorders>
            <w:shd w:val="clear" w:color="auto" w:fill="auto"/>
            <w:noWrap/>
            <w:vAlign w:val="center"/>
            <w:hideMark/>
          </w:tcPr>
          <w:p w14:paraId="13297B1E"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p>
        </w:tc>
        <w:tc>
          <w:tcPr>
            <w:tcW w:w="1068" w:type="dxa"/>
            <w:tcBorders>
              <w:top w:val="nil"/>
              <w:left w:val="single" w:sz="8" w:space="0" w:color="auto"/>
              <w:bottom w:val="nil"/>
              <w:right w:val="nil"/>
            </w:tcBorders>
            <w:shd w:val="clear" w:color="auto" w:fill="auto"/>
            <w:noWrap/>
            <w:vAlign w:val="center"/>
            <w:hideMark/>
          </w:tcPr>
          <w:p w14:paraId="3964EF16"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065499">
              <w:rPr>
                <w:rFonts w:ascii="Arial" w:hAnsi="Arial" w:cs="Arial"/>
                <w:b/>
                <w:bCs/>
                <w:color w:val="000000"/>
                <w:sz w:val="18"/>
                <w:szCs w:val="18"/>
                <w:lang w:val="fi-FI" w:eastAsia="fi-FI"/>
              </w:rPr>
              <w:t> </w:t>
            </w:r>
          </w:p>
        </w:tc>
        <w:tc>
          <w:tcPr>
            <w:tcW w:w="1076" w:type="dxa"/>
            <w:tcBorders>
              <w:top w:val="nil"/>
              <w:left w:val="nil"/>
              <w:bottom w:val="nil"/>
              <w:right w:val="nil"/>
            </w:tcBorders>
            <w:shd w:val="clear" w:color="auto" w:fill="auto"/>
            <w:noWrap/>
            <w:vAlign w:val="center"/>
            <w:hideMark/>
          </w:tcPr>
          <w:p w14:paraId="7034F9E1"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065499">
              <w:rPr>
                <w:rFonts w:ascii="Arial" w:hAnsi="Arial" w:cs="Arial"/>
                <w:b/>
                <w:bCs/>
                <w:color w:val="000000"/>
                <w:sz w:val="18"/>
                <w:szCs w:val="18"/>
                <w:lang w:val="fi-FI" w:eastAsia="fi-FI"/>
              </w:rPr>
              <w:t> </w:t>
            </w:r>
          </w:p>
        </w:tc>
        <w:tc>
          <w:tcPr>
            <w:tcW w:w="1591" w:type="dxa"/>
            <w:tcBorders>
              <w:top w:val="nil"/>
              <w:left w:val="nil"/>
              <w:bottom w:val="nil"/>
              <w:right w:val="nil"/>
            </w:tcBorders>
            <w:shd w:val="clear" w:color="auto" w:fill="auto"/>
            <w:noWrap/>
            <w:vAlign w:val="center"/>
            <w:hideMark/>
          </w:tcPr>
          <w:p w14:paraId="3B63133E"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roofErr w:type="spellStart"/>
            <w:r w:rsidRPr="00065499">
              <w:rPr>
                <w:rFonts w:ascii="Arial" w:hAnsi="Arial" w:cs="Arial"/>
                <w:b/>
                <w:bCs/>
                <w:color w:val="000000"/>
                <w:sz w:val="18"/>
                <w:szCs w:val="18"/>
                <w:lang w:val="fi-FI" w:eastAsia="fi-FI"/>
              </w:rPr>
              <w:t>Over</w:t>
            </w:r>
            <w:proofErr w:type="spellEnd"/>
            <w:r w:rsidRPr="00065499">
              <w:rPr>
                <w:rFonts w:ascii="Arial" w:hAnsi="Arial" w:cs="Arial"/>
                <w:b/>
                <w:bCs/>
                <w:color w:val="000000"/>
                <w:sz w:val="18"/>
                <w:szCs w:val="18"/>
                <w:lang w:val="fi-FI" w:eastAsia="fi-FI"/>
              </w:rPr>
              <w:t xml:space="preserve"> CE11 </w:t>
            </w:r>
            <w:proofErr w:type="spellStart"/>
            <w:r w:rsidRPr="00065499">
              <w:rPr>
                <w:rFonts w:ascii="Arial" w:hAnsi="Arial" w:cs="Arial"/>
                <w:b/>
                <w:bCs/>
                <w:color w:val="000000"/>
                <w:sz w:val="18"/>
                <w:szCs w:val="18"/>
                <w:lang w:val="fi-FI" w:eastAsia="fi-FI"/>
              </w:rPr>
              <w:t>Anchor</w:t>
            </w:r>
            <w:proofErr w:type="spellEnd"/>
          </w:p>
        </w:tc>
        <w:tc>
          <w:tcPr>
            <w:tcW w:w="1076" w:type="dxa"/>
            <w:tcBorders>
              <w:top w:val="nil"/>
              <w:left w:val="nil"/>
              <w:bottom w:val="nil"/>
              <w:right w:val="nil"/>
            </w:tcBorders>
            <w:shd w:val="clear" w:color="auto" w:fill="auto"/>
            <w:noWrap/>
            <w:vAlign w:val="center"/>
            <w:hideMark/>
          </w:tcPr>
          <w:p w14:paraId="62E5F794"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065499">
              <w:rPr>
                <w:rFonts w:ascii="Arial" w:hAnsi="Arial" w:cs="Arial"/>
                <w:b/>
                <w:bCs/>
                <w:color w:val="000000"/>
                <w:sz w:val="18"/>
                <w:szCs w:val="18"/>
                <w:lang w:val="fi-FI" w:eastAsia="fi-FI"/>
              </w:rPr>
              <w:t> </w:t>
            </w:r>
          </w:p>
        </w:tc>
        <w:tc>
          <w:tcPr>
            <w:tcW w:w="1068" w:type="dxa"/>
            <w:tcBorders>
              <w:top w:val="nil"/>
              <w:left w:val="nil"/>
              <w:bottom w:val="nil"/>
              <w:right w:val="single" w:sz="8" w:space="0" w:color="auto"/>
            </w:tcBorders>
            <w:shd w:val="clear" w:color="auto" w:fill="auto"/>
            <w:noWrap/>
            <w:vAlign w:val="center"/>
            <w:hideMark/>
          </w:tcPr>
          <w:p w14:paraId="2B57E29A"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065499">
              <w:rPr>
                <w:rFonts w:ascii="Arial" w:hAnsi="Arial" w:cs="Arial"/>
                <w:b/>
                <w:bCs/>
                <w:color w:val="000000"/>
                <w:sz w:val="18"/>
                <w:szCs w:val="18"/>
                <w:lang w:val="fi-FI" w:eastAsia="fi-FI"/>
              </w:rPr>
              <w:t> </w:t>
            </w:r>
          </w:p>
        </w:tc>
      </w:tr>
      <w:tr w:rsidR="00065499" w:rsidRPr="00065499" w14:paraId="4C453B94" w14:textId="77777777" w:rsidTr="00065499">
        <w:trPr>
          <w:trHeight w:val="255"/>
          <w:jc w:val="center"/>
        </w:trPr>
        <w:tc>
          <w:tcPr>
            <w:tcW w:w="1656" w:type="dxa"/>
            <w:tcBorders>
              <w:top w:val="nil"/>
              <w:left w:val="nil"/>
              <w:bottom w:val="nil"/>
              <w:right w:val="nil"/>
            </w:tcBorders>
            <w:shd w:val="clear" w:color="auto" w:fill="auto"/>
            <w:noWrap/>
            <w:vAlign w:val="center"/>
            <w:hideMark/>
          </w:tcPr>
          <w:p w14:paraId="508066E3"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1068" w:type="dxa"/>
            <w:tcBorders>
              <w:top w:val="nil"/>
              <w:left w:val="single" w:sz="8" w:space="0" w:color="auto"/>
              <w:bottom w:val="single" w:sz="8" w:space="0" w:color="auto"/>
              <w:right w:val="nil"/>
            </w:tcBorders>
            <w:shd w:val="clear" w:color="auto" w:fill="auto"/>
            <w:noWrap/>
            <w:vAlign w:val="center"/>
            <w:hideMark/>
          </w:tcPr>
          <w:p w14:paraId="68F7E735"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Y</w:t>
            </w:r>
          </w:p>
        </w:tc>
        <w:tc>
          <w:tcPr>
            <w:tcW w:w="1076" w:type="dxa"/>
            <w:tcBorders>
              <w:top w:val="nil"/>
              <w:left w:val="nil"/>
              <w:bottom w:val="single" w:sz="8" w:space="0" w:color="auto"/>
              <w:right w:val="nil"/>
            </w:tcBorders>
            <w:shd w:val="clear" w:color="auto" w:fill="auto"/>
            <w:noWrap/>
            <w:vAlign w:val="center"/>
            <w:hideMark/>
          </w:tcPr>
          <w:p w14:paraId="096DC6CE"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U</w:t>
            </w:r>
          </w:p>
        </w:tc>
        <w:tc>
          <w:tcPr>
            <w:tcW w:w="1591" w:type="dxa"/>
            <w:tcBorders>
              <w:top w:val="nil"/>
              <w:left w:val="nil"/>
              <w:bottom w:val="single" w:sz="8" w:space="0" w:color="auto"/>
              <w:right w:val="single" w:sz="4" w:space="0" w:color="auto"/>
            </w:tcBorders>
            <w:shd w:val="clear" w:color="auto" w:fill="auto"/>
            <w:noWrap/>
            <w:vAlign w:val="center"/>
            <w:hideMark/>
          </w:tcPr>
          <w:p w14:paraId="53708B8D"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w:t>
            </w:r>
          </w:p>
        </w:tc>
        <w:tc>
          <w:tcPr>
            <w:tcW w:w="1076" w:type="dxa"/>
            <w:tcBorders>
              <w:top w:val="nil"/>
              <w:left w:val="nil"/>
              <w:bottom w:val="single" w:sz="8" w:space="0" w:color="auto"/>
              <w:right w:val="nil"/>
            </w:tcBorders>
            <w:shd w:val="clear" w:color="auto" w:fill="auto"/>
            <w:noWrap/>
            <w:vAlign w:val="center"/>
            <w:hideMark/>
          </w:tcPr>
          <w:p w14:paraId="1FA67B56"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065499">
              <w:rPr>
                <w:rFonts w:ascii="Arial" w:hAnsi="Arial" w:cs="Arial"/>
                <w:color w:val="000000"/>
                <w:sz w:val="18"/>
                <w:szCs w:val="18"/>
                <w:lang w:val="fi-FI" w:eastAsia="fi-FI"/>
              </w:rPr>
              <w:t>EncT</w:t>
            </w:r>
            <w:proofErr w:type="spellEnd"/>
          </w:p>
        </w:tc>
        <w:tc>
          <w:tcPr>
            <w:tcW w:w="1068" w:type="dxa"/>
            <w:tcBorders>
              <w:top w:val="nil"/>
              <w:left w:val="nil"/>
              <w:bottom w:val="single" w:sz="8" w:space="0" w:color="auto"/>
              <w:right w:val="single" w:sz="8" w:space="0" w:color="auto"/>
            </w:tcBorders>
            <w:shd w:val="clear" w:color="auto" w:fill="auto"/>
            <w:noWrap/>
            <w:vAlign w:val="center"/>
            <w:hideMark/>
          </w:tcPr>
          <w:p w14:paraId="50D66749"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065499">
              <w:rPr>
                <w:rFonts w:ascii="Arial" w:hAnsi="Arial" w:cs="Arial"/>
                <w:color w:val="000000"/>
                <w:sz w:val="18"/>
                <w:szCs w:val="18"/>
                <w:lang w:val="fi-FI" w:eastAsia="fi-FI"/>
              </w:rPr>
              <w:t>DecT</w:t>
            </w:r>
            <w:proofErr w:type="spellEnd"/>
          </w:p>
        </w:tc>
      </w:tr>
      <w:tr w:rsidR="00065499" w:rsidRPr="00065499" w14:paraId="372A0292" w14:textId="77777777" w:rsidTr="00065499">
        <w:trPr>
          <w:trHeight w:val="255"/>
          <w:jc w:val="center"/>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170B715D"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Class A1</w:t>
            </w:r>
          </w:p>
        </w:tc>
        <w:tc>
          <w:tcPr>
            <w:tcW w:w="1068" w:type="dxa"/>
            <w:tcBorders>
              <w:top w:val="nil"/>
              <w:left w:val="nil"/>
              <w:bottom w:val="nil"/>
              <w:right w:val="nil"/>
            </w:tcBorders>
            <w:shd w:val="clear" w:color="auto" w:fill="auto"/>
            <w:noWrap/>
            <w:vAlign w:val="center"/>
            <w:hideMark/>
          </w:tcPr>
          <w:p w14:paraId="2D08B309"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 </w:t>
            </w:r>
          </w:p>
        </w:tc>
        <w:tc>
          <w:tcPr>
            <w:tcW w:w="1076" w:type="dxa"/>
            <w:tcBorders>
              <w:top w:val="nil"/>
              <w:left w:val="nil"/>
              <w:bottom w:val="nil"/>
              <w:right w:val="nil"/>
            </w:tcBorders>
            <w:shd w:val="clear" w:color="auto" w:fill="auto"/>
            <w:noWrap/>
            <w:vAlign w:val="center"/>
            <w:hideMark/>
          </w:tcPr>
          <w:p w14:paraId="41C9273A"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 </w:t>
            </w:r>
          </w:p>
        </w:tc>
        <w:tc>
          <w:tcPr>
            <w:tcW w:w="1591" w:type="dxa"/>
            <w:tcBorders>
              <w:top w:val="nil"/>
              <w:left w:val="nil"/>
              <w:bottom w:val="nil"/>
              <w:right w:val="single" w:sz="4" w:space="0" w:color="auto"/>
            </w:tcBorders>
            <w:shd w:val="clear" w:color="auto" w:fill="auto"/>
            <w:noWrap/>
            <w:vAlign w:val="center"/>
            <w:hideMark/>
          </w:tcPr>
          <w:p w14:paraId="5CF2B66F"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 </w:t>
            </w:r>
          </w:p>
        </w:tc>
        <w:tc>
          <w:tcPr>
            <w:tcW w:w="1076" w:type="dxa"/>
            <w:tcBorders>
              <w:top w:val="nil"/>
              <w:left w:val="nil"/>
              <w:bottom w:val="nil"/>
              <w:right w:val="nil"/>
            </w:tcBorders>
            <w:shd w:val="clear" w:color="auto" w:fill="auto"/>
            <w:noWrap/>
            <w:vAlign w:val="center"/>
            <w:hideMark/>
          </w:tcPr>
          <w:p w14:paraId="664D9C69"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 </w:t>
            </w:r>
          </w:p>
        </w:tc>
        <w:tc>
          <w:tcPr>
            <w:tcW w:w="1068" w:type="dxa"/>
            <w:tcBorders>
              <w:top w:val="nil"/>
              <w:left w:val="nil"/>
              <w:bottom w:val="nil"/>
              <w:right w:val="single" w:sz="8" w:space="0" w:color="auto"/>
            </w:tcBorders>
            <w:shd w:val="clear" w:color="auto" w:fill="auto"/>
            <w:noWrap/>
            <w:vAlign w:val="center"/>
            <w:hideMark/>
          </w:tcPr>
          <w:p w14:paraId="4A764B0D"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 </w:t>
            </w:r>
          </w:p>
        </w:tc>
      </w:tr>
      <w:tr w:rsidR="00065499" w:rsidRPr="00065499" w14:paraId="70E1EB55" w14:textId="77777777" w:rsidTr="00065499">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61B17480"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Class A2</w:t>
            </w:r>
          </w:p>
        </w:tc>
        <w:tc>
          <w:tcPr>
            <w:tcW w:w="1068" w:type="dxa"/>
            <w:tcBorders>
              <w:top w:val="nil"/>
              <w:left w:val="nil"/>
              <w:bottom w:val="nil"/>
              <w:right w:val="nil"/>
            </w:tcBorders>
            <w:shd w:val="clear" w:color="auto" w:fill="auto"/>
            <w:noWrap/>
            <w:vAlign w:val="center"/>
            <w:hideMark/>
          </w:tcPr>
          <w:p w14:paraId="6FCF4E0E"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 </w:t>
            </w:r>
          </w:p>
        </w:tc>
        <w:tc>
          <w:tcPr>
            <w:tcW w:w="1076" w:type="dxa"/>
            <w:tcBorders>
              <w:top w:val="nil"/>
              <w:left w:val="nil"/>
              <w:bottom w:val="nil"/>
              <w:right w:val="nil"/>
            </w:tcBorders>
            <w:shd w:val="clear" w:color="auto" w:fill="auto"/>
            <w:noWrap/>
            <w:vAlign w:val="center"/>
            <w:hideMark/>
          </w:tcPr>
          <w:p w14:paraId="7EF25D14"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1591" w:type="dxa"/>
            <w:tcBorders>
              <w:top w:val="nil"/>
              <w:left w:val="nil"/>
              <w:bottom w:val="nil"/>
              <w:right w:val="single" w:sz="4" w:space="0" w:color="auto"/>
            </w:tcBorders>
            <w:shd w:val="clear" w:color="auto" w:fill="auto"/>
            <w:noWrap/>
            <w:vAlign w:val="center"/>
            <w:hideMark/>
          </w:tcPr>
          <w:p w14:paraId="32E9BAFB"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 </w:t>
            </w:r>
          </w:p>
        </w:tc>
        <w:tc>
          <w:tcPr>
            <w:tcW w:w="1076" w:type="dxa"/>
            <w:tcBorders>
              <w:top w:val="nil"/>
              <w:left w:val="nil"/>
              <w:bottom w:val="nil"/>
              <w:right w:val="nil"/>
            </w:tcBorders>
            <w:shd w:val="clear" w:color="auto" w:fill="auto"/>
            <w:noWrap/>
            <w:vAlign w:val="center"/>
            <w:hideMark/>
          </w:tcPr>
          <w:p w14:paraId="4BB70C9E"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 </w:t>
            </w:r>
          </w:p>
        </w:tc>
        <w:tc>
          <w:tcPr>
            <w:tcW w:w="1068" w:type="dxa"/>
            <w:tcBorders>
              <w:top w:val="nil"/>
              <w:left w:val="nil"/>
              <w:bottom w:val="nil"/>
              <w:right w:val="single" w:sz="8" w:space="0" w:color="auto"/>
            </w:tcBorders>
            <w:shd w:val="clear" w:color="auto" w:fill="auto"/>
            <w:noWrap/>
            <w:vAlign w:val="center"/>
            <w:hideMark/>
          </w:tcPr>
          <w:p w14:paraId="486BF6A5"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 </w:t>
            </w:r>
          </w:p>
        </w:tc>
      </w:tr>
      <w:tr w:rsidR="00065499" w:rsidRPr="00065499" w14:paraId="0AD1A36E" w14:textId="77777777" w:rsidTr="00065499">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260E2274"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Class B</w:t>
            </w:r>
          </w:p>
        </w:tc>
        <w:tc>
          <w:tcPr>
            <w:tcW w:w="1068" w:type="dxa"/>
            <w:tcBorders>
              <w:top w:val="nil"/>
              <w:left w:val="nil"/>
              <w:bottom w:val="nil"/>
              <w:right w:val="nil"/>
            </w:tcBorders>
            <w:shd w:val="clear" w:color="auto" w:fill="auto"/>
            <w:noWrap/>
            <w:vAlign w:val="center"/>
            <w:hideMark/>
          </w:tcPr>
          <w:p w14:paraId="074C7850"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c>
          <w:tcPr>
            <w:tcW w:w="1076" w:type="dxa"/>
            <w:tcBorders>
              <w:top w:val="nil"/>
              <w:left w:val="nil"/>
              <w:bottom w:val="nil"/>
              <w:right w:val="nil"/>
            </w:tcBorders>
            <w:shd w:val="clear" w:color="auto" w:fill="auto"/>
            <w:noWrap/>
            <w:vAlign w:val="center"/>
            <w:hideMark/>
          </w:tcPr>
          <w:p w14:paraId="1BB04312"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c>
          <w:tcPr>
            <w:tcW w:w="1591" w:type="dxa"/>
            <w:tcBorders>
              <w:top w:val="nil"/>
              <w:left w:val="nil"/>
              <w:bottom w:val="nil"/>
              <w:right w:val="single" w:sz="4" w:space="0" w:color="auto"/>
            </w:tcBorders>
            <w:shd w:val="clear" w:color="auto" w:fill="auto"/>
            <w:noWrap/>
            <w:vAlign w:val="center"/>
            <w:hideMark/>
          </w:tcPr>
          <w:p w14:paraId="5409D13F"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c>
          <w:tcPr>
            <w:tcW w:w="1076" w:type="dxa"/>
            <w:tcBorders>
              <w:top w:val="nil"/>
              <w:left w:val="nil"/>
              <w:bottom w:val="nil"/>
              <w:right w:val="nil"/>
            </w:tcBorders>
            <w:shd w:val="clear" w:color="auto" w:fill="auto"/>
            <w:noWrap/>
            <w:vAlign w:val="center"/>
            <w:hideMark/>
          </w:tcPr>
          <w:p w14:paraId="17AD3136" w14:textId="546F8A4B" w:rsidR="00065499" w:rsidRPr="00065499" w:rsidRDefault="001E4CD0"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c>
          <w:tcPr>
            <w:tcW w:w="1068" w:type="dxa"/>
            <w:tcBorders>
              <w:top w:val="nil"/>
              <w:left w:val="nil"/>
              <w:bottom w:val="nil"/>
              <w:right w:val="single" w:sz="8" w:space="0" w:color="auto"/>
            </w:tcBorders>
            <w:shd w:val="clear" w:color="auto" w:fill="auto"/>
            <w:noWrap/>
            <w:vAlign w:val="center"/>
            <w:hideMark/>
          </w:tcPr>
          <w:p w14:paraId="6A45977E" w14:textId="5F304D8A" w:rsidR="00065499" w:rsidRPr="00065499" w:rsidRDefault="001E4CD0"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r>
      <w:tr w:rsidR="00065499" w:rsidRPr="00065499" w14:paraId="5E2150EA" w14:textId="77777777" w:rsidTr="00065499">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27776098"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Class C</w:t>
            </w:r>
          </w:p>
        </w:tc>
        <w:tc>
          <w:tcPr>
            <w:tcW w:w="1068" w:type="dxa"/>
            <w:tcBorders>
              <w:top w:val="nil"/>
              <w:left w:val="single" w:sz="8" w:space="0" w:color="auto"/>
              <w:bottom w:val="nil"/>
              <w:right w:val="nil"/>
            </w:tcBorders>
            <w:shd w:val="clear" w:color="000000" w:fill="FFC7CE"/>
            <w:noWrap/>
            <w:vAlign w:val="center"/>
            <w:hideMark/>
          </w:tcPr>
          <w:p w14:paraId="29C17273"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fi-FI"/>
              </w:rPr>
            </w:pPr>
            <w:r w:rsidRPr="00065499">
              <w:rPr>
                <w:rFonts w:ascii="Arial" w:hAnsi="Arial" w:cs="Arial"/>
                <w:sz w:val="18"/>
                <w:szCs w:val="18"/>
                <w:lang w:val="fi-FI" w:eastAsia="fi-FI"/>
              </w:rPr>
              <w:t>6,55 %</w:t>
            </w:r>
          </w:p>
        </w:tc>
        <w:tc>
          <w:tcPr>
            <w:tcW w:w="1076" w:type="dxa"/>
            <w:tcBorders>
              <w:top w:val="nil"/>
              <w:left w:val="nil"/>
              <w:bottom w:val="nil"/>
              <w:right w:val="nil"/>
            </w:tcBorders>
            <w:shd w:val="clear" w:color="auto" w:fill="auto"/>
            <w:noWrap/>
            <w:vAlign w:val="center"/>
            <w:hideMark/>
          </w:tcPr>
          <w:p w14:paraId="7D506756"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1,86 %</w:t>
            </w:r>
          </w:p>
        </w:tc>
        <w:tc>
          <w:tcPr>
            <w:tcW w:w="1591" w:type="dxa"/>
            <w:tcBorders>
              <w:top w:val="nil"/>
              <w:left w:val="nil"/>
              <w:bottom w:val="nil"/>
              <w:right w:val="single" w:sz="4" w:space="0" w:color="auto"/>
            </w:tcBorders>
            <w:shd w:val="clear" w:color="auto" w:fill="auto"/>
            <w:noWrap/>
            <w:vAlign w:val="center"/>
            <w:hideMark/>
          </w:tcPr>
          <w:p w14:paraId="10994BFA"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2,49 %</w:t>
            </w:r>
          </w:p>
        </w:tc>
        <w:tc>
          <w:tcPr>
            <w:tcW w:w="1076" w:type="dxa"/>
            <w:tcBorders>
              <w:top w:val="nil"/>
              <w:left w:val="nil"/>
              <w:bottom w:val="nil"/>
              <w:right w:val="nil"/>
            </w:tcBorders>
            <w:shd w:val="clear" w:color="auto" w:fill="auto"/>
            <w:noWrap/>
            <w:vAlign w:val="center"/>
            <w:hideMark/>
          </w:tcPr>
          <w:p w14:paraId="64046180" w14:textId="21A7078B" w:rsidR="00065499" w:rsidRPr="00065499" w:rsidRDefault="001E4CD0"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c>
          <w:tcPr>
            <w:tcW w:w="1068" w:type="dxa"/>
            <w:tcBorders>
              <w:top w:val="nil"/>
              <w:left w:val="nil"/>
              <w:bottom w:val="nil"/>
              <w:right w:val="single" w:sz="8" w:space="0" w:color="auto"/>
            </w:tcBorders>
            <w:shd w:val="clear" w:color="auto" w:fill="auto"/>
            <w:noWrap/>
            <w:vAlign w:val="center"/>
            <w:hideMark/>
          </w:tcPr>
          <w:p w14:paraId="171D67BC" w14:textId="491B8309" w:rsidR="00065499" w:rsidRPr="00065499" w:rsidRDefault="001E4CD0"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r>
      <w:tr w:rsidR="00065499" w:rsidRPr="00065499" w14:paraId="7CC3CD57" w14:textId="77777777" w:rsidTr="00065499">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3F2A14FF"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Class E</w:t>
            </w:r>
          </w:p>
        </w:tc>
        <w:tc>
          <w:tcPr>
            <w:tcW w:w="1068" w:type="dxa"/>
            <w:tcBorders>
              <w:top w:val="nil"/>
              <w:left w:val="single" w:sz="8" w:space="0" w:color="auto"/>
              <w:bottom w:val="nil"/>
              <w:right w:val="nil"/>
            </w:tcBorders>
            <w:shd w:val="clear" w:color="000000" w:fill="FFC7CE"/>
            <w:noWrap/>
            <w:vAlign w:val="center"/>
            <w:hideMark/>
          </w:tcPr>
          <w:p w14:paraId="4C745B5E"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fi-FI"/>
              </w:rPr>
            </w:pPr>
            <w:r w:rsidRPr="00065499">
              <w:rPr>
                <w:rFonts w:ascii="Arial" w:hAnsi="Arial" w:cs="Arial"/>
                <w:sz w:val="18"/>
                <w:szCs w:val="18"/>
                <w:lang w:val="fi-FI" w:eastAsia="fi-FI"/>
              </w:rPr>
              <w:t>9,91 %</w:t>
            </w:r>
          </w:p>
        </w:tc>
        <w:tc>
          <w:tcPr>
            <w:tcW w:w="1076" w:type="dxa"/>
            <w:tcBorders>
              <w:top w:val="nil"/>
              <w:left w:val="nil"/>
              <w:bottom w:val="nil"/>
              <w:right w:val="nil"/>
            </w:tcBorders>
            <w:shd w:val="clear" w:color="auto" w:fill="auto"/>
            <w:noWrap/>
            <w:vAlign w:val="center"/>
            <w:hideMark/>
          </w:tcPr>
          <w:p w14:paraId="26E21219"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2,41 %</w:t>
            </w:r>
          </w:p>
        </w:tc>
        <w:tc>
          <w:tcPr>
            <w:tcW w:w="1591" w:type="dxa"/>
            <w:tcBorders>
              <w:top w:val="nil"/>
              <w:left w:val="nil"/>
              <w:bottom w:val="nil"/>
              <w:right w:val="single" w:sz="4" w:space="0" w:color="auto"/>
            </w:tcBorders>
            <w:shd w:val="clear" w:color="000000" w:fill="FFC7CE"/>
            <w:noWrap/>
            <w:vAlign w:val="center"/>
            <w:hideMark/>
          </w:tcPr>
          <w:p w14:paraId="49DD009B"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fi-FI"/>
              </w:rPr>
            </w:pPr>
            <w:r w:rsidRPr="00065499">
              <w:rPr>
                <w:rFonts w:ascii="Arial" w:hAnsi="Arial" w:cs="Arial"/>
                <w:sz w:val="18"/>
                <w:szCs w:val="18"/>
                <w:lang w:val="fi-FI" w:eastAsia="fi-FI"/>
              </w:rPr>
              <w:t>6,38 %</w:t>
            </w:r>
          </w:p>
        </w:tc>
        <w:tc>
          <w:tcPr>
            <w:tcW w:w="1076" w:type="dxa"/>
            <w:tcBorders>
              <w:top w:val="nil"/>
              <w:left w:val="nil"/>
              <w:bottom w:val="nil"/>
              <w:right w:val="nil"/>
            </w:tcBorders>
            <w:shd w:val="clear" w:color="auto" w:fill="auto"/>
            <w:noWrap/>
            <w:vAlign w:val="center"/>
            <w:hideMark/>
          </w:tcPr>
          <w:p w14:paraId="3E6D04A3" w14:textId="6A097A77" w:rsidR="00065499" w:rsidRPr="00065499" w:rsidRDefault="001E4CD0"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c>
          <w:tcPr>
            <w:tcW w:w="1068" w:type="dxa"/>
            <w:tcBorders>
              <w:top w:val="nil"/>
              <w:left w:val="nil"/>
              <w:bottom w:val="nil"/>
              <w:right w:val="single" w:sz="8" w:space="0" w:color="auto"/>
            </w:tcBorders>
            <w:shd w:val="clear" w:color="auto" w:fill="auto"/>
            <w:noWrap/>
            <w:vAlign w:val="center"/>
            <w:hideMark/>
          </w:tcPr>
          <w:p w14:paraId="7757C23E" w14:textId="7C9E170A" w:rsidR="00065499" w:rsidRPr="00065499" w:rsidRDefault="001E4CD0"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r>
      <w:tr w:rsidR="00065499" w:rsidRPr="00065499" w14:paraId="007CD331" w14:textId="77777777" w:rsidTr="00065499">
        <w:trPr>
          <w:trHeight w:val="255"/>
          <w:jc w:val="center"/>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7EA97684"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roofErr w:type="spellStart"/>
            <w:r w:rsidRPr="00065499">
              <w:rPr>
                <w:rFonts w:ascii="Arial" w:hAnsi="Arial" w:cs="Arial"/>
                <w:b/>
                <w:bCs/>
                <w:color w:val="000000"/>
                <w:sz w:val="18"/>
                <w:szCs w:val="18"/>
                <w:lang w:val="fi-FI" w:eastAsia="fi-FI"/>
              </w:rPr>
              <w:t>Overall</w:t>
            </w:r>
            <w:proofErr w:type="spellEnd"/>
          </w:p>
        </w:tc>
        <w:tc>
          <w:tcPr>
            <w:tcW w:w="1068" w:type="dxa"/>
            <w:tcBorders>
              <w:top w:val="single" w:sz="8" w:space="0" w:color="auto"/>
              <w:left w:val="nil"/>
              <w:bottom w:val="nil"/>
              <w:right w:val="nil"/>
            </w:tcBorders>
            <w:shd w:val="clear" w:color="auto" w:fill="auto"/>
            <w:noWrap/>
            <w:vAlign w:val="center"/>
            <w:hideMark/>
          </w:tcPr>
          <w:p w14:paraId="4634A628"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c>
          <w:tcPr>
            <w:tcW w:w="1076" w:type="dxa"/>
            <w:tcBorders>
              <w:top w:val="single" w:sz="8" w:space="0" w:color="auto"/>
              <w:left w:val="nil"/>
              <w:bottom w:val="nil"/>
              <w:right w:val="nil"/>
            </w:tcBorders>
            <w:shd w:val="clear" w:color="auto" w:fill="auto"/>
            <w:noWrap/>
            <w:vAlign w:val="center"/>
            <w:hideMark/>
          </w:tcPr>
          <w:p w14:paraId="6CD71E47"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c>
          <w:tcPr>
            <w:tcW w:w="1591" w:type="dxa"/>
            <w:tcBorders>
              <w:top w:val="single" w:sz="8" w:space="0" w:color="auto"/>
              <w:left w:val="nil"/>
              <w:bottom w:val="nil"/>
              <w:right w:val="single" w:sz="4" w:space="0" w:color="auto"/>
            </w:tcBorders>
            <w:shd w:val="clear" w:color="auto" w:fill="auto"/>
            <w:noWrap/>
            <w:vAlign w:val="center"/>
            <w:hideMark/>
          </w:tcPr>
          <w:p w14:paraId="13B16A27"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c>
          <w:tcPr>
            <w:tcW w:w="1076" w:type="dxa"/>
            <w:tcBorders>
              <w:top w:val="single" w:sz="8" w:space="0" w:color="auto"/>
              <w:left w:val="nil"/>
              <w:bottom w:val="nil"/>
              <w:right w:val="nil"/>
            </w:tcBorders>
            <w:shd w:val="clear" w:color="auto" w:fill="auto"/>
            <w:noWrap/>
            <w:vAlign w:val="center"/>
            <w:hideMark/>
          </w:tcPr>
          <w:p w14:paraId="1842246D" w14:textId="4DF07053" w:rsidR="00065499" w:rsidRPr="00065499" w:rsidRDefault="001E4CD0"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c>
          <w:tcPr>
            <w:tcW w:w="1068" w:type="dxa"/>
            <w:tcBorders>
              <w:top w:val="single" w:sz="8" w:space="0" w:color="auto"/>
              <w:left w:val="nil"/>
              <w:bottom w:val="nil"/>
              <w:right w:val="single" w:sz="8" w:space="0" w:color="auto"/>
            </w:tcBorders>
            <w:shd w:val="clear" w:color="auto" w:fill="auto"/>
            <w:noWrap/>
            <w:vAlign w:val="center"/>
            <w:hideMark/>
          </w:tcPr>
          <w:p w14:paraId="3C7C1D4C" w14:textId="4FFB632E" w:rsidR="00065499" w:rsidRPr="00065499" w:rsidRDefault="001E4CD0"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r>
      <w:tr w:rsidR="00065499" w:rsidRPr="00065499" w14:paraId="350331E0" w14:textId="77777777" w:rsidTr="00065499">
        <w:trPr>
          <w:trHeight w:val="255"/>
          <w:jc w:val="center"/>
        </w:trPr>
        <w:tc>
          <w:tcPr>
            <w:tcW w:w="1656" w:type="dxa"/>
            <w:tcBorders>
              <w:top w:val="single" w:sz="8" w:space="0" w:color="auto"/>
              <w:left w:val="single" w:sz="8" w:space="0" w:color="auto"/>
              <w:bottom w:val="nil"/>
              <w:right w:val="nil"/>
            </w:tcBorders>
            <w:shd w:val="clear" w:color="auto" w:fill="auto"/>
            <w:noWrap/>
            <w:vAlign w:val="center"/>
            <w:hideMark/>
          </w:tcPr>
          <w:p w14:paraId="4FBEA577"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Class D</w:t>
            </w:r>
          </w:p>
        </w:tc>
        <w:tc>
          <w:tcPr>
            <w:tcW w:w="1068" w:type="dxa"/>
            <w:tcBorders>
              <w:top w:val="single" w:sz="8" w:space="0" w:color="auto"/>
              <w:left w:val="single" w:sz="8" w:space="0" w:color="auto"/>
              <w:bottom w:val="nil"/>
              <w:right w:val="nil"/>
            </w:tcBorders>
            <w:shd w:val="clear" w:color="000000" w:fill="FFC7CE"/>
            <w:noWrap/>
            <w:vAlign w:val="center"/>
            <w:hideMark/>
          </w:tcPr>
          <w:p w14:paraId="5FDE9594"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fi-FI"/>
              </w:rPr>
            </w:pPr>
            <w:r w:rsidRPr="00065499">
              <w:rPr>
                <w:rFonts w:ascii="Arial" w:hAnsi="Arial" w:cs="Arial"/>
                <w:sz w:val="18"/>
                <w:szCs w:val="18"/>
                <w:lang w:val="fi-FI" w:eastAsia="fi-FI"/>
              </w:rPr>
              <w:t>13,89 %</w:t>
            </w:r>
          </w:p>
        </w:tc>
        <w:tc>
          <w:tcPr>
            <w:tcW w:w="1076" w:type="dxa"/>
            <w:tcBorders>
              <w:top w:val="single" w:sz="8" w:space="0" w:color="auto"/>
              <w:left w:val="nil"/>
              <w:bottom w:val="nil"/>
              <w:right w:val="nil"/>
            </w:tcBorders>
            <w:shd w:val="clear" w:color="000000" w:fill="FFC7CE"/>
            <w:noWrap/>
            <w:vAlign w:val="center"/>
            <w:hideMark/>
          </w:tcPr>
          <w:p w14:paraId="791D41C7"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fi-FI"/>
              </w:rPr>
            </w:pPr>
            <w:r w:rsidRPr="00065499">
              <w:rPr>
                <w:rFonts w:ascii="Arial" w:hAnsi="Arial" w:cs="Arial"/>
                <w:sz w:val="18"/>
                <w:szCs w:val="18"/>
                <w:lang w:val="fi-FI" w:eastAsia="fi-FI"/>
              </w:rPr>
              <w:t>15,06 %</w:t>
            </w:r>
          </w:p>
        </w:tc>
        <w:tc>
          <w:tcPr>
            <w:tcW w:w="1591" w:type="dxa"/>
            <w:tcBorders>
              <w:top w:val="single" w:sz="8" w:space="0" w:color="auto"/>
              <w:left w:val="nil"/>
              <w:bottom w:val="nil"/>
              <w:right w:val="single" w:sz="4" w:space="0" w:color="auto"/>
            </w:tcBorders>
            <w:shd w:val="clear" w:color="000000" w:fill="FFC7CE"/>
            <w:noWrap/>
            <w:vAlign w:val="center"/>
            <w:hideMark/>
          </w:tcPr>
          <w:p w14:paraId="72716886"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fi-FI"/>
              </w:rPr>
            </w:pPr>
            <w:r w:rsidRPr="00065499">
              <w:rPr>
                <w:rFonts w:ascii="Arial" w:hAnsi="Arial" w:cs="Arial"/>
                <w:sz w:val="18"/>
                <w:szCs w:val="18"/>
                <w:lang w:val="fi-FI" w:eastAsia="fi-FI"/>
              </w:rPr>
              <w:t>15,30 %</w:t>
            </w:r>
          </w:p>
        </w:tc>
        <w:tc>
          <w:tcPr>
            <w:tcW w:w="1076" w:type="dxa"/>
            <w:tcBorders>
              <w:top w:val="single" w:sz="8" w:space="0" w:color="auto"/>
              <w:left w:val="nil"/>
              <w:bottom w:val="nil"/>
              <w:right w:val="nil"/>
            </w:tcBorders>
            <w:shd w:val="clear" w:color="auto" w:fill="auto"/>
            <w:noWrap/>
            <w:vAlign w:val="center"/>
            <w:hideMark/>
          </w:tcPr>
          <w:p w14:paraId="03C3D8FD" w14:textId="7AE3BD98" w:rsidR="00065499" w:rsidRPr="00065499" w:rsidRDefault="001E4CD0"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c>
          <w:tcPr>
            <w:tcW w:w="1068" w:type="dxa"/>
            <w:tcBorders>
              <w:top w:val="single" w:sz="8" w:space="0" w:color="auto"/>
              <w:left w:val="nil"/>
              <w:bottom w:val="nil"/>
              <w:right w:val="single" w:sz="8" w:space="0" w:color="auto"/>
            </w:tcBorders>
            <w:shd w:val="clear" w:color="auto" w:fill="auto"/>
            <w:noWrap/>
            <w:vAlign w:val="center"/>
            <w:hideMark/>
          </w:tcPr>
          <w:p w14:paraId="0B682294" w14:textId="2010DE5F" w:rsidR="00065499" w:rsidRPr="00065499" w:rsidRDefault="001E4CD0"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r>
      <w:tr w:rsidR="00065499" w:rsidRPr="00065499" w14:paraId="18D4BC1B" w14:textId="77777777" w:rsidTr="00065499">
        <w:trPr>
          <w:trHeight w:val="255"/>
          <w:jc w:val="center"/>
        </w:trPr>
        <w:tc>
          <w:tcPr>
            <w:tcW w:w="1656" w:type="dxa"/>
            <w:tcBorders>
              <w:top w:val="nil"/>
              <w:left w:val="single" w:sz="8" w:space="0" w:color="auto"/>
              <w:bottom w:val="single" w:sz="8" w:space="0" w:color="auto"/>
              <w:right w:val="nil"/>
            </w:tcBorders>
            <w:shd w:val="clear" w:color="auto" w:fill="auto"/>
            <w:noWrap/>
            <w:vAlign w:val="center"/>
            <w:hideMark/>
          </w:tcPr>
          <w:p w14:paraId="569D3B5C"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Class F</w:t>
            </w:r>
          </w:p>
        </w:tc>
        <w:tc>
          <w:tcPr>
            <w:tcW w:w="1068" w:type="dxa"/>
            <w:tcBorders>
              <w:top w:val="nil"/>
              <w:left w:val="single" w:sz="8" w:space="0" w:color="auto"/>
              <w:bottom w:val="single" w:sz="8" w:space="0" w:color="auto"/>
              <w:right w:val="nil"/>
            </w:tcBorders>
            <w:shd w:val="clear" w:color="auto" w:fill="auto"/>
            <w:noWrap/>
            <w:vAlign w:val="center"/>
            <w:hideMark/>
          </w:tcPr>
          <w:p w14:paraId="68FB2238"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c>
          <w:tcPr>
            <w:tcW w:w="1076" w:type="dxa"/>
            <w:tcBorders>
              <w:top w:val="nil"/>
              <w:left w:val="nil"/>
              <w:bottom w:val="single" w:sz="8" w:space="0" w:color="auto"/>
              <w:right w:val="nil"/>
            </w:tcBorders>
            <w:shd w:val="clear" w:color="auto" w:fill="auto"/>
            <w:noWrap/>
            <w:vAlign w:val="center"/>
            <w:hideMark/>
          </w:tcPr>
          <w:p w14:paraId="055CAA78"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c>
          <w:tcPr>
            <w:tcW w:w="1591" w:type="dxa"/>
            <w:tcBorders>
              <w:top w:val="nil"/>
              <w:left w:val="nil"/>
              <w:bottom w:val="single" w:sz="8" w:space="0" w:color="auto"/>
              <w:right w:val="single" w:sz="4" w:space="0" w:color="auto"/>
            </w:tcBorders>
            <w:shd w:val="clear" w:color="auto" w:fill="auto"/>
            <w:noWrap/>
            <w:vAlign w:val="center"/>
            <w:hideMark/>
          </w:tcPr>
          <w:p w14:paraId="4F047531" w14:textId="77777777" w:rsidR="00065499" w:rsidRPr="00065499" w:rsidRDefault="00065499"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c>
          <w:tcPr>
            <w:tcW w:w="1076" w:type="dxa"/>
            <w:tcBorders>
              <w:top w:val="nil"/>
              <w:left w:val="nil"/>
              <w:bottom w:val="single" w:sz="8" w:space="0" w:color="auto"/>
              <w:right w:val="nil"/>
            </w:tcBorders>
            <w:shd w:val="clear" w:color="auto" w:fill="auto"/>
            <w:noWrap/>
            <w:vAlign w:val="center"/>
            <w:hideMark/>
          </w:tcPr>
          <w:p w14:paraId="7910AA18" w14:textId="689CF560" w:rsidR="00065499" w:rsidRPr="00065499" w:rsidRDefault="001E4CD0" w:rsidP="00065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p>
        </w:tc>
        <w:tc>
          <w:tcPr>
            <w:tcW w:w="1068" w:type="dxa"/>
            <w:tcBorders>
              <w:top w:val="nil"/>
              <w:left w:val="nil"/>
              <w:bottom w:val="single" w:sz="8" w:space="0" w:color="auto"/>
              <w:right w:val="single" w:sz="8" w:space="0" w:color="auto"/>
            </w:tcBorders>
            <w:shd w:val="clear" w:color="auto" w:fill="auto"/>
            <w:noWrap/>
            <w:vAlign w:val="center"/>
            <w:hideMark/>
          </w:tcPr>
          <w:p w14:paraId="0F5A5DFF" w14:textId="3A936ECD" w:rsidR="00065499" w:rsidRPr="00065499" w:rsidRDefault="001E4CD0" w:rsidP="000654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065499">
              <w:rPr>
                <w:rFonts w:ascii="Arial" w:hAnsi="Arial" w:cs="Arial"/>
                <w:color w:val="000000"/>
                <w:sz w:val="18"/>
                <w:szCs w:val="18"/>
                <w:lang w:val="fi-FI" w:eastAsia="fi-FI"/>
              </w:rPr>
              <w:t>#VALUE!</w:t>
            </w:r>
            <w:bookmarkStart w:id="2" w:name="_GoBack"/>
            <w:bookmarkEnd w:id="2"/>
          </w:p>
        </w:tc>
      </w:tr>
    </w:tbl>
    <w:p w14:paraId="506F5135" w14:textId="52CC90B5" w:rsidR="008F78C9" w:rsidRDefault="00065499" w:rsidP="00065499">
      <w:pPr>
        <w:pStyle w:val="Caption"/>
        <w:rPr>
          <w:lang w:val="en-CA"/>
        </w:rPr>
      </w:pPr>
      <w:r>
        <w:t>Table 1: GRA with Sub-pictures</w:t>
      </w:r>
    </w:p>
    <w:p w14:paraId="6E92903E" w14:textId="07B49376" w:rsidR="0017711D" w:rsidRDefault="0017711D" w:rsidP="00E11923">
      <w:pPr>
        <w:pStyle w:val="Heading1"/>
        <w:rPr>
          <w:lang w:val="en-CA"/>
        </w:rPr>
      </w:pPr>
      <w:r>
        <w:rPr>
          <w:lang w:val="en-CA"/>
        </w:rPr>
        <w:t>References</w:t>
      </w:r>
    </w:p>
    <w:p w14:paraId="362BA8F1" w14:textId="34A8EF3B" w:rsidR="0017711D" w:rsidRDefault="008C3430" w:rsidP="0017711D">
      <w:pPr>
        <w:numPr>
          <w:ilvl w:val="0"/>
          <w:numId w:val="13"/>
        </w:numPr>
        <w:textAlignment w:val="auto"/>
        <w:rPr>
          <w:szCs w:val="22"/>
          <w:lang w:val="en-CA"/>
        </w:rPr>
      </w:pPr>
      <w:bookmarkStart w:id="3" w:name="_Ref11793305"/>
      <w:bookmarkStart w:id="4" w:name="_Ref531871856"/>
      <w:bookmarkStart w:id="5" w:name="_Ref12432566"/>
      <w:r>
        <w:rPr>
          <w:szCs w:val="22"/>
          <w:lang w:val="en-CA"/>
        </w:rPr>
        <w:t>M. M. Hannuksela, K.K. Sreedhar and A. Aminlou</w:t>
      </w:r>
      <w:r w:rsidR="0017711D" w:rsidRPr="0017711D">
        <w:rPr>
          <w:szCs w:val="22"/>
          <w:lang w:val="en-CA"/>
        </w:rPr>
        <w:t>, “</w:t>
      </w:r>
      <w:r w:rsidRPr="008C3430">
        <w:rPr>
          <w:szCs w:val="22"/>
        </w:rPr>
        <w:t>AHG14: On gradual decoding refresh</w:t>
      </w:r>
      <w:r w:rsidR="0017711D" w:rsidRPr="0017711D">
        <w:rPr>
          <w:szCs w:val="22"/>
          <w:lang w:val="en-CA"/>
        </w:rPr>
        <w:t>” Document of Joint Video Experts Team, JVET-N</w:t>
      </w:r>
      <w:r>
        <w:rPr>
          <w:szCs w:val="22"/>
          <w:lang w:val="en-CA"/>
        </w:rPr>
        <w:t>0310</w:t>
      </w:r>
      <w:r w:rsidR="0017711D" w:rsidRPr="0017711D">
        <w:rPr>
          <w:szCs w:val="22"/>
          <w:lang w:val="en-CA"/>
        </w:rPr>
        <w:t>, March 2019</w:t>
      </w:r>
      <w:bookmarkEnd w:id="3"/>
      <w:r w:rsidR="00213EB4">
        <w:rPr>
          <w:szCs w:val="22"/>
          <w:lang w:val="en-CA"/>
        </w:rPr>
        <w:t>.</w:t>
      </w:r>
      <w:bookmarkEnd w:id="5"/>
    </w:p>
    <w:p w14:paraId="28C911B0" w14:textId="77777777" w:rsidR="008601C4" w:rsidRPr="0017711D" w:rsidRDefault="008601C4" w:rsidP="008601C4">
      <w:pPr>
        <w:numPr>
          <w:ilvl w:val="0"/>
          <w:numId w:val="13"/>
        </w:numPr>
        <w:textAlignment w:val="auto"/>
        <w:rPr>
          <w:szCs w:val="22"/>
          <w:lang w:val="en-CA"/>
        </w:rPr>
      </w:pPr>
      <w:bookmarkStart w:id="6" w:name="_Ref11793160"/>
      <w:bookmarkStart w:id="7" w:name="_Ref11793243"/>
      <w:r w:rsidRPr="0017711D">
        <w:rPr>
          <w:szCs w:val="22"/>
          <w:lang w:val="en-CA"/>
        </w:rPr>
        <w:t xml:space="preserve">K. </w:t>
      </w:r>
      <w:proofErr w:type="spellStart"/>
      <w:r w:rsidRPr="0017711D">
        <w:rPr>
          <w:szCs w:val="22"/>
          <w:lang w:val="en-CA"/>
        </w:rPr>
        <w:t>Kazui</w:t>
      </w:r>
      <w:proofErr w:type="spellEnd"/>
      <w:r w:rsidRPr="0017711D">
        <w:rPr>
          <w:szCs w:val="22"/>
          <w:lang w:val="en-CA"/>
        </w:rPr>
        <w:t>, J-M. Thiesse, Hendry, K</w:t>
      </w:r>
      <w:r>
        <w:rPr>
          <w:szCs w:val="22"/>
          <w:lang w:val="en-CA"/>
        </w:rPr>
        <w:t>.</w:t>
      </w:r>
      <w:r w:rsidRPr="0017711D">
        <w:rPr>
          <w:szCs w:val="22"/>
          <w:lang w:val="en-CA"/>
        </w:rPr>
        <w:t xml:space="preserve"> Kawamura</w:t>
      </w:r>
      <w:r>
        <w:rPr>
          <w:szCs w:val="22"/>
          <w:lang w:val="en-CA"/>
        </w:rPr>
        <w:t>,</w:t>
      </w:r>
      <w:r w:rsidRPr="0017711D">
        <w:rPr>
          <w:szCs w:val="22"/>
          <w:lang w:val="en-CA"/>
        </w:rPr>
        <w:t xml:space="preserve"> “Description of Core Experiment 11 (CE11): Gradual random access”, Document of Joint Video Experts Team, JVET-N1031, March 2019</w:t>
      </w:r>
      <w:bookmarkEnd w:id="7"/>
    </w:p>
    <w:p w14:paraId="75A541E1" w14:textId="00208443" w:rsidR="0017711D" w:rsidRDefault="0017711D" w:rsidP="0017711D">
      <w:pPr>
        <w:numPr>
          <w:ilvl w:val="0"/>
          <w:numId w:val="13"/>
        </w:numPr>
        <w:textAlignment w:val="auto"/>
        <w:rPr>
          <w:szCs w:val="22"/>
          <w:lang w:val="en-CA"/>
        </w:rPr>
      </w:pPr>
      <w:bookmarkStart w:id="8" w:name="_Ref11793504"/>
      <w:bookmarkEnd w:id="6"/>
      <w:bookmarkEnd w:id="4"/>
      <w:r>
        <w:rPr>
          <w:szCs w:val="22"/>
          <w:lang w:val="en-CA"/>
        </w:rPr>
        <w:t xml:space="preserve">Reference software </w:t>
      </w:r>
      <w:r w:rsidRPr="0017711D">
        <w:rPr>
          <w:szCs w:val="22"/>
          <w:lang w:val="en-CA"/>
        </w:rPr>
        <w:t xml:space="preserve">VTM-5.0, </w:t>
      </w:r>
      <w:hyperlink r:id="rId12" w:history="1">
        <w:r w:rsidRPr="00022E44">
          <w:rPr>
            <w:rStyle w:val="Hyperlink"/>
            <w:szCs w:val="22"/>
            <w:lang w:val="en-CA"/>
          </w:rPr>
          <w:t>https://vcgit.hhi.fraunhofer.de/jvet/VVCSoftware_VTM</w:t>
        </w:r>
      </w:hyperlink>
      <w:bookmarkEnd w:id="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64DFADD" w:rsidR="007F1F8B" w:rsidRPr="005B217D" w:rsidRDefault="001D6136" w:rsidP="009234A5">
      <w:pPr>
        <w:rPr>
          <w:szCs w:val="22"/>
          <w:lang w:val="en-CA"/>
        </w:rPr>
      </w:pPr>
      <w:r>
        <w:rPr>
          <w:b/>
          <w:szCs w:val="22"/>
          <w:lang w:val="en-CA"/>
        </w:rPr>
        <w:t xml:space="preserve">Nokia </w:t>
      </w:r>
      <w:r w:rsidRPr="005B217D">
        <w:rPr>
          <w:b/>
          <w:szCs w:val="22"/>
          <w:lang w:val="en-CA"/>
        </w:rPr>
        <w:t>may have current or pending patent rights relating to the technology described in this contribution and, conditioned on reciprocity, is prepared to grant licenses under reasonable and non-</w:t>
      </w:r>
      <w:r w:rsidRPr="005B217D">
        <w:rPr>
          <w:b/>
          <w:szCs w:val="22"/>
          <w:lang w:val="en-CA"/>
        </w:rPr>
        <w:lastRenderedPageBreak/>
        <w:t>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A299E" w14:textId="77777777" w:rsidR="00095B76" w:rsidRDefault="00095B76">
      <w:r>
        <w:separator/>
      </w:r>
    </w:p>
  </w:endnote>
  <w:endnote w:type="continuationSeparator" w:id="0">
    <w:p w14:paraId="2388D375" w14:textId="77777777" w:rsidR="00095B76" w:rsidRDefault="00095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C3467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2758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C3430">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E4597" w14:textId="77777777" w:rsidR="00095B76" w:rsidRDefault="00095B76">
      <w:r>
        <w:separator/>
      </w:r>
    </w:p>
  </w:footnote>
  <w:footnote w:type="continuationSeparator" w:id="0">
    <w:p w14:paraId="271D384F" w14:textId="77777777" w:rsidR="00095B76" w:rsidRDefault="00095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A736A3"/>
    <w:multiLevelType w:val="hybridMultilevel"/>
    <w:tmpl w:val="273A67F8"/>
    <w:lvl w:ilvl="0" w:tplc="A01E07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F7D4C72"/>
    <w:multiLevelType w:val="hybridMultilevel"/>
    <w:tmpl w:val="1082AA52"/>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2"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58A"/>
    <w:rsid w:val="000308A3"/>
    <w:rsid w:val="000458BC"/>
    <w:rsid w:val="00045C41"/>
    <w:rsid w:val="00046C03"/>
    <w:rsid w:val="00065039"/>
    <w:rsid w:val="00065499"/>
    <w:rsid w:val="0007614F"/>
    <w:rsid w:val="00081398"/>
    <w:rsid w:val="0008666D"/>
    <w:rsid w:val="00094479"/>
    <w:rsid w:val="00095B76"/>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7711D"/>
    <w:rsid w:val="00187E58"/>
    <w:rsid w:val="001953C3"/>
    <w:rsid w:val="001A297E"/>
    <w:rsid w:val="001A368E"/>
    <w:rsid w:val="001A7329"/>
    <w:rsid w:val="001A792F"/>
    <w:rsid w:val="001B4E28"/>
    <w:rsid w:val="001C3525"/>
    <w:rsid w:val="001C3AFB"/>
    <w:rsid w:val="001D1BD2"/>
    <w:rsid w:val="001D6136"/>
    <w:rsid w:val="001E0248"/>
    <w:rsid w:val="001E02BE"/>
    <w:rsid w:val="001E3B37"/>
    <w:rsid w:val="001E4CD0"/>
    <w:rsid w:val="001F2594"/>
    <w:rsid w:val="002055A6"/>
    <w:rsid w:val="00206460"/>
    <w:rsid w:val="002069B4"/>
    <w:rsid w:val="0021269F"/>
    <w:rsid w:val="002127E0"/>
    <w:rsid w:val="00213EB4"/>
    <w:rsid w:val="00215DFC"/>
    <w:rsid w:val="002212DF"/>
    <w:rsid w:val="00222CD4"/>
    <w:rsid w:val="00225016"/>
    <w:rsid w:val="002253CA"/>
    <w:rsid w:val="002264A6"/>
    <w:rsid w:val="00227BA7"/>
    <w:rsid w:val="0023011C"/>
    <w:rsid w:val="002375C1"/>
    <w:rsid w:val="00263398"/>
    <w:rsid w:val="00263B99"/>
    <w:rsid w:val="00266F06"/>
    <w:rsid w:val="0027553D"/>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3BC7"/>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83B40"/>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B7271"/>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A16C9"/>
    <w:rsid w:val="006B732D"/>
    <w:rsid w:val="006C5D39"/>
    <w:rsid w:val="006D6D9B"/>
    <w:rsid w:val="006E2810"/>
    <w:rsid w:val="006E5417"/>
    <w:rsid w:val="006F0794"/>
    <w:rsid w:val="006F7528"/>
    <w:rsid w:val="007023DE"/>
    <w:rsid w:val="00712F60"/>
    <w:rsid w:val="00717950"/>
    <w:rsid w:val="00720E3B"/>
    <w:rsid w:val="00727607"/>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46790"/>
    <w:rsid w:val="008601C4"/>
    <w:rsid w:val="0086387C"/>
    <w:rsid w:val="00874A6C"/>
    <w:rsid w:val="00876C65"/>
    <w:rsid w:val="00882F72"/>
    <w:rsid w:val="008A4B4C"/>
    <w:rsid w:val="008C239F"/>
    <w:rsid w:val="008C3430"/>
    <w:rsid w:val="008D0FFD"/>
    <w:rsid w:val="008E480C"/>
    <w:rsid w:val="008F78C9"/>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0FCE"/>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3C78"/>
    <w:rsid w:val="00C606C9"/>
    <w:rsid w:val="00C80288"/>
    <w:rsid w:val="00C84003"/>
    <w:rsid w:val="00C90650"/>
    <w:rsid w:val="00C97D78"/>
    <w:rsid w:val="00CC0D44"/>
    <w:rsid w:val="00CC2AAE"/>
    <w:rsid w:val="00CC5A42"/>
    <w:rsid w:val="00CC6FEF"/>
    <w:rsid w:val="00CD0EAB"/>
    <w:rsid w:val="00CE5E02"/>
    <w:rsid w:val="00CF34DB"/>
    <w:rsid w:val="00CF3917"/>
    <w:rsid w:val="00CF558F"/>
    <w:rsid w:val="00D010C0"/>
    <w:rsid w:val="00D073E2"/>
    <w:rsid w:val="00D446EC"/>
    <w:rsid w:val="00D51BF0"/>
    <w:rsid w:val="00D531DB"/>
    <w:rsid w:val="00D55942"/>
    <w:rsid w:val="00D807BF"/>
    <w:rsid w:val="00D82FCC"/>
    <w:rsid w:val="00D9312B"/>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2053"/>
    <w:rsid w:val="00FA60F5"/>
    <w:rsid w:val="00FB0E84"/>
    <w:rsid w:val="00FC2405"/>
    <w:rsid w:val="00FD01C2"/>
    <w:rsid w:val="00FD52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12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127E0"/>
    <w:rPr>
      <w:rFonts w:eastAsia="Malgun Gothic"/>
      <w:b/>
      <w:bCs/>
    </w:rPr>
  </w:style>
  <w:style w:type="paragraph" w:styleId="ListParagraph">
    <w:name w:val="List Paragraph"/>
    <w:basedOn w:val="Normal"/>
    <w:link w:val="ListParagraphChar"/>
    <w:uiPriority w:val="34"/>
    <w:qFormat/>
    <w:rsid w:val="005B7271"/>
    <w:pPr>
      <w:ind w:left="720"/>
      <w:contextualSpacing/>
    </w:pPr>
    <w:rPr>
      <w:sz w:val="20"/>
    </w:rPr>
  </w:style>
  <w:style w:type="character" w:customStyle="1" w:styleId="ListParagraphChar">
    <w:name w:val="List Paragraph Char"/>
    <w:basedOn w:val="DefaultParagraphFont"/>
    <w:link w:val="ListParagraph"/>
    <w:uiPriority w:val="34"/>
    <w:rsid w:val="005B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87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n-ce11/VVCSoftware_VTM/branch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5F05E-03FE-42A9-930D-3FA89167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Pages>
  <Words>708</Words>
  <Characters>4462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Kammachi Sreedhar, Kashyap (Nokia - FI/Tampere)</cp:lastModifiedBy>
  <cp:revision>10</cp:revision>
  <cp:lastPrinted>1900-01-01T08:00:00Z</cp:lastPrinted>
  <dcterms:created xsi:type="dcterms:W3CDTF">2019-06-18T21:21:00Z</dcterms:created>
  <dcterms:modified xsi:type="dcterms:W3CDTF">2019-06-26T07:25:00Z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(2)9F8/GOf+EwkbcZUyoUEu85oQIweoUQTdJYBoMFY6WuXjuH0NhOhTP/U3pJysSFN1ie1XGbX2
QsvLHN77jsFkD76QQqjeHKi5/H5G02K93np7XoPJwiHdLH1G/BLGXHi3CpThJwp8NOESa9FD
t5bU5zhyBFr/0cOpKLpFg/UDb14bFb6ZP9hjRCkIl9RKJAZBjC4ED+geHRySNm4jOZjXL+fn
mDxbYpPbpbC02FYFFv</vt:lpwstr>
  </property>
  <property fmtid="{D5CDD505-2E9C-101B-9397-08002B2CF9AE}" pid="3" name="_2015_ms_pID_7253431">
    <vt:lpwstr>jwIMvRHHhVtLt3Cybdjr7YkveEa6eEPLMaK6zHTbKliPWlWRfruHVE
RBD9bM5zwnTz6EUCdcWV6i5Dg2dqqbKTQ14J4U50fRHDgTG5W9CCibPqMYAxTnXPG7pqFR1m
ByIpgIMCwLrcrmmKHKSMB+FVSc9e3Gv8hmnk7mAokvtcTrs2/0mYNBUdCy/yxQ02vHs=</vt:lpwstr>
  </property>
</Properties>
</file>