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436A4F80" w:rsidR="00E61DAC" w:rsidRPr="002B7D68" w:rsidRDefault="004F2846"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2F9FF9D8"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020CFE">
              <w:rPr>
                <w:lang w:val="en-CA"/>
              </w:rPr>
              <w:t xml:space="preserve"> </w:t>
            </w:r>
            <w:r w:rsidR="004F2846">
              <w:rPr>
                <w:lang w:val="en-CA"/>
              </w:rPr>
              <w:t>O</w:t>
            </w:r>
            <w:r w:rsidR="002D1629">
              <w:rPr>
                <w:lang w:val="en-CA"/>
              </w:rPr>
              <w:t>0</w:t>
            </w:r>
            <w:r w:rsidR="0078093A">
              <w:rPr>
                <w:lang w:val="en-CA"/>
              </w:rPr>
              <w:t>632</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622AF"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5AE4C9E6" w:rsidR="00E61DAC" w:rsidRPr="002B7D68" w:rsidRDefault="00F70ABE" w:rsidP="004F1FB8">
            <w:pPr>
              <w:spacing w:before="60" w:after="60"/>
              <w:rPr>
                <w:b/>
                <w:szCs w:val="22"/>
                <w:lang w:val="en-CA" w:eastAsia="zh-TW"/>
              </w:rPr>
            </w:pPr>
            <w:r>
              <w:rPr>
                <w:b/>
                <w:szCs w:val="22"/>
                <w:lang w:val="en-CA" w:eastAsia="zh-TW"/>
              </w:rPr>
              <w:t xml:space="preserve">Non-CE3: </w:t>
            </w:r>
            <w:r w:rsidR="006D4E33">
              <w:rPr>
                <w:b/>
                <w:szCs w:val="22"/>
                <w:lang w:val="en-CA" w:eastAsia="zh-TW"/>
              </w:rPr>
              <w:t xml:space="preserve">WAIP restriction for </w:t>
            </w:r>
            <w:r w:rsidR="00F622AF">
              <w:rPr>
                <w:b/>
                <w:szCs w:val="22"/>
                <w:lang w:val="en-CA" w:eastAsia="zh-TW"/>
              </w:rPr>
              <w:t>square sub-CU blocks partitioned by ISP</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03126604" w14:textId="77777777" w:rsidR="00410FCF" w:rsidRDefault="00CB2B33" w:rsidP="009459D9">
            <w:pPr>
              <w:spacing w:before="60" w:after="60"/>
              <w:rPr>
                <w:szCs w:val="22"/>
                <w:lang w:val="en-CA"/>
              </w:rPr>
            </w:pPr>
            <w:r>
              <w:rPr>
                <w:szCs w:val="22"/>
                <w:lang w:val="en-CA"/>
              </w:rPr>
              <w:t>Ankit Kumar</w:t>
            </w:r>
          </w:p>
          <w:p w14:paraId="2DE0BF27" w14:textId="77777777" w:rsidR="007F34E7" w:rsidRDefault="007F34E7" w:rsidP="009459D9">
            <w:pPr>
              <w:spacing w:before="60" w:after="60"/>
              <w:rPr>
                <w:szCs w:val="22"/>
                <w:lang w:val="en-CA"/>
              </w:rPr>
            </w:pPr>
            <w:r>
              <w:rPr>
                <w:szCs w:val="22"/>
                <w:lang w:val="en-CA"/>
              </w:rPr>
              <w:t>Sandeep Shrestha</w:t>
            </w:r>
          </w:p>
          <w:p w14:paraId="018635FF" w14:textId="77777777" w:rsidR="007F34E7" w:rsidRDefault="007F34E7" w:rsidP="009459D9">
            <w:pPr>
              <w:spacing w:before="60" w:after="60"/>
              <w:rPr>
                <w:szCs w:val="22"/>
                <w:lang w:val="en-CA"/>
              </w:rPr>
            </w:pPr>
            <w:r>
              <w:rPr>
                <w:szCs w:val="22"/>
                <w:lang w:val="en-CA"/>
              </w:rPr>
              <w:t>Bumshik Lee</w:t>
            </w:r>
          </w:p>
          <w:p w14:paraId="054A1C76" w14:textId="77777777" w:rsidR="007F34E7" w:rsidRDefault="007F34E7" w:rsidP="009459D9">
            <w:pPr>
              <w:spacing w:before="60" w:after="60"/>
              <w:rPr>
                <w:szCs w:val="22"/>
                <w:lang w:val="en-CA"/>
              </w:rPr>
            </w:pPr>
            <w:r>
              <w:rPr>
                <w:szCs w:val="22"/>
                <w:lang w:val="en-CA"/>
              </w:rPr>
              <w:t>Yonggil Lee</w:t>
            </w:r>
          </w:p>
          <w:p w14:paraId="49D81240" w14:textId="2D7B7AE5" w:rsidR="007F34E7" w:rsidRPr="002B7D68" w:rsidRDefault="007F34E7" w:rsidP="009459D9">
            <w:pPr>
              <w:spacing w:before="60" w:after="60"/>
              <w:rPr>
                <w:szCs w:val="22"/>
                <w:lang w:val="en-CA"/>
              </w:rPr>
            </w:pPr>
            <w:r>
              <w:rPr>
                <w:szCs w:val="22"/>
                <w:lang w:val="en-CA"/>
              </w:rPr>
              <w:t>Junsuk Park</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25935E34" w14:textId="08442219" w:rsidR="00410FCF" w:rsidRDefault="007F34E7" w:rsidP="000817A8">
            <w:pPr>
              <w:spacing w:before="60" w:after="60"/>
              <w:rPr>
                <w:szCs w:val="22"/>
                <w:lang w:val="en-CA"/>
              </w:rPr>
            </w:pPr>
            <w:r w:rsidRPr="00A25756">
              <w:rPr>
                <w:szCs w:val="22"/>
                <w:lang w:val="en-CA"/>
              </w:rPr>
              <w:t>ankitku@chosun.kr</w:t>
            </w:r>
          </w:p>
          <w:p w14:paraId="204D356F" w14:textId="7D981372" w:rsidR="007F34E7" w:rsidRDefault="007F34E7" w:rsidP="000817A8">
            <w:pPr>
              <w:spacing w:before="60" w:after="60"/>
              <w:rPr>
                <w:szCs w:val="22"/>
                <w:lang w:val="en-CA"/>
              </w:rPr>
            </w:pPr>
            <w:r w:rsidRPr="00A25756">
              <w:rPr>
                <w:szCs w:val="22"/>
                <w:lang w:val="en-CA"/>
              </w:rPr>
              <w:t>sandeepshrestha407@chosun.kr</w:t>
            </w:r>
          </w:p>
          <w:p w14:paraId="5B85F49D" w14:textId="416D13E7" w:rsidR="007F34E7" w:rsidRDefault="007F34E7" w:rsidP="000817A8">
            <w:pPr>
              <w:spacing w:before="60" w:after="60"/>
              <w:rPr>
                <w:szCs w:val="22"/>
                <w:lang w:val="en-CA"/>
              </w:rPr>
            </w:pPr>
            <w:r w:rsidRPr="00A25756">
              <w:rPr>
                <w:szCs w:val="22"/>
                <w:lang w:val="en-CA"/>
              </w:rPr>
              <w:t>bslee@chosun.ac.kr</w:t>
            </w:r>
          </w:p>
          <w:p w14:paraId="185ED0A0" w14:textId="075410E9" w:rsidR="007F34E7" w:rsidRDefault="007F34E7" w:rsidP="000817A8">
            <w:pPr>
              <w:spacing w:before="60" w:after="60"/>
              <w:rPr>
                <w:szCs w:val="22"/>
                <w:lang w:val="en-CA"/>
              </w:rPr>
            </w:pPr>
            <w:r w:rsidRPr="00A25756">
              <w:rPr>
                <w:szCs w:val="22"/>
                <w:lang w:val="en-CA"/>
              </w:rPr>
              <w:t>yglee@humaxdigital.com</w:t>
            </w:r>
          </w:p>
          <w:p w14:paraId="32C2ABFD" w14:textId="386D7F9D" w:rsidR="007F34E7" w:rsidRPr="002B7D68" w:rsidRDefault="007F34E7" w:rsidP="000817A8">
            <w:pPr>
              <w:spacing w:before="60" w:after="60"/>
              <w:rPr>
                <w:szCs w:val="22"/>
                <w:lang w:val="en-CA"/>
              </w:rPr>
            </w:pPr>
            <w:r w:rsidRPr="00A25756">
              <w:rPr>
                <w:szCs w:val="22"/>
                <w:lang w:val="en-CA"/>
              </w:rPr>
              <w:t>parkjs@humaxdigital.com</w:t>
            </w:r>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0E24F828" w:rsidR="00E61DAC" w:rsidRPr="002B7D68" w:rsidRDefault="00856DF3" w:rsidP="009459D9">
            <w:pPr>
              <w:spacing w:before="60" w:after="60"/>
              <w:rPr>
                <w:szCs w:val="22"/>
                <w:lang w:val="en-CA"/>
              </w:rPr>
            </w:pPr>
            <w:proofErr w:type="spellStart"/>
            <w:r>
              <w:rPr>
                <w:szCs w:val="22"/>
                <w:lang w:val="en-CA"/>
              </w:rPr>
              <w:t>Chosun</w:t>
            </w:r>
            <w:proofErr w:type="spellEnd"/>
            <w:r>
              <w:rPr>
                <w:szCs w:val="22"/>
                <w:lang w:val="en-CA"/>
              </w:rPr>
              <w:t xml:space="preserve"> University</w:t>
            </w:r>
            <w:r w:rsidR="007F34E7">
              <w:rPr>
                <w:szCs w:val="22"/>
                <w:lang w:val="en-CA"/>
              </w:rPr>
              <w:t xml:space="preserve"> and</w:t>
            </w:r>
            <w:r>
              <w:rPr>
                <w:szCs w:val="22"/>
                <w:lang w:val="en-CA"/>
              </w:rPr>
              <w:t xml:space="preserve"> Humax</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1"/>
        <w:numPr>
          <w:ilvl w:val="0"/>
          <w:numId w:val="0"/>
        </w:numPr>
        <w:ind w:left="432" w:hanging="432"/>
        <w:rPr>
          <w:rFonts w:cs="Times New Roman"/>
          <w:lang w:val="en-CA"/>
        </w:rPr>
      </w:pPr>
      <w:r w:rsidRPr="002B7D68">
        <w:rPr>
          <w:rFonts w:cs="Times New Roman"/>
          <w:lang w:val="en-CA"/>
        </w:rPr>
        <w:t>Abstract</w:t>
      </w:r>
    </w:p>
    <w:p w14:paraId="6163F7A4" w14:textId="6876160B" w:rsidR="006135AA" w:rsidRPr="006B2EAD" w:rsidRDefault="00BB6475" w:rsidP="00BB6475">
      <w:pPr>
        <w:rPr>
          <w:color w:val="000000" w:themeColor="text1"/>
          <w:lang w:val="en-CA"/>
        </w:rPr>
      </w:pPr>
      <w:r>
        <w:rPr>
          <w:lang w:val="en-CA"/>
        </w:rPr>
        <w:t>In current VTM-5.0</w:t>
      </w:r>
      <w:r w:rsidR="009E307A">
        <w:rPr>
          <w:lang w:val="en-CA"/>
        </w:rPr>
        <w:t xml:space="preserve"> [1]</w:t>
      </w:r>
      <w:r>
        <w:rPr>
          <w:lang w:val="en-CA"/>
        </w:rPr>
        <w:t xml:space="preserve">, for the ISP mode, the selection of wide-angle mode solely relies on the shape of current CU rather than sub-CU. It is </w:t>
      </w:r>
      <w:r w:rsidR="00445DED">
        <w:rPr>
          <w:lang w:val="en-CA"/>
        </w:rPr>
        <w:t xml:space="preserve">also </w:t>
      </w:r>
      <w:r>
        <w:rPr>
          <w:lang w:val="en-CA"/>
        </w:rPr>
        <w:t xml:space="preserve">proclaimed that when the wide-angle mode is enabled for a sub-CU for the ISP mode, it needs to access more neighboring pixels than the normal intra CU in the same size. In this contribution, it is proposed to harmonize the wide angle intra prediction and ISP by </w:t>
      </w:r>
      <w:r>
        <w:rPr>
          <w:szCs w:val="22"/>
          <w:lang w:eastAsia="zh-TW"/>
        </w:rPr>
        <w:t>selecting the wide-angle based on the size of sub-CUs in the ISP mode</w:t>
      </w:r>
      <w:r w:rsidR="00432046">
        <w:rPr>
          <w:szCs w:val="22"/>
          <w:lang w:eastAsia="zh-TW"/>
        </w:rPr>
        <w:t xml:space="preserve"> only </w:t>
      </w:r>
      <w:r w:rsidR="00DC6087">
        <w:rPr>
          <w:szCs w:val="22"/>
          <w:lang w:eastAsia="zh-TW"/>
        </w:rPr>
        <w:t xml:space="preserve">for </w:t>
      </w:r>
      <w:r w:rsidR="00432046">
        <w:rPr>
          <w:szCs w:val="22"/>
          <w:lang w:eastAsia="zh-TW"/>
        </w:rPr>
        <w:t xml:space="preserve">the non-square </w:t>
      </w:r>
      <w:proofErr w:type="gramStart"/>
      <w:r w:rsidR="00432046">
        <w:rPr>
          <w:szCs w:val="22"/>
          <w:lang w:eastAsia="zh-TW"/>
        </w:rPr>
        <w:t>sub-CU’s</w:t>
      </w:r>
      <w:proofErr w:type="gramEnd"/>
      <w:r w:rsidR="00432046">
        <w:rPr>
          <w:szCs w:val="22"/>
          <w:lang w:eastAsia="zh-TW"/>
        </w:rPr>
        <w:t>.</w:t>
      </w:r>
    </w:p>
    <w:p w14:paraId="7D2AC1F0" w14:textId="0DAACC34" w:rsidR="00745F6B" w:rsidRPr="002B7D68" w:rsidRDefault="00C13B82" w:rsidP="00E11923">
      <w:pPr>
        <w:pStyle w:val="1"/>
        <w:rPr>
          <w:rFonts w:cs="Times New Roman"/>
          <w:lang w:val="en-CA"/>
        </w:rPr>
      </w:pPr>
      <w:r w:rsidRPr="002B7D68">
        <w:rPr>
          <w:rFonts w:cs="Times New Roman"/>
          <w:lang w:val="en-CA"/>
        </w:rPr>
        <w:t>Introduction</w:t>
      </w:r>
    </w:p>
    <w:p w14:paraId="6B74A8BA" w14:textId="6C55FE15" w:rsidR="00432046" w:rsidRDefault="00432046" w:rsidP="00432046">
      <w:pPr>
        <w:rPr>
          <w:lang w:val="en-CA" w:eastAsia="ko-KR"/>
        </w:rPr>
      </w:pPr>
      <w:r>
        <w:rPr>
          <w:lang w:val="en-CA" w:eastAsia="ko-KR"/>
        </w:rPr>
        <w:t>WAIP [</w:t>
      </w:r>
      <w:r w:rsidR="009E307A">
        <w:rPr>
          <w:lang w:val="en-CA" w:eastAsia="ko-KR"/>
        </w:rPr>
        <w:t>2</w:t>
      </w:r>
      <w:r>
        <w:rPr>
          <w:lang w:val="en-CA" w:eastAsia="ko-KR"/>
        </w:rPr>
        <w:t xml:space="preserve">] was proposed to allow extended intra prediction angles beyond the traditional </w:t>
      </w:r>
      <w:r w:rsidR="00856DF3">
        <w:rPr>
          <w:lang w:val="en-CA" w:eastAsia="ko-KR"/>
        </w:rPr>
        <w:t>45-degree</w:t>
      </w:r>
      <w:r>
        <w:rPr>
          <w:lang w:val="en-CA" w:eastAsia="ko-KR"/>
        </w:rPr>
        <w:t xml:space="preserve"> top-right and bottom-left directions to improve the accuracy of prediction blocks using closer reference samples for non-square blocks. WAIP replaces several conventional angular intra prediction modes with wide angular modes according to aspect ratio of non-square block. </w:t>
      </w:r>
    </w:p>
    <w:p w14:paraId="5B5085C9" w14:textId="5FBB885A" w:rsidR="00432046" w:rsidRDefault="00432046" w:rsidP="00432046">
      <w:pPr>
        <w:rPr>
          <w:lang w:val="en-CA" w:eastAsia="ko-KR"/>
        </w:rPr>
      </w:pPr>
      <w:r>
        <w:rPr>
          <w:lang w:val="en-CA" w:eastAsia="ko-KR"/>
        </w:rPr>
        <w:t>ISP [</w:t>
      </w:r>
      <w:r w:rsidR="009E307A">
        <w:rPr>
          <w:lang w:val="en-CA" w:eastAsia="ko-KR"/>
        </w:rPr>
        <w:t>3</w:t>
      </w:r>
      <w:r>
        <w:rPr>
          <w:lang w:val="en-CA" w:eastAsia="ko-KR"/>
        </w:rPr>
        <w:t xml:space="preserve">] divides an intra luma coding block vertically or horizontally into 2 or 4 sub-partitions which share </w:t>
      </w:r>
      <w:proofErr w:type="gramStart"/>
      <w:r>
        <w:rPr>
          <w:lang w:val="en-CA" w:eastAsia="ko-KR"/>
        </w:rPr>
        <w:t>the</w:t>
      </w:r>
      <w:proofErr w:type="gramEnd"/>
      <w:r>
        <w:rPr>
          <w:lang w:val="en-CA" w:eastAsia="ko-KR"/>
        </w:rPr>
        <w:t xml:space="preserve"> same intra mode. Each sub-partition is sequentially encoded/decoded to generate a reconstructed block and used as reference samples of the next sub-partition. All sub-partitions share the same intra mode which is determined based on a coding block. </w:t>
      </w:r>
    </w:p>
    <w:p w14:paraId="2EB82581" w14:textId="6985ED72" w:rsidR="00432046" w:rsidRDefault="00432046" w:rsidP="00432046">
      <w:pPr>
        <w:rPr>
          <w:lang w:val="en-CA" w:eastAsia="ko-KR"/>
        </w:rPr>
      </w:pPr>
      <w:r>
        <w:rPr>
          <w:lang w:val="en-CA" w:eastAsia="ko-KR"/>
        </w:rPr>
        <w:t xml:space="preserve">In the VTM-5.0, </w:t>
      </w:r>
      <w:r w:rsidR="00991E98">
        <w:rPr>
          <w:lang w:val="en-CA" w:eastAsia="ko-KR"/>
        </w:rPr>
        <w:t>WAIP</w:t>
      </w:r>
      <w:r>
        <w:rPr>
          <w:lang w:val="en-CA" w:eastAsia="ko-KR"/>
        </w:rPr>
        <w:t xml:space="preserve"> determine</w:t>
      </w:r>
      <w:r w:rsidR="00991E98">
        <w:rPr>
          <w:lang w:val="en-CA" w:eastAsia="ko-KR"/>
        </w:rPr>
        <w:t>s</w:t>
      </w:r>
      <w:r>
        <w:rPr>
          <w:lang w:val="en-CA" w:eastAsia="ko-KR"/>
        </w:rPr>
        <w:t xml:space="preserve"> the intra mode considering the aspect ratio of the current </w:t>
      </w:r>
      <w:r w:rsidR="00991E98">
        <w:rPr>
          <w:lang w:val="en-CA" w:eastAsia="ko-KR"/>
        </w:rPr>
        <w:t>CU</w:t>
      </w:r>
      <w:r>
        <w:rPr>
          <w:lang w:val="en-CA" w:eastAsia="ko-KR"/>
        </w:rPr>
        <w:t xml:space="preserve">. However, </w:t>
      </w:r>
      <w:r w:rsidR="00991E98">
        <w:rPr>
          <w:lang w:val="en-CA" w:eastAsia="ko-KR"/>
        </w:rPr>
        <w:t>when</w:t>
      </w:r>
      <w:r>
        <w:rPr>
          <w:lang w:val="en-CA" w:eastAsia="ko-KR"/>
        </w:rPr>
        <w:t xml:space="preserve"> the aspect ratio of the </w:t>
      </w:r>
      <w:r w:rsidR="00991E98">
        <w:rPr>
          <w:lang w:val="en-CA" w:eastAsia="ko-KR"/>
        </w:rPr>
        <w:t>CU and sub-CU</w:t>
      </w:r>
      <w:r>
        <w:rPr>
          <w:lang w:val="en-CA" w:eastAsia="ko-KR"/>
        </w:rPr>
        <w:t xml:space="preserve"> </w:t>
      </w:r>
      <w:r w:rsidR="00991E98">
        <w:rPr>
          <w:lang w:val="en-CA" w:eastAsia="ko-KR"/>
        </w:rPr>
        <w:t>partitioned by ISP is</w:t>
      </w:r>
      <w:r>
        <w:rPr>
          <w:lang w:val="en-CA" w:eastAsia="ko-KR"/>
        </w:rPr>
        <w:t xml:space="preserve"> different, it is not appropriate to apply the intra mode</w:t>
      </w:r>
      <w:r w:rsidR="00991E98">
        <w:rPr>
          <w:lang w:val="en-CA" w:eastAsia="ko-KR"/>
        </w:rPr>
        <w:t xml:space="preserve"> for sub-CU, derived from CU. </w:t>
      </w:r>
      <w:r>
        <w:rPr>
          <w:lang w:val="en-CA" w:eastAsia="ko-KR"/>
        </w:rPr>
        <w:t>Therefore, this contribution propose</w:t>
      </w:r>
      <w:r w:rsidR="00991E98">
        <w:rPr>
          <w:lang w:val="en-CA" w:eastAsia="ko-KR"/>
        </w:rPr>
        <w:t>s</w:t>
      </w:r>
      <w:r>
        <w:rPr>
          <w:lang w:val="en-CA" w:eastAsia="ko-KR"/>
        </w:rPr>
        <w:t xml:space="preserve"> a method of determining the intra mode of sub-partition </w:t>
      </w:r>
      <w:r w:rsidR="00991E98">
        <w:rPr>
          <w:lang w:val="en-CA" w:eastAsia="ko-KR"/>
        </w:rPr>
        <w:t>CU partitioned by ISP</w:t>
      </w:r>
      <w:r>
        <w:rPr>
          <w:lang w:val="en-CA" w:eastAsia="ko-KR"/>
        </w:rPr>
        <w:t>.</w:t>
      </w:r>
    </w:p>
    <w:p w14:paraId="2A3EFF70" w14:textId="043B74FF" w:rsidR="00FE4F62" w:rsidRPr="00CD2437" w:rsidRDefault="00FE4F62" w:rsidP="00432046">
      <w:pPr>
        <w:rPr>
          <w:lang w:eastAsia="zh-CN"/>
        </w:rPr>
      </w:pPr>
    </w:p>
    <w:p w14:paraId="46507079" w14:textId="77777777" w:rsidR="00243507" w:rsidRDefault="00243507" w:rsidP="00243507">
      <w:pPr>
        <w:pStyle w:val="1"/>
        <w:rPr>
          <w:rFonts w:eastAsiaTheme="minorEastAsia"/>
          <w:lang w:val="en-CA" w:eastAsia="ko-KR"/>
        </w:rPr>
      </w:pPr>
      <w:r>
        <w:rPr>
          <w:rFonts w:eastAsiaTheme="minorEastAsia"/>
          <w:lang w:val="en-CA" w:eastAsia="ko-KR"/>
        </w:rPr>
        <w:t>Proposed method</w:t>
      </w:r>
    </w:p>
    <w:p w14:paraId="5445E88A" w14:textId="2759A5C3" w:rsidR="007C69A8" w:rsidRDefault="00DD5042" w:rsidP="00243507">
      <w:pPr>
        <w:rPr>
          <w:lang w:val="en-CA" w:eastAsia="ko-KR"/>
        </w:rPr>
      </w:pPr>
      <w:r>
        <w:rPr>
          <w:szCs w:val="22"/>
          <w:lang w:val="en-CA"/>
        </w:rPr>
        <w:t>We propose</w:t>
      </w:r>
      <w:r w:rsidR="00070143">
        <w:rPr>
          <w:szCs w:val="22"/>
          <w:lang w:val="en-CA"/>
        </w:rPr>
        <w:t xml:space="preserve"> a WAIP restriction condition for the ISP block when a CU block is partitioned into non-square sub-CU blocks. </w:t>
      </w:r>
      <w:r w:rsidR="00243507">
        <w:rPr>
          <w:lang w:val="en-CA" w:eastAsia="ko-KR"/>
        </w:rPr>
        <w:t xml:space="preserve">We restrict </w:t>
      </w:r>
      <w:r w:rsidR="00070143">
        <w:rPr>
          <w:lang w:val="en-CA" w:eastAsia="ko-KR"/>
        </w:rPr>
        <w:t xml:space="preserve">the WAIP </w:t>
      </w:r>
      <w:r w:rsidR="003C5F47">
        <w:rPr>
          <w:lang w:val="en-CA" w:eastAsia="ko-KR"/>
        </w:rPr>
        <w:t xml:space="preserve">mode for </w:t>
      </w:r>
      <w:r w:rsidR="00070143">
        <w:rPr>
          <w:lang w:val="en-CA" w:eastAsia="ko-KR"/>
        </w:rPr>
        <w:t>square sub-CU blocks</w:t>
      </w:r>
      <w:r w:rsidR="007C69A8">
        <w:rPr>
          <w:lang w:val="en-CA" w:eastAsia="ko-KR"/>
        </w:rPr>
        <w:t xml:space="preserve">, partitioned by ISP from CU. </w:t>
      </w:r>
    </w:p>
    <w:p w14:paraId="3538FDB0" w14:textId="18CCC5C7" w:rsidR="007C69A8" w:rsidRDefault="007C69A8" w:rsidP="00243507">
      <w:pPr>
        <w:rPr>
          <w:rFonts w:eastAsia="맑은 고딕"/>
          <w:lang w:val="en-CA" w:eastAsia="ko-KR"/>
        </w:rPr>
      </w:pPr>
    </w:p>
    <w:p w14:paraId="02CC1C9E" w14:textId="09E4AB17" w:rsidR="007C69A8" w:rsidRDefault="007C69A8" w:rsidP="00243507">
      <w:pPr>
        <w:rPr>
          <w:rFonts w:eastAsia="맑은 고딕"/>
          <w:lang w:val="en-CA" w:eastAsia="ko-KR"/>
        </w:rPr>
      </w:pPr>
    </w:p>
    <w:p w14:paraId="24843B3E" w14:textId="2564C23A" w:rsidR="007C69A8" w:rsidRDefault="007C69A8" w:rsidP="00243507">
      <w:pPr>
        <w:rPr>
          <w:rFonts w:eastAsia="맑은 고딕"/>
          <w:lang w:val="en-CA" w:eastAsia="ko-KR"/>
        </w:rPr>
      </w:pPr>
    </w:p>
    <w:p w14:paraId="257BF1F4" w14:textId="77777777" w:rsidR="007C69A8" w:rsidRPr="007C69A8" w:rsidRDefault="007C69A8" w:rsidP="00243507">
      <w:pPr>
        <w:rPr>
          <w:rFonts w:eastAsia="맑은 고딕"/>
          <w:lang w:val="en-CA" w:eastAsia="ko-KR"/>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E229C" w14:paraId="4EB3F730" w14:textId="77777777" w:rsidTr="004E229C">
        <w:tc>
          <w:tcPr>
            <w:tcW w:w="4675" w:type="dxa"/>
            <w:vAlign w:val="center"/>
          </w:tcPr>
          <w:p w14:paraId="22015448" w14:textId="66F0B46B" w:rsidR="004E229C" w:rsidRDefault="004E229C" w:rsidP="004E229C">
            <w:pPr>
              <w:jc w:val="center"/>
              <w:rPr>
                <w:rFonts w:eastAsia="맑은 고딕"/>
                <w:lang w:val="en-CA" w:eastAsia="ko-KR"/>
              </w:rPr>
            </w:pPr>
            <w:r>
              <w:rPr>
                <w:noProof/>
                <w:lang w:eastAsia="ko-KR"/>
              </w:rPr>
              <w:lastRenderedPageBreak/>
              <w:drawing>
                <wp:inline distT="0" distB="0" distL="0" distR="0" wp14:anchorId="3B466C40" wp14:editId="17B3A500">
                  <wp:extent cx="2095877" cy="549115"/>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26587" cy="557161"/>
                          </a:xfrm>
                          <a:prstGeom prst="rect">
                            <a:avLst/>
                          </a:prstGeom>
                        </pic:spPr>
                      </pic:pic>
                    </a:graphicData>
                  </a:graphic>
                </wp:inline>
              </w:drawing>
            </w:r>
          </w:p>
        </w:tc>
        <w:tc>
          <w:tcPr>
            <w:tcW w:w="4675" w:type="dxa"/>
          </w:tcPr>
          <w:p w14:paraId="280B25C0" w14:textId="007A306E" w:rsidR="004E229C" w:rsidRDefault="004E229C" w:rsidP="00045829">
            <w:pPr>
              <w:jc w:val="center"/>
              <w:rPr>
                <w:rFonts w:eastAsia="맑은 고딕"/>
                <w:lang w:val="en-CA" w:eastAsia="ko-KR"/>
              </w:rPr>
            </w:pPr>
            <w:r>
              <w:rPr>
                <w:rFonts w:eastAsia="맑은 고딕" w:hint="eastAsia"/>
                <w:noProof/>
                <w:lang w:eastAsia="ko-KR"/>
              </w:rPr>
              <w:drawing>
                <wp:inline distT="0" distB="0" distL="0" distR="0" wp14:anchorId="6AA09CBD" wp14:editId="2EA9E205">
                  <wp:extent cx="1955536" cy="1066014"/>
                  <wp:effectExtent l="0" t="0" r="6985" b="127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6773" cy="1072140"/>
                          </a:xfrm>
                          <a:prstGeom prst="rect">
                            <a:avLst/>
                          </a:prstGeom>
                        </pic:spPr>
                      </pic:pic>
                    </a:graphicData>
                  </a:graphic>
                </wp:inline>
              </w:drawing>
            </w:r>
          </w:p>
        </w:tc>
      </w:tr>
      <w:tr w:rsidR="004E229C" w14:paraId="5894ACBB" w14:textId="77777777" w:rsidTr="004E229C">
        <w:tc>
          <w:tcPr>
            <w:tcW w:w="4675" w:type="dxa"/>
            <w:vAlign w:val="center"/>
          </w:tcPr>
          <w:p w14:paraId="08956427" w14:textId="1B06C43A" w:rsidR="004E229C" w:rsidRPr="004E229C" w:rsidRDefault="004E229C" w:rsidP="004E229C">
            <w:pPr>
              <w:jc w:val="center"/>
              <w:rPr>
                <w:rFonts w:eastAsia="맑은 고딕"/>
                <w:noProof/>
                <w:lang w:eastAsia="ko-KR"/>
              </w:rPr>
            </w:pPr>
            <w:r>
              <w:rPr>
                <w:rFonts w:eastAsia="맑은 고딕" w:hint="eastAsia"/>
                <w:noProof/>
                <w:lang w:eastAsia="ko-KR"/>
              </w:rPr>
              <w:t>(a)</w:t>
            </w:r>
            <w:r>
              <w:rPr>
                <w:rFonts w:eastAsia="맑은 고딕"/>
                <w:noProof/>
                <w:lang w:eastAsia="ko-KR"/>
              </w:rPr>
              <w:t xml:space="preserve"> A 8</w:t>
            </w:r>
            <m:oMath>
              <m:r>
                <m:rPr>
                  <m:sty m:val="p"/>
                </m:rPr>
                <w:rPr>
                  <w:rFonts w:ascii="Cambria Math" w:eastAsia="맑은 고딕" w:hAnsi="Cambria Math"/>
                  <w:noProof/>
                  <w:lang w:eastAsia="ko-KR"/>
                </w:rPr>
                <m:t>×</m:t>
              </m:r>
            </m:oMath>
            <w:r>
              <w:rPr>
                <w:rFonts w:eastAsia="맑은 고딕"/>
                <w:noProof/>
                <w:lang w:eastAsia="ko-KR"/>
              </w:rPr>
              <w:t>4 CU block partitioned to two 4</w:t>
            </w:r>
            <m:oMath>
              <m:r>
                <m:rPr>
                  <m:sty m:val="p"/>
                </m:rPr>
                <w:rPr>
                  <w:rFonts w:ascii="Cambria Math" w:eastAsia="맑은 고딕" w:hAnsi="Cambria Math"/>
                  <w:noProof/>
                  <w:lang w:eastAsia="ko-KR"/>
                </w:rPr>
                <m:t>×</m:t>
              </m:r>
            </m:oMath>
            <w:r>
              <w:rPr>
                <w:rFonts w:eastAsia="맑은 고딕"/>
                <w:noProof/>
                <w:lang w:eastAsia="ko-KR"/>
              </w:rPr>
              <w:t>4 square sub-blocks</w:t>
            </w:r>
          </w:p>
        </w:tc>
        <w:tc>
          <w:tcPr>
            <w:tcW w:w="4675" w:type="dxa"/>
          </w:tcPr>
          <w:p w14:paraId="662FF346" w14:textId="4DA859F5" w:rsidR="004E229C" w:rsidRDefault="004E229C" w:rsidP="004E229C">
            <w:pPr>
              <w:jc w:val="center"/>
              <w:rPr>
                <w:rFonts w:eastAsia="맑은 고딕"/>
                <w:noProof/>
                <w:lang w:eastAsia="ko-KR"/>
              </w:rPr>
            </w:pPr>
            <w:r>
              <w:rPr>
                <w:rFonts w:eastAsia="맑은 고딕" w:hint="eastAsia"/>
                <w:noProof/>
                <w:lang w:eastAsia="ko-KR"/>
              </w:rPr>
              <w:t>(b)</w:t>
            </w:r>
            <w:r>
              <w:rPr>
                <w:rFonts w:eastAsia="맑은 고딕"/>
                <w:noProof/>
                <w:lang w:eastAsia="ko-KR"/>
              </w:rPr>
              <w:t xml:space="preserve"> A 4</w:t>
            </w:r>
            <m:oMath>
              <m:r>
                <m:rPr>
                  <m:sty m:val="p"/>
                </m:rPr>
                <w:rPr>
                  <w:rFonts w:ascii="Cambria Math" w:eastAsia="맑은 고딕" w:hAnsi="Cambria Math"/>
                  <w:noProof/>
                  <w:lang w:eastAsia="ko-KR"/>
                </w:rPr>
                <m:t>×8</m:t>
              </m:r>
            </m:oMath>
            <w:r>
              <w:rPr>
                <w:rFonts w:eastAsia="맑은 고딕"/>
                <w:noProof/>
                <w:lang w:eastAsia="ko-KR"/>
              </w:rPr>
              <w:t xml:space="preserve"> CU block partitioned to two 4</w:t>
            </w:r>
            <m:oMath>
              <m:r>
                <m:rPr>
                  <m:sty m:val="p"/>
                </m:rPr>
                <w:rPr>
                  <w:rFonts w:ascii="Cambria Math" w:eastAsia="맑은 고딕" w:hAnsi="Cambria Math"/>
                  <w:noProof/>
                  <w:lang w:eastAsia="ko-KR"/>
                </w:rPr>
                <m:t>×</m:t>
              </m:r>
            </m:oMath>
            <w:r>
              <w:rPr>
                <w:rFonts w:eastAsia="맑은 고딕"/>
                <w:noProof/>
                <w:lang w:eastAsia="ko-KR"/>
              </w:rPr>
              <w:t>4 square sub-blocks</w:t>
            </w:r>
          </w:p>
        </w:tc>
      </w:tr>
    </w:tbl>
    <w:p w14:paraId="7986449F" w14:textId="08E99C4C" w:rsidR="007C69A8" w:rsidRDefault="007C69A8" w:rsidP="00384849">
      <w:pPr>
        <w:spacing w:before="0"/>
        <w:rPr>
          <w:rFonts w:eastAsia="맑은 고딕"/>
          <w:lang w:val="en-CA" w:eastAsia="ko-KR"/>
        </w:rPr>
      </w:pPr>
      <w:r>
        <w:rPr>
          <w:rFonts w:eastAsia="맑은 고딕" w:hint="eastAsia"/>
          <w:lang w:val="en-CA" w:eastAsia="ko-KR"/>
        </w:rPr>
        <w:t xml:space="preserve">Fig. 1. An example of WAIP restriction. </w:t>
      </w:r>
      <w:r>
        <w:rPr>
          <w:rFonts w:eastAsia="맑은 고딕"/>
          <w:lang w:val="en-CA" w:eastAsia="ko-KR"/>
        </w:rPr>
        <w:t>When a non-squ</w:t>
      </w:r>
      <w:r w:rsidR="006D4E33">
        <w:rPr>
          <w:rFonts w:eastAsia="맑은 고딕"/>
          <w:lang w:val="en-CA" w:eastAsia="ko-KR"/>
        </w:rPr>
        <w:t>a</w:t>
      </w:r>
      <w:r>
        <w:rPr>
          <w:rFonts w:eastAsia="맑은 고딕"/>
          <w:lang w:val="en-CA" w:eastAsia="ko-KR"/>
        </w:rPr>
        <w:t>re CU block of 8</w:t>
      </w:r>
      <m:oMath>
        <m:r>
          <m:rPr>
            <m:sty m:val="p"/>
          </m:rPr>
          <w:rPr>
            <w:rFonts w:ascii="Cambria Math" w:eastAsia="맑은 고딕" w:hAnsi="Cambria Math"/>
            <w:lang w:val="en-CA" w:eastAsia="ko-KR"/>
          </w:rPr>
          <m:t>×</m:t>
        </m:r>
      </m:oMath>
      <w:r>
        <w:rPr>
          <w:rFonts w:eastAsia="맑은 고딕"/>
          <w:lang w:val="en-CA" w:eastAsia="ko-KR"/>
        </w:rPr>
        <w:t xml:space="preserve">4 </w:t>
      </w:r>
      <w:r w:rsidR="00045829">
        <w:rPr>
          <w:rFonts w:eastAsia="맑은 고딕"/>
          <w:lang w:val="en-CA" w:eastAsia="ko-KR"/>
        </w:rPr>
        <w:t>(or 4</w:t>
      </w:r>
      <m:oMath>
        <m:r>
          <m:rPr>
            <m:sty m:val="p"/>
          </m:rPr>
          <w:rPr>
            <w:rFonts w:ascii="Cambria Math" w:eastAsia="맑은 고딕" w:hAnsi="Cambria Math"/>
            <w:lang w:val="en-CA" w:eastAsia="ko-KR"/>
          </w:rPr>
          <m:t>×</m:t>
        </m:r>
      </m:oMath>
      <w:r w:rsidR="00045829">
        <w:rPr>
          <w:rFonts w:eastAsia="맑은 고딕"/>
          <w:lang w:val="en-CA" w:eastAsia="ko-KR"/>
        </w:rPr>
        <w:t xml:space="preserve">8) </w:t>
      </w:r>
      <w:r>
        <w:rPr>
          <w:rFonts w:eastAsia="맑은 고딕"/>
          <w:lang w:val="en-CA" w:eastAsia="ko-KR"/>
        </w:rPr>
        <w:t>is partitioned to two 4x4 sub-CU block, the WAIP is restricted for each square 4</w:t>
      </w:r>
      <m:oMath>
        <m:r>
          <m:rPr>
            <m:sty m:val="p"/>
          </m:rPr>
          <w:rPr>
            <w:rFonts w:ascii="Cambria Math" w:eastAsia="맑은 고딕" w:hAnsi="Cambria Math"/>
            <w:lang w:val="en-CA" w:eastAsia="ko-KR"/>
          </w:rPr>
          <m:t>×</m:t>
        </m:r>
      </m:oMath>
      <w:r>
        <w:rPr>
          <w:rFonts w:eastAsia="맑은 고딕"/>
          <w:lang w:val="en-CA" w:eastAsia="ko-KR"/>
        </w:rPr>
        <w:t xml:space="preserve">4 sub-CU block  </w:t>
      </w:r>
    </w:p>
    <w:p w14:paraId="23B32F3C" w14:textId="77777777" w:rsidR="00384849" w:rsidRDefault="00384849" w:rsidP="00243507">
      <w:pPr>
        <w:rPr>
          <w:rFonts w:eastAsia="맑은 고딕"/>
          <w:lang w:val="en-CA" w:eastAsia="ko-KR"/>
        </w:rPr>
      </w:pPr>
    </w:p>
    <w:p w14:paraId="1D27FA1B" w14:textId="5A5255D2" w:rsidR="004E229C" w:rsidRPr="004E229C" w:rsidRDefault="004E229C" w:rsidP="00243507">
      <w:pPr>
        <w:rPr>
          <w:rFonts w:eastAsia="맑은 고딕"/>
          <w:lang w:val="en-CA" w:eastAsia="ko-KR"/>
        </w:rPr>
      </w:pPr>
      <w:r>
        <w:rPr>
          <w:rFonts w:eastAsia="맑은 고딕"/>
          <w:lang w:val="en-CA" w:eastAsia="ko-KR"/>
        </w:rPr>
        <w:t xml:space="preserve">The CU block sizes for the proposed WAIP restriction for sub-CU blocks can be </w:t>
      </w:r>
      <w:r>
        <w:rPr>
          <w:lang w:val="en-CA" w:eastAsia="ko-KR"/>
        </w:rPr>
        <w:t>4</w:t>
      </w:r>
      <m:oMath>
        <m:r>
          <m:rPr>
            <m:sty m:val="p"/>
          </m:rPr>
          <w:rPr>
            <w:rFonts w:ascii="Cambria Math" w:eastAsia="맑은 고딕" w:hAnsi="Cambria Math"/>
            <w:lang w:val="en-CA" w:eastAsia="ko-KR"/>
          </w:rPr>
          <m:t>×</m:t>
        </m:r>
      </m:oMath>
      <w:r>
        <w:rPr>
          <w:lang w:val="en-CA" w:eastAsia="ko-KR"/>
        </w:rPr>
        <w:t>8,</w:t>
      </w:r>
      <w:r w:rsidRPr="003C5F47">
        <w:rPr>
          <w:lang w:val="en-CA" w:eastAsia="ko-KR"/>
        </w:rPr>
        <w:t xml:space="preserve"> </w:t>
      </w:r>
      <w:r>
        <w:rPr>
          <w:lang w:val="en-CA" w:eastAsia="ko-KR"/>
        </w:rPr>
        <w:t>8</w:t>
      </w:r>
      <m:oMath>
        <m:r>
          <m:rPr>
            <m:sty m:val="p"/>
          </m:rPr>
          <w:rPr>
            <w:rFonts w:ascii="Cambria Math" w:eastAsia="맑은 고딕" w:hAnsi="Cambria Math"/>
            <w:lang w:val="en-CA" w:eastAsia="ko-KR"/>
          </w:rPr>
          <m:t>×</m:t>
        </m:r>
      </m:oMath>
      <w:r>
        <w:rPr>
          <w:lang w:val="en-CA" w:eastAsia="ko-KR"/>
        </w:rPr>
        <w:t>4, 4</w:t>
      </w:r>
      <m:oMath>
        <m:r>
          <m:rPr>
            <m:sty m:val="p"/>
          </m:rPr>
          <w:rPr>
            <w:rFonts w:ascii="Cambria Math" w:eastAsia="맑은 고딕" w:hAnsi="Cambria Math"/>
            <w:lang w:val="en-CA" w:eastAsia="ko-KR"/>
          </w:rPr>
          <m:t>×</m:t>
        </m:r>
      </m:oMath>
      <w:r>
        <w:rPr>
          <w:lang w:val="en-CA" w:eastAsia="ko-KR"/>
        </w:rPr>
        <w:t>16 and 16</w:t>
      </w:r>
      <m:oMath>
        <m:r>
          <m:rPr>
            <m:sty m:val="p"/>
          </m:rPr>
          <w:rPr>
            <w:rFonts w:ascii="Cambria Math" w:eastAsia="맑은 고딕" w:hAnsi="Cambria Math"/>
            <w:lang w:val="en-CA" w:eastAsia="ko-KR"/>
          </w:rPr>
          <m:t>×</m:t>
        </m:r>
      </m:oMath>
      <w:r>
        <w:rPr>
          <w:lang w:val="en-CA" w:eastAsia="ko-KR"/>
        </w:rPr>
        <w:t xml:space="preserve">4 because these non-square CU blocks can produce the square sub-CU blocks by ISP. </w:t>
      </w:r>
    </w:p>
    <w:p w14:paraId="15B93D23" w14:textId="6AEF2788" w:rsidR="000455A8" w:rsidRDefault="000455A8" w:rsidP="00243507">
      <w:pPr>
        <w:rPr>
          <w:lang w:val="en-CA" w:eastAsia="ko-KR"/>
        </w:rPr>
      </w:pPr>
      <w:r>
        <w:rPr>
          <w:lang w:val="en-CA" w:eastAsia="ko-KR"/>
        </w:rPr>
        <w:t xml:space="preserve">For the consistency of applying the </w:t>
      </w:r>
      <w:r w:rsidR="0048307A">
        <w:rPr>
          <w:lang w:val="en-CA" w:eastAsia="ko-KR"/>
        </w:rPr>
        <w:t>WAIP</w:t>
      </w:r>
      <w:r>
        <w:rPr>
          <w:lang w:val="en-CA" w:eastAsia="ko-KR"/>
        </w:rPr>
        <w:t xml:space="preserve"> for </w:t>
      </w:r>
      <w:r w:rsidR="00384849">
        <w:rPr>
          <w:lang w:val="en-CA" w:eastAsia="ko-KR"/>
        </w:rPr>
        <w:t xml:space="preserve">non-square </w:t>
      </w:r>
      <w:r>
        <w:rPr>
          <w:lang w:val="en-CA" w:eastAsia="ko-KR"/>
        </w:rPr>
        <w:t xml:space="preserve">sub-CU, </w:t>
      </w:r>
      <w:r w:rsidR="004F1FB8">
        <w:rPr>
          <w:lang w:val="en-CA" w:eastAsia="ko-KR"/>
        </w:rPr>
        <w:t xml:space="preserve">we propose to </w:t>
      </w:r>
      <w:r>
        <w:rPr>
          <w:lang w:val="en-CA" w:eastAsia="ko-KR"/>
        </w:rPr>
        <w:t xml:space="preserve">determine the </w:t>
      </w:r>
      <w:r w:rsidR="00384849">
        <w:rPr>
          <w:lang w:val="en-CA" w:eastAsia="ko-KR"/>
        </w:rPr>
        <w:t>WAIP</w:t>
      </w:r>
      <w:r>
        <w:rPr>
          <w:lang w:val="en-CA" w:eastAsia="ko-KR"/>
        </w:rPr>
        <w:t xml:space="preserve"> based on the non-square blocks only.</w:t>
      </w:r>
    </w:p>
    <w:p w14:paraId="73CC7275" w14:textId="77777777" w:rsidR="00384849" w:rsidRDefault="00384849" w:rsidP="00243507">
      <w:pPr>
        <w:rPr>
          <w:lang w:val="en-CA" w:eastAsia="ko-KR"/>
        </w:rPr>
      </w:pPr>
    </w:p>
    <w:p w14:paraId="18B4DCEF" w14:textId="64B51728" w:rsidR="00897273" w:rsidRDefault="003C5F47" w:rsidP="00897273">
      <w:pPr>
        <w:pStyle w:val="1"/>
        <w:rPr>
          <w:rFonts w:cs="Times New Roman"/>
          <w:lang w:val="en-CA"/>
        </w:rPr>
      </w:pPr>
      <w:r>
        <w:rPr>
          <w:rFonts w:cs="Times New Roman"/>
          <w:lang w:val="en-CA"/>
        </w:rPr>
        <w:t>Experimental Results</w:t>
      </w:r>
    </w:p>
    <w:p w14:paraId="12464B93" w14:textId="2FD4214B" w:rsidR="003C5F47" w:rsidRDefault="00FC2E0F" w:rsidP="003C5F47">
      <w:pPr>
        <w:rPr>
          <w:szCs w:val="22"/>
          <w:lang w:val="en-CA"/>
        </w:rPr>
      </w:pPr>
      <w:r>
        <w:rPr>
          <w:szCs w:val="22"/>
          <w:lang w:val="en-CA"/>
        </w:rPr>
        <w:t>The proposed modification is integrated into VTM-5.0 and the results of the proposed implementation are shown below against the VTM-5.0 under CTC test conditions.</w:t>
      </w:r>
    </w:p>
    <w:p w14:paraId="56D0E33F" w14:textId="034D4D68" w:rsidR="00FC2E0F" w:rsidRPr="00991E98" w:rsidRDefault="00FC2E0F" w:rsidP="00390BD3">
      <w:pPr>
        <w:pStyle w:val="ab"/>
        <w:jc w:val="center"/>
        <w:rPr>
          <w:i w:val="0"/>
          <w:sz w:val="22"/>
          <w:szCs w:val="22"/>
        </w:rPr>
      </w:pPr>
      <w:r w:rsidRPr="00991E98">
        <w:rPr>
          <w:i w:val="0"/>
          <w:sz w:val="22"/>
          <w:szCs w:val="22"/>
        </w:rPr>
        <w:t xml:space="preserve">Table </w:t>
      </w:r>
      <w:r w:rsidRPr="00991E98">
        <w:rPr>
          <w:i w:val="0"/>
          <w:noProof/>
          <w:sz w:val="22"/>
          <w:szCs w:val="22"/>
        </w:rPr>
        <w:t>1</w:t>
      </w:r>
      <w:r w:rsidRPr="00991E98">
        <w:rPr>
          <w:i w:val="0"/>
          <w:sz w:val="22"/>
          <w:szCs w:val="22"/>
        </w:rPr>
        <w:t>. Performance of the proposed modification under All Intra</w:t>
      </w:r>
    </w:p>
    <w:tbl>
      <w:tblPr>
        <w:tblW w:w="7061" w:type="dxa"/>
        <w:jc w:val="center"/>
        <w:tblLook w:val="04A0" w:firstRow="1" w:lastRow="0" w:firstColumn="1" w:lastColumn="0" w:noHBand="0" w:noVBand="1"/>
      </w:tblPr>
      <w:tblGrid>
        <w:gridCol w:w="1640"/>
        <w:gridCol w:w="1060"/>
        <w:gridCol w:w="1060"/>
        <w:gridCol w:w="1181"/>
        <w:gridCol w:w="1060"/>
        <w:gridCol w:w="1060"/>
      </w:tblGrid>
      <w:tr w:rsidR="00FC2E0F" w14:paraId="242FD6F3" w14:textId="77777777" w:rsidTr="00FC2E0F">
        <w:trPr>
          <w:trHeight w:val="255"/>
          <w:jc w:val="center"/>
        </w:trPr>
        <w:tc>
          <w:tcPr>
            <w:tcW w:w="1640" w:type="dxa"/>
            <w:noWrap/>
            <w:vAlign w:val="center"/>
            <w:hideMark/>
          </w:tcPr>
          <w:p w14:paraId="26AABB95" w14:textId="77777777" w:rsidR="00FC2E0F" w:rsidRDefault="00FC2E0F"/>
        </w:tc>
        <w:tc>
          <w:tcPr>
            <w:tcW w:w="1060" w:type="dxa"/>
            <w:tcBorders>
              <w:top w:val="single" w:sz="8" w:space="0" w:color="auto"/>
              <w:left w:val="single" w:sz="8" w:space="0" w:color="auto"/>
              <w:bottom w:val="single" w:sz="8" w:space="0" w:color="auto"/>
              <w:right w:val="nil"/>
            </w:tcBorders>
            <w:noWrap/>
            <w:vAlign w:val="center"/>
            <w:hideMark/>
          </w:tcPr>
          <w:p w14:paraId="7EEB18D8"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noWrap/>
            <w:vAlign w:val="center"/>
            <w:hideMark/>
          </w:tcPr>
          <w:p w14:paraId="1C250EE2"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noWrap/>
            <w:vAlign w:val="center"/>
            <w:hideMark/>
          </w:tcPr>
          <w:p w14:paraId="54B8A3AE"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noWrap/>
            <w:vAlign w:val="center"/>
            <w:hideMark/>
          </w:tcPr>
          <w:p w14:paraId="4A6C3129"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noWrap/>
            <w:vAlign w:val="center"/>
            <w:hideMark/>
          </w:tcPr>
          <w:p w14:paraId="33A6E1C3" w14:textId="77777777" w:rsidR="00FC2E0F" w:rsidRDefault="00FC2E0F">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r>
      <w:tr w:rsidR="00FC2E0F" w14:paraId="79B09DAA" w14:textId="77777777" w:rsidTr="00FC2E0F">
        <w:trPr>
          <w:trHeight w:val="255"/>
          <w:jc w:val="center"/>
        </w:trPr>
        <w:tc>
          <w:tcPr>
            <w:tcW w:w="1640" w:type="dxa"/>
            <w:noWrap/>
            <w:vAlign w:val="center"/>
            <w:hideMark/>
          </w:tcPr>
          <w:p w14:paraId="5A55EB56" w14:textId="77777777" w:rsidR="00FC2E0F" w:rsidRDefault="00FC2E0F">
            <w:pPr>
              <w:rPr>
                <w:rFonts w:ascii="Calibri" w:eastAsia="Times New Roman" w:hAnsi="Calibri"/>
                <w:color w:val="000000"/>
                <w:sz w:val="24"/>
                <w:szCs w:val="24"/>
                <w:lang w:eastAsia="zh-TW"/>
              </w:rPr>
            </w:pPr>
          </w:p>
        </w:tc>
        <w:tc>
          <w:tcPr>
            <w:tcW w:w="5421" w:type="dxa"/>
            <w:gridSpan w:val="5"/>
            <w:tcBorders>
              <w:top w:val="nil"/>
              <w:left w:val="single" w:sz="8" w:space="0" w:color="auto"/>
              <w:bottom w:val="nil"/>
              <w:right w:val="single" w:sz="8" w:space="0" w:color="auto"/>
            </w:tcBorders>
            <w:noWrap/>
            <w:vAlign w:val="center"/>
            <w:hideMark/>
          </w:tcPr>
          <w:p w14:paraId="2D3231E3" w14:textId="432B163F"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OverVTM-5.0 </w:t>
            </w:r>
          </w:p>
        </w:tc>
      </w:tr>
      <w:tr w:rsidR="00FC2E0F" w14:paraId="22265CCD" w14:textId="77777777" w:rsidTr="00FC2E0F">
        <w:trPr>
          <w:trHeight w:val="255"/>
          <w:jc w:val="center"/>
        </w:trPr>
        <w:tc>
          <w:tcPr>
            <w:tcW w:w="1640" w:type="dxa"/>
            <w:noWrap/>
            <w:vAlign w:val="center"/>
            <w:hideMark/>
          </w:tcPr>
          <w:p w14:paraId="079D788D" w14:textId="77777777" w:rsidR="00FC2E0F" w:rsidRDefault="00FC2E0F">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3F265B04"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3D7E7F38"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38E36E39"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0808433F"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400886C0"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FC2E0F" w14:paraId="78F4432E"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34C2F146"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35AEEB3D" w14:textId="0C903688" w:rsidR="00FC2E0F" w:rsidRPr="00E43ABA" w:rsidRDefault="00E43ABA" w:rsidP="00E43A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noWrap/>
            <w:vAlign w:val="center"/>
          </w:tcPr>
          <w:p w14:paraId="128350B7" w14:textId="300A9CBF"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-0.05%</w:t>
            </w:r>
          </w:p>
        </w:tc>
        <w:tc>
          <w:tcPr>
            <w:tcW w:w="1181" w:type="dxa"/>
            <w:tcBorders>
              <w:top w:val="nil"/>
              <w:left w:val="nil"/>
              <w:bottom w:val="nil"/>
              <w:right w:val="single" w:sz="4" w:space="0" w:color="auto"/>
            </w:tcBorders>
            <w:noWrap/>
            <w:vAlign w:val="center"/>
          </w:tcPr>
          <w:p w14:paraId="52BC2FE1" w14:textId="232A1C42"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noWrap/>
            <w:vAlign w:val="center"/>
          </w:tcPr>
          <w:p w14:paraId="1885BBCF" w14:textId="68A84B00"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noWrap/>
            <w:vAlign w:val="center"/>
          </w:tcPr>
          <w:p w14:paraId="5D82AB58" w14:textId="6CD2ACA0"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r>
      <w:tr w:rsidR="00FC2E0F" w14:paraId="7369B221"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4DC23159"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2DEC0411" w14:textId="3134449E"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0.00%</w:t>
            </w:r>
          </w:p>
        </w:tc>
        <w:tc>
          <w:tcPr>
            <w:tcW w:w="1060" w:type="dxa"/>
            <w:noWrap/>
            <w:vAlign w:val="center"/>
          </w:tcPr>
          <w:p w14:paraId="5264C6C2" w14:textId="06E42CC5"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noWrap/>
            <w:vAlign w:val="center"/>
          </w:tcPr>
          <w:p w14:paraId="7F29DE5C" w14:textId="798B2A54"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-0.35%</w:t>
            </w:r>
          </w:p>
        </w:tc>
        <w:tc>
          <w:tcPr>
            <w:tcW w:w="1060" w:type="dxa"/>
            <w:noWrap/>
            <w:vAlign w:val="center"/>
          </w:tcPr>
          <w:p w14:paraId="0444601E" w14:textId="50D11E2A"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noWrap/>
            <w:vAlign w:val="center"/>
          </w:tcPr>
          <w:p w14:paraId="4E281991" w14:textId="713DC7AB"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r>
      <w:tr w:rsidR="00FC2E0F" w14:paraId="535BC24C"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38E38FC1"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0D0EAB05" w14:textId="1D8A6732"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0.00%</w:t>
            </w:r>
          </w:p>
        </w:tc>
        <w:tc>
          <w:tcPr>
            <w:tcW w:w="1060" w:type="dxa"/>
            <w:noWrap/>
            <w:vAlign w:val="center"/>
          </w:tcPr>
          <w:p w14:paraId="06C3925F" w14:textId="60E14856"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-0.03%</w:t>
            </w:r>
          </w:p>
        </w:tc>
        <w:tc>
          <w:tcPr>
            <w:tcW w:w="1181" w:type="dxa"/>
            <w:tcBorders>
              <w:top w:val="nil"/>
              <w:left w:val="nil"/>
              <w:bottom w:val="nil"/>
              <w:right w:val="single" w:sz="4" w:space="0" w:color="auto"/>
            </w:tcBorders>
            <w:noWrap/>
            <w:vAlign w:val="center"/>
          </w:tcPr>
          <w:p w14:paraId="17D2F8CB" w14:textId="25218963"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-0.03%</w:t>
            </w:r>
          </w:p>
        </w:tc>
        <w:tc>
          <w:tcPr>
            <w:tcW w:w="1060" w:type="dxa"/>
            <w:noWrap/>
            <w:vAlign w:val="center"/>
          </w:tcPr>
          <w:p w14:paraId="139F32A7" w14:textId="61847DF8"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noWrap/>
            <w:vAlign w:val="center"/>
          </w:tcPr>
          <w:p w14:paraId="5D66FF44" w14:textId="13DD84FE"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r>
      <w:tr w:rsidR="00FC2E0F" w14:paraId="2FFD98D5"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239BB59"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7BD501B9" w14:textId="5C30439B"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0.00%</w:t>
            </w:r>
          </w:p>
        </w:tc>
        <w:tc>
          <w:tcPr>
            <w:tcW w:w="1060" w:type="dxa"/>
            <w:noWrap/>
            <w:vAlign w:val="center"/>
          </w:tcPr>
          <w:p w14:paraId="35AFFF7C" w14:textId="36B3909B"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181" w:type="dxa"/>
            <w:tcBorders>
              <w:top w:val="nil"/>
              <w:left w:val="nil"/>
              <w:bottom w:val="nil"/>
              <w:right w:val="single" w:sz="4" w:space="0" w:color="auto"/>
            </w:tcBorders>
            <w:noWrap/>
            <w:vAlign w:val="center"/>
          </w:tcPr>
          <w:p w14:paraId="3BE90A65" w14:textId="1D55A3C6"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0.07%</w:t>
            </w:r>
          </w:p>
        </w:tc>
        <w:tc>
          <w:tcPr>
            <w:tcW w:w="1060" w:type="dxa"/>
            <w:noWrap/>
            <w:vAlign w:val="center"/>
          </w:tcPr>
          <w:p w14:paraId="76409011" w14:textId="01E61E79"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noWrap/>
            <w:vAlign w:val="center"/>
          </w:tcPr>
          <w:p w14:paraId="25E3D20A" w14:textId="5AEEB28A"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r>
      <w:tr w:rsidR="00FC2E0F" w14:paraId="140A1AF5"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2EDCFCFF"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6EE27F67" w14:textId="56E91C4C"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noWrap/>
            <w:vAlign w:val="center"/>
          </w:tcPr>
          <w:p w14:paraId="023E782D" w14:textId="021C32B5"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-0.11%</w:t>
            </w:r>
          </w:p>
        </w:tc>
        <w:tc>
          <w:tcPr>
            <w:tcW w:w="1181" w:type="dxa"/>
            <w:tcBorders>
              <w:top w:val="nil"/>
              <w:left w:val="nil"/>
              <w:bottom w:val="nil"/>
              <w:right w:val="single" w:sz="4" w:space="0" w:color="auto"/>
            </w:tcBorders>
            <w:noWrap/>
            <w:vAlign w:val="center"/>
          </w:tcPr>
          <w:p w14:paraId="3194FD3D" w14:textId="4B18C4B2"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-0.08%</w:t>
            </w:r>
          </w:p>
        </w:tc>
        <w:tc>
          <w:tcPr>
            <w:tcW w:w="1060" w:type="dxa"/>
            <w:noWrap/>
            <w:vAlign w:val="center"/>
          </w:tcPr>
          <w:p w14:paraId="3BC3CB0E" w14:textId="649EEEA9"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noWrap/>
            <w:vAlign w:val="center"/>
          </w:tcPr>
          <w:p w14:paraId="6151A3E9" w14:textId="2D956249"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r>
      <w:tr w:rsidR="00FC2E0F" w14:paraId="5314C65B"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2B8DF66"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noWrap/>
            <w:vAlign w:val="center"/>
          </w:tcPr>
          <w:p w14:paraId="695F474F" w14:textId="783A8B49"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noWrap/>
            <w:vAlign w:val="center"/>
          </w:tcPr>
          <w:p w14:paraId="073F9A30" w14:textId="190CEF5E"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-0.03%</w:t>
            </w:r>
          </w:p>
        </w:tc>
        <w:tc>
          <w:tcPr>
            <w:tcW w:w="1181" w:type="dxa"/>
            <w:tcBorders>
              <w:top w:val="single" w:sz="8" w:space="0" w:color="auto"/>
              <w:left w:val="nil"/>
              <w:bottom w:val="nil"/>
              <w:right w:val="single" w:sz="4" w:space="0" w:color="auto"/>
            </w:tcBorders>
            <w:noWrap/>
            <w:vAlign w:val="center"/>
          </w:tcPr>
          <w:p w14:paraId="2E0AD9E9" w14:textId="21A601AB"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noWrap/>
            <w:vAlign w:val="center"/>
          </w:tcPr>
          <w:p w14:paraId="71569B81" w14:textId="478B4BD0"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noWrap/>
            <w:vAlign w:val="center"/>
          </w:tcPr>
          <w:p w14:paraId="2298983B" w14:textId="0A205035" w:rsidR="00FC2E0F" w:rsidRDefault="00834783">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99%</w:t>
            </w:r>
          </w:p>
        </w:tc>
      </w:tr>
      <w:tr w:rsidR="00FC2E0F" w14:paraId="551B23FB" w14:textId="77777777" w:rsidTr="00FC2E0F">
        <w:trPr>
          <w:trHeight w:val="255"/>
          <w:jc w:val="center"/>
        </w:trPr>
        <w:tc>
          <w:tcPr>
            <w:tcW w:w="1640" w:type="dxa"/>
            <w:tcBorders>
              <w:top w:val="single" w:sz="8" w:space="0" w:color="auto"/>
              <w:left w:val="single" w:sz="8" w:space="0" w:color="auto"/>
              <w:bottom w:val="nil"/>
              <w:right w:val="nil"/>
            </w:tcBorders>
            <w:noWrap/>
            <w:vAlign w:val="center"/>
            <w:hideMark/>
          </w:tcPr>
          <w:p w14:paraId="5F0A705E"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noWrap/>
            <w:vAlign w:val="center"/>
          </w:tcPr>
          <w:p w14:paraId="2E85A1CA" w14:textId="084EAA58"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noWrap/>
            <w:vAlign w:val="center"/>
          </w:tcPr>
          <w:p w14:paraId="579C7B7A" w14:textId="39A99B81"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0.04%</w:t>
            </w:r>
          </w:p>
        </w:tc>
        <w:tc>
          <w:tcPr>
            <w:tcW w:w="1181" w:type="dxa"/>
            <w:tcBorders>
              <w:top w:val="single" w:sz="8" w:space="0" w:color="auto"/>
              <w:left w:val="nil"/>
              <w:bottom w:val="nil"/>
              <w:right w:val="single" w:sz="4" w:space="0" w:color="auto"/>
            </w:tcBorders>
            <w:noWrap/>
            <w:vAlign w:val="center"/>
          </w:tcPr>
          <w:p w14:paraId="2939E0E5" w14:textId="161DCA34"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noWrap/>
            <w:vAlign w:val="center"/>
          </w:tcPr>
          <w:p w14:paraId="2C758869" w14:textId="2A81B455"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noWrap/>
            <w:vAlign w:val="center"/>
          </w:tcPr>
          <w:p w14:paraId="33FEE81B" w14:textId="5FDE8E80"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r>
      <w:tr w:rsidR="00FC2E0F" w14:paraId="3FEDBD09" w14:textId="77777777" w:rsidTr="00FC2E0F">
        <w:trPr>
          <w:trHeight w:val="255"/>
          <w:jc w:val="center"/>
        </w:trPr>
        <w:tc>
          <w:tcPr>
            <w:tcW w:w="1640" w:type="dxa"/>
            <w:tcBorders>
              <w:top w:val="nil"/>
              <w:left w:val="single" w:sz="8" w:space="0" w:color="auto"/>
              <w:bottom w:val="single" w:sz="8" w:space="0" w:color="auto"/>
              <w:right w:val="nil"/>
            </w:tcBorders>
            <w:noWrap/>
            <w:vAlign w:val="center"/>
            <w:hideMark/>
          </w:tcPr>
          <w:p w14:paraId="0D403BAA"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noWrap/>
            <w:vAlign w:val="center"/>
          </w:tcPr>
          <w:p w14:paraId="743D9650" w14:textId="7F6B51AA"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nil"/>
            </w:tcBorders>
            <w:noWrap/>
            <w:vAlign w:val="center"/>
          </w:tcPr>
          <w:p w14:paraId="79BC65AF" w14:textId="613FBD8D"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181" w:type="dxa"/>
            <w:tcBorders>
              <w:top w:val="nil"/>
              <w:left w:val="nil"/>
              <w:bottom w:val="single" w:sz="8" w:space="0" w:color="auto"/>
              <w:right w:val="single" w:sz="4" w:space="0" w:color="auto"/>
            </w:tcBorders>
            <w:noWrap/>
            <w:vAlign w:val="center"/>
          </w:tcPr>
          <w:p w14:paraId="4B95D6B2" w14:textId="08E64FCF"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0.02%</w:t>
            </w:r>
          </w:p>
        </w:tc>
        <w:tc>
          <w:tcPr>
            <w:tcW w:w="1060" w:type="dxa"/>
            <w:tcBorders>
              <w:top w:val="nil"/>
              <w:left w:val="nil"/>
              <w:bottom w:val="single" w:sz="8" w:space="0" w:color="auto"/>
              <w:right w:val="nil"/>
            </w:tcBorders>
            <w:noWrap/>
            <w:vAlign w:val="center"/>
          </w:tcPr>
          <w:p w14:paraId="4E5A48B3" w14:textId="4CDD9802"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noWrap/>
            <w:vAlign w:val="center"/>
          </w:tcPr>
          <w:p w14:paraId="78A3D34A" w14:textId="12470354" w:rsidR="00FC2E0F" w:rsidRDefault="00E43ABA">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100%</w:t>
            </w:r>
          </w:p>
        </w:tc>
      </w:tr>
    </w:tbl>
    <w:p w14:paraId="5A812DF4" w14:textId="77777777" w:rsidR="00991E98" w:rsidRDefault="00991E98" w:rsidP="00FC2E0F">
      <w:pPr>
        <w:pStyle w:val="ab"/>
        <w:jc w:val="center"/>
      </w:pPr>
    </w:p>
    <w:p w14:paraId="1C4E63D3" w14:textId="48720D9D" w:rsidR="00FC2E0F" w:rsidRPr="00991E98" w:rsidRDefault="00FC2E0F" w:rsidP="00FC2E0F">
      <w:pPr>
        <w:pStyle w:val="ab"/>
        <w:jc w:val="center"/>
        <w:rPr>
          <w:i w:val="0"/>
          <w:sz w:val="22"/>
          <w:szCs w:val="22"/>
        </w:rPr>
      </w:pPr>
      <w:r w:rsidRPr="00991E98">
        <w:rPr>
          <w:i w:val="0"/>
          <w:sz w:val="22"/>
          <w:szCs w:val="22"/>
        </w:rPr>
        <w:t xml:space="preserve">Table </w:t>
      </w:r>
      <w:r w:rsidRPr="00991E98">
        <w:rPr>
          <w:i w:val="0"/>
          <w:noProof/>
          <w:sz w:val="22"/>
          <w:szCs w:val="22"/>
        </w:rPr>
        <w:t>2</w:t>
      </w:r>
      <w:r w:rsidRPr="00991E98">
        <w:rPr>
          <w:i w:val="0"/>
          <w:sz w:val="22"/>
          <w:szCs w:val="22"/>
        </w:rPr>
        <w:t>. Performance of the proposed modification under Random Access</w:t>
      </w:r>
    </w:p>
    <w:tbl>
      <w:tblPr>
        <w:tblW w:w="7061" w:type="dxa"/>
        <w:jc w:val="center"/>
        <w:tblLook w:val="04A0" w:firstRow="1" w:lastRow="0" w:firstColumn="1" w:lastColumn="0" w:noHBand="0" w:noVBand="1"/>
      </w:tblPr>
      <w:tblGrid>
        <w:gridCol w:w="1640"/>
        <w:gridCol w:w="1060"/>
        <w:gridCol w:w="1060"/>
        <w:gridCol w:w="1181"/>
        <w:gridCol w:w="1060"/>
        <w:gridCol w:w="1060"/>
      </w:tblGrid>
      <w:tr w:rsidR="00FC2E0F" w14:paraId="7C70742D" w14:textId="77777777" w:rsidTr="00FC2E0F">
        <w:trPr>
          <w:trHeight w:val="255"/>
          <w:jc w:val="center"/>
        </w:trPr>
        <w:tc>
          <w:tcPr>
            <w:tcW w:w="1640" w:type="dxa"/>
            <w:noWrap/>
            <w:vAlign w:val="center"/>
            <w:hideMark/>
          </w:tcPr>
          <w:p w14:paraId="06585066" w14:textId="77777777" w:rsidR="00FC2E0F" w:rsidRDefault="00FC2E0F"/>
        </w:tc>
        <w:tc>
          <w:tcPr>
            <w:tcW w:w="5421" w:type="dxa"/>
            <w:gridSpan w:val="5"/>
            <w:tcBorders>
              <w:top w:val="single" w:sz="8" w:space="0" w:color="auto"/>
              <w:left w:val="single" w:sz="8" w:space="0" w:color="auto"/>
              <w:bottom w:val="single" w:sz="8" w:space="0" w:color="auto"/>
              <w:right w:val="single" w:sz="8" w:space="0" w:color="auto"/>
            </w:tcBorders>
            <w:noWrap/>
            <w:vAlign w:val="center"/>
            <w:hideMark/>
          </w:tcPr>
          <w:p w14:paraId="05111C1F" w14:textId="77777777"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Random Access</w:t>
            </w:r>
            <w:r>
              <w:rPr>
                <w:rFonts w:ascii="Calibri" w:eastAsia="Times New Roman" w:hAnsi="Calibri"/>
                <w:color w:val="000000"/>
                <w:sz w:val="24"/>
                <w:szCs w:val="24"/>
                <w:lang w:eastAsia="zh-TW"/>
              </w:rPr>
              <w:t> </w:t>
            </w:r>
          </w:p>
        </w:tc>
      </w:tr>
      <w:tr w:rsidR="00FC2E0F" w14:paraId="16FC1E5B" w14:textId="77777777" w:rsidTr="00FC2E0F">
        <w:trPr>
          <w:trHeight w:val="255"/>
          <w:jc w:val="center"/>
        </w:trPr>
        <w:tc>
          <w:tcPr>
            <w:tcW w:w="1640" w:type="dxa"/>
            <w:noWrap/>
            <w:vAlign w:val="center"/>
            <w:hideMark/>
          </w:tcPr>
          <w:p w14:paraId="0125D4EB" w14:textId="77777777" w:rsidR="00FC2E0F" w:rsidRDefault="00FC2E0F">
            <w:pPr>
              <w:rPr>
                <w:rFonts w:ascii="Arial" w:eastAsia="Times New Roman" w:hAnsi="Arial" w:cs="Arial"/>
                <w:b/>
                <w:bCs/>
                <w:color w:val="000000"/>
                <w:sz w:val="18"/>
                <w:szCs w:val="18"/>
                <w:lang w:eastAsia="zh-TW"/>
              </w:rPr>
            </w:pPr>
          </w:p>
        </w:tc>
        <w:tc>
          <w:tcPr>
            <w:tcW w:w="5421" w:type="dxa"/>
            <w:gridSpan w:val="5"/>
            <w:tcBorders>
              <w:top w:val="nil"/>
              <w:left w:val="single" w:sz="8" w:space="0" w:color="auto"/>
              <w:bottom w:val="nil"/>
              <w:right w:val="single" w:sz="8" w:space="0" w:color="auto"/>
            </w:tcBorders>
            <w:noWrap/>
            <w:vAlign w:val="center"/>
            <w:hideMark/>
          </w:tcPr>
          <w:p w14:paraId="2365E482" w14:textId="37B194D9" w:rsidR="00FC2E0F" w:rsidRDefault="00FC2E0F">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Over VTM-5.0 </w:t>
            </w:r>
          </w:p>
        </w:tc>
      </w:tr>
      <w:tr w:rsidR="00FC2E0F" w14:paraId="31439F3A" w14:textId="77777777" w:rsidTr="00FC2E0F">
        <w:trPr>
          <w:trHeight w:val="255"/>
          <w:jc w:val="center"/>
        </w:trPr>
        <w:tc>
          <w:tcPr>
            <w:tcW w:w="1640" w:type="dxa"/>
            <w:noWrap/>
            <w:vAlign w:val="center"/>
            <w:hideMark/>
          </w:tcPr>
          <w:p w14:paraId="612540D7" w14:textId="77777777" w:rsidR="00FC2E0F" w:rsidRDefault="00FC2E0F">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6D356E01"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35CA021E"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21C00627"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5EB8C40F"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71464EA2" w14:textId="77777777" w:rsidR="00FC2E0F" w:rsidRDefault="00FC2E0F">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5C0228" w14:paraId="07B9F854"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A405003"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604A31B2" w14:textId="041C0F2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0.11%</w:t>
            </w:r>
          </w:p>
        </w:tc>
        <w:tc>
          <w:tcPr>
            <w:tcW w:w="1060" w:type="dxa"/>
            <w:noWrap/>
            <w:vAlign w:val="center"/>
          </w:tcPr>
          <w:p w14:paraId="196152C2" w14:textId="7EEBBDE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181" w:type="dxa"/>
            <w:tcBorders>
              <w:top w:val="nil"/>
              <w:left w:val="nil"/>
              <w:bottom w:val="nil"/>
              <w:right w:val="single" w:sz="4" w:space="0" w:color="auto"/>
            </w:tcBorders>
            <w:noWrap/>
            <w:vAlign w:val="center"/>
          </w:tcPr>
          <w:p w14:paraId="45B08ED4" w14:textId="4197BCD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0.17%</w:t>
            </w:r>
          </w:p>
        </w:tc>
        <w:tc>
          <w:tcPr>
            <w:tcW w:w="1060" w:type="dxa"/>
            <w:noWrap/>
            <w:vAlign w:val="center"/>
          </w:tcPr>
          <w:p w14:paraId="21643741" w14:textId="0268432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1CA88318" w14:textId="5AEDAB0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5C0228" w14:paraId="11D724B7"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478625F"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19627E4D" w14:textId="437D7CC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0.05%</w:t>
            </w:r>
          </w:p>
        </w:tc>
        <w:tc>
          <w:tcPr>
            <w:tcW w:w="1060" w:type="dxa"/>
            <w:noWrap/>
            <w:vAlign w:val="center"/>
          </w:tcPr>
          <w:p w14:paraId="729414C1" w14:textId="34E16A1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181" w:type="dxa"/>
            <w:tcBorders>
              <w:top w:val="nil"/>
              <w:left w:val="nil"/>
              <w:bottom w:val="nil"/>
              <w:right w:val="single" w:sz="4" w:space="0" w:color="auto"/>
            </w:tcBorders>
            <w:noWrap/>
            <w:vAlign w:val="center"/>
          </w:tcPr>
          <w:p w14:paraId="35ED2693" w14:textId="75335F6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0.16%</w:t>
            </w:r>
          </w:p>
        </w:tc>
        <w:tc>
          <w:tcPr>
            <w:tcW w:w="1060" w:type="dxa"/>
            <w:noWrap/>
            <w:vAlign w:val="center"/>
          </w:tcPr>
          <w:p w14:paraId="65EDB5FC" w14:textId="74E3DB1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nil"/>
              <w:left w:val="nil"/>
              <w:bottom w:val="nil"/>
              <w:right w:val="single" w:sz="8" w:space="0" w:color="auto"/>
            </w:tcBorders>
            <w:noWrap/>
            <w:vAlign w:val="center"/>
          </w:tcPr>
          <w:p w14:paraId="6B6B638E" w14:textId="4B045DF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6DC138C2"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05A84A24"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2430E966" w14:textId="402951BC"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0.09%</w:t>
            </w:r>
          </w:p>
        </w:tc>
        <w:tc>
          <w:tcPr>
            <w:tcW w:w="1060" w:type="dxa"/>
            <w:noWrap/>
            <w:vAlign w:val="center"/>
          </w:tcPr>
          <w:p w14:paraId="0376A8E1" w14:textId="46B0A5B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181" w:type="dxa"/>
            <w:tcBorders>
              <w:top w:val="nil"/>
              <w:left w:val="nil"/>
              <w:bottom w:val="nil"/>
              <w:right w:val="single" w:sz="4" w:space="0" w:color="auto"/>
            </w:tcBorders>
            <w:noWrap/>
            <w:vAlign w:val="center"/>
          </w:tcPr>
          <w:p w14:paraId="7A396367" w14:textId="4EE035E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noWrap/>
            <w:vAlign w:val="center"/>
          </w:tcPr>
          <w:p w14:paraId="06A751F2" w14:textId="645A0C74"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5BFF5733" w14:textId="553DB7D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51A98DCE"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28AB66A2"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528D2DF1" w14:textId="0C3178E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0.03%</w:t>
            </w:r>
          </w:p>
        </w:tc>
        <w:tc>
          <w:tcPr>
            <w:tcW w:w="1060" w:type="dxa"/>
            <w:noWrap/>
            <w:vAlign w:val="center"/>
          </w:tcPr>
          <w:p w14:paraId="0D284F45" w14:textId="01D131E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181" w:type="dxa"/>
            <w:tcBorders>
              <w:top w:val="nil"/>
              <w:left w:val="nil"/>
              <w:bottom w:val="nil"/>
              <w:right w:val="single" w:sz="4" w:space="0" w:color="auto"/>
            </w:tcBorders>
            <w:noWrap/>
            <w:vAlign w:val="center"/>
          </w:tcPr>
          <w:p w14:paraId="5E75BFF0" w14:textId="0A80DB6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0.12%</w:t>
            </w:r>
          </w:p>
        </w:tc>
        <w:tc>
          <w:tcPr>
            <w:tcW w:w="1060" w:type="dxa"/>
            <w:noWrap/>
            <w:vAlign w:val="center"/>
          </w:tcPr>
          <w:p w14:paraId="66514B07" w14:textId="6D9CA6F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57B83A83" w14:textId="2C75F8C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bookmarkStart w:id="0" w:name="_GoBack"/>
        <w:bookmarkEnd w:id="0"/>
      </w:tr>
      <w:tr w:rsidR="005C0228" w14:paraId="3C5A18FC" w14:textId="77777777" w:rsidTr="00FC2E0F">
        <w:trPr>
          <w:trHeight w:val="255"/>
          <w:jc w:val="center"/>
        </w:trPr>
        <w:tc>
          <w:tcPr>
            <w:tcW w:w="1640" w:type="dxa"/>
            <w:tcBorders>
              <w:top w:val="nil"/>
              <w:left w:val="single" w:sz="8" w:space="0" w:color="auto"/>
              <w:bottom w:val="nil"/>
              <w:right w:val="single" w:sz="8" w:space="0" w:color="auto"/>
            </w:tcBorders>
            <w:noWrap/>
            <w:vAlign w:val="center"/>
            <w:hideMark/>
          </w:tcPr>
          <w:p w14:paraId="70B1E5FC"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73D0DFB1" w14:textId="60F82D6D"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2F227FEA" w14:textId="77777777" w:rsidR="005C0228" w:rsidRDefault="005C0228" w:rsidP="005C0228">
            <w:pPr>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noWrap/>
            <w:vAlign w:val="center"/>
          </w:tcPr>
          <w:p w14:paraId="5991FC2A" w14:textId="0C6CC06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5083AE06" w14:textId="2DBE2FF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6B8030E" w14:textId="76E997E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5C0228" w14:paraId="7131E663"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77D60C6" w14:textId="77777777" w:rsidR="005C0228" w:rsidRDefault="005C0228" w:rsidP="005C0228">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noWrap/>
            <w:vAlign w:val="center"/>
          </w:tcPr>
          <w:p w14:paraId="4FF674FA" w14:textId="2BF3A3F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tcBorders>
              <w:top w:val="single" w:sz="8" w:space="0" w:color="auto"/>
              <w:left w:val="nil"/>
              <w:bottom w:val="nil"/>
              <w:right w:val="nil"/>
            </w:tcBorders>
            <w:noWrap/>
            <w:vAlign w:val="center"/>
          </w:tcPr>
          <w:p w14:paraId="3CF28DFC" w14:textId="5173F9A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181" w:type="dxa"/>
            <w:tcBorders>
              <w:top w:val="single" w:sz="8" w:space="0" w:color="auto"/>
              <w:left w:val="nil"/>
              <w:bottom w:val="nil"/>
              <w:right w:val="single" w:sz="4" w:space="0" w:color="auto"/>
            </w:tcBorders>
            <w:noWrap/>
            <w:vAlign w:val="center"/>
          </w:tcPr>
          <w:p w14:paraId="403DDD5B" w14:textId="431DF0AE"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0.10%</w:t>
            </w:r>
          </w:p>
        </w:tc>
        <w:tc>
          <w:tcPr>
            <w:tcW w:w="1060" w:type="dxa"/>
            <w:tcBorders>
              <w:top w:val="single" w:sz="8" w:space="0" w:color="auto"/>
              <w:left w:val="nil"/>
              <w:bottom w:val="nil"/>
              <w:right w:val="nil"/>
            </w:tcBorders>
            <w:noWrap/>
            <w:vAlign w:val="center"/>
          </w:tcPr>
          <w:p w14:paraId="2061B99D" w14:textId="7443EA3A"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601A6F6F" w14:textId="1C0A21E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35EF8804" w14:textId="77777777" w:rsidTr="00FC2E0F">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226067D7"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noWrap/>
            <w:vAlign w:val="center"/>
          </w:tcPr>
          <w:p w14:paraId="677C70F4" w14:textId="3CE4F2E6"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0.06%</w:t>
            </w:r>
          </w:p>
        </w:tc>
        <w:tc>
          <w:tcPr>
            <w:tcW w:w="1060" w:type="dxa"/>
            <w:tcBorders>
              <w:top w:val="single" w:sz="8" w:space="0" w:color="auto"/>
              <w:left w:val="nil"/>
              <w:bottom w:val="nil"/>
              <w:right w:val="nil"/>
            </w:tcBorders>
            <w:noWrap/>
            <w:vAlign w:val="center"/>
          </w:tcPr>
          <w:p w14:paraId="2C063648" w14:textId="693E59BC"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0.16%</w:t>
            </w:r>
          </w:p>
        </w:tc>
        <w:tc>
          <w:tcPr>
            <w:tcW w:w="1181" w:type="dxa"/>
            <w:tcBorders>
              <w:top w:val="single" w:sz="8" w:space="0" w:color="auto"/>
              <w:left w:val="nil"/>
              <w:bottom w:val="nil"/>
              <w:right w:val="single" w:sz="4" w:space="0" w:color="auto"/>
            </w:tcBorders>
            <w:noWrap/>
            <w:vAlign w:val="center"/>
          </w:tcPr>
          <w:p w14:paraId="055D2261" w14:textId="6EA7251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0.14%</w:t>
            </w:r>
          </w:p>
        </w:tc>
        <w:tc>
          <w:tcPr>
            <w:tcW w:w="1060" w:type="dxa"/>
            <w:tcBorders>
              <w:top w:val="single" w:sz="8" w:space="0" w:color="auto"/>
              <w:left w:val="nil"/>
              <w:bottom w:val="nil"/>
              <w:right w:val="nil"/>
            </w:tcBorders>
            <w:noWrap/>
            <w:vAlign w:val="center"/>
          </w:tcPr>
          <w:p w14:paraId="60FC9BE2" w14:textId="6C7DB3CB"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55F5133A" w14:textId="7B10E41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5C0228" w14:paraId="6F4BB0D5" w14:textId="77777777" w:rsidTr="00FC2E0F">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4141C32A" w14:textId="77777777"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noWrap/>
            <w:vAlign w:val="center"/>
          </w:tcPr>
          <w:p w14:paraId="12E90790" w14:textId="36472AB0"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0.08%</w:t>
            </w:r>
          </w:p>
        </w:tc>
        <w:tc>
          <w:tcPr>
            <w:tcW w:w="1060" w:type="dxa"/>
            <w:tcBorders>
              <w:top w:val="nil"/>
              <w:left w:val="nil"/>
              <w:bottom w:val="single" w:sz="8" w:space="0" w:color="auto"/>
              <w:right w:val="nil"/>
            </w:tcBorders>
            <w:noWrap/>
            <w:vAlign w:val="center"/>
          </w:tcPr>
          <w:p w14:paraId="10D3E8F8" w14:textId="180563C1"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0.05%</w:t>
            </w:r>
          </w:p>
        </w:tc>
        <w:tc>
          <w:tcPr>
            <w:tcW w:w="1181" w:type="dxa"/>
            <w:tcBorders>
              <w:top w:val="nil"/>
              <w:left w:val="nil"/>
              <w:bottom w:val="single" w:sz="8" w:space="0" w:color="auto"/>
              <w:right w:val="single" w:sz="4" w:space="0" w:color="auto"/>
            </w:tcBorders>
            <w:noWrap/>
            <w:vAlign w:val="center"/>
          </w:tcPr>
          <w:p w14:paraId="2C9D3AC7" w14:textId="1D45DF8F"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0.12%</w:t>
            </w:r>
          </w:p>
        </w:tc>
        <w:tc>
          <w:tcPr>
            <w:tcW w:w="1060" w:type="dxa"/>
            <w:tcBorders>
              <w:top w:val="nil"/>
              <w:left w:val="nil"/>
              <w:bottom w:val="single" w:sz="8" w:space="0" w:color="auto"/>
              <w:right w:val="nil"/>
            </w:tcBorders>
            <w:noWrap/>
            <w:vAlign w:val="center"/>
          </w:tcPr>
          <w:p w14:paraId="26E49F1D" w14:textId="2D677559"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tcPr>
          <w:p w14:paraId="2BB8E591" w14:textId="6F1B2948" w:rsidR="005C0228" w:rsidRDefault="005C0228" w:rsidP="005C0228">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101%</w:t>
            </w:r>
          </w:p>
        </w:tc>
      </w:tr>
    </w:tbl>
    <w:p w14:paraId="375F902D" w14:textId="77777777" w:rsidR="00991E98" w:rsidRDefault="00991E98" w:rsidP="006236F0">
      <w:pPr>
        <w:pStyle w:val="ab"/>
        <w:jc w:val="center"/>
      </w:pPr>
    </w:p>
    <w:p w14:paraId="6E3330DD" w14:textId="4A7CF8BF" w:rsidR="006236F0" w:rsidRPr="00991E98" w:rsidRDefault="006236F0" w:rsidP="006236F0">
      <w:pPr>
        <w:pStyle w:val="ab"/>
        <w:jc w:val="center"/>
        <w:rPr>
          <w:i w:val="0"/>
          <w:sz w:val="22"/>
          <w:szCs w:val="22"/>
        </w:rPr>
      </w:pPr>
      <w:r w:rsidRPr="00991E98">
        <w:rPr>
          <w:i w:val="0"/>
          <w:sz w:val="22"/>
          <w:szCs w:val="22"/>
        </w:rPr>
        <w:lastRenderedPageBreak/>
        <w:t xml:space="preserve">Table </w:t>
      </w:r>
      <w:r w:rsidR="0075423E" w:rsidRPr="00991E98">
        <w:rPr>
          <w:i w:val="0"/>
          <w:noProof/>
          <w:sz w:val="22"/>
          <w:szCs w:val="22"/>
        </w:rPr>
        <w:t>3</w:t>
      </w:r>
      <w:r w:rsidRPr="00991E98">
        <w:rPr>
          <w:i w:val="0"/>
          <w:sz w:val="22"/>
          <w:szCs w:val="22"/>
        </w:rPr>
        <w:t>. Performance of the proposed modification under Low Delay B</w:t>
      </w:r>
    </w:p>
    <w:tbl>
      <w:tblPr>
        <w:tblW w:w="7061" w:type="dxa"/>
        <w:jc w:val="center"/>
        <w:tblLook w:val="04A0" w:firstRow="1" w:lastRow="0" w:firstColumn="1" w:lastColumn="0" w:noHBand="0" w:noVBand="1"/>
      </w:tblPr>
      <w:tblGrid>
        <w:gridCol w:w="1640"/>
        <w:gridCol w:w="1060"/>
        <w:gridCol w:w="1060"/>
        <w:gridCol w:w="1181"/>
        <w:gridCol w:w="1060"/>
        <w:gridCol w:w="1060"/>
      </w:tblGrid>
      <w:tr w:rsidR="006236F0" w14:paraId="01FABB7A" w14:textId="77777777" w:rsidTr="00A90CCE">
        <w:trPr>
          <w:trHeight w:val="255"/>
          <w:jc w:val="center"/>
        </w:trPr>
        <w:tc>
          <w:tcPr>
            <w:tcW w:w="1640" w:type="dxa"/>
            <w:noWrap/>
            <w:vAlign w:val="center"/>
            <w:hideMark/>
          </w:tcPr>
          <w:p w14:paraId="3CE67B62" w14:textId="77777777" w:rsidR="006236F0" w:rsidRDefault="006236F0" w:rsidP="00A90CCE"/>
        </w:tc>
        <w:tc>
          <w:tcPr>
            <w:tcW w:w="1060" w:type="dxa"/>
            <w:tcBorders>
              <w:top w:val="single" w:sz="8" w:space="0" w:color="auto"/>
              <w:left w:val="single" w:sz="8" w:space="0" w:color="auto"/>
              <w:bottom w:val="single" w:sz="8" w:space="0" w:color="auto"/>
              <w:right w:val="nil"/>
            </w:tcBorders>
            <w:noWrap/>
            <w:vAlign w:val="center"/>
            <w:hideMark/>
          </w:tcPr>
          <w:p w14:paraId="7118240F" w14:textId="77777777" w:rsidR="006236F0" w:rsidRDefault="006236F0" w:rsidP="00A90CCE">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noWrap/>
            <w:vAlign w:val="center"/>
            <w:hideMark/>
          </w:tcPr>
          <w:p w14:paraId="462C3BE6"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181" w:type="dxa"/>
            <w:tcBorders>
              <w:top w:val="single" w:sz="8" w:space="0" w:color="auto"/>
              <w:left w:val="nil"/>
              <w:bottom w:val="single" w:sz="8" w:space="0" w:color="auto"/>
              <w:right w:val="nil"/>
            </w:tcBorders>
            <w:noWrap/>
            <w:vAlign w:val="center"/>
            <w:hideMark/>
          </w:tcPr>
          <w:p w14:paraId="2A02C87D" w14:textId="6F36AC9C" w:rsidR="006236F0" w:rsidRDefault="006236F0" w:rsidP="006236F0">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LDB</w:t>
            </w:r>
          </w:p>
        </w:tc>
        <w:tc>
          <w:tcPr>
            <w:tcW w:w="1060" w:type="dxa"/>
            <w:tcBorders>
              <w:top w:val="single" w:sz="8" w:space="0" w:color="auto"/>
              <w:left w:val="nil"/>
              <w:bottom w:val="single" w:sz="8" w:space="0" w:color="auto"/>
              <w:right w:val="nil"/>
            </w:tcBorders>
            <w:noWrap/>
            <w:vAlign w:val="center"/>
            <w:hideMark/>
          </w:tcPr>
          <w:p w14:paraId="47D22665"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noWrap/>
            <w:vAlign w:val="center"/>
            <w:hideMark/>
          </w:tcPr>
          <w:p w14:paraId="6417D95D" w14:textId="77777777" w:rsidR="006236F0" w:rsidRDefault="006236F0" w:rsidP="00A90CCE">
            <w:pPr>
              <w:tabs>
                <w:tab w:val="clear" w:pos="360"/>
              </w:tabs>
              <w:overflowPunct/>
              <w:autoSpaceDE/>
              <w:adjustRightInd/>
              <w:spacing w:before="0"/>
              <w:jc w:val="center"/>
              <w:rPr>
                <w:rFonts w:ascii="Calibri" w:eastAsia="Times New Roman" w:hAnsi="Calibri"/>
                <w:color w:val="000000"/>
                <w:sz w:val="24"/>
                <w:szCs w:val="24"/>
                <w:lang w:eastAsia="zh-TW"/>
              </w:rPr>
            </w:pPr>
            <w:r>
              <w:rPr>
                <w:rFonts w:ascii="Calibri" w:eastAsia="Times New Roman" w:hAnsi="Calibri"/>
                <w:color w:val="000000"/>
                <w:sz w:val="24"/>
                <w:szCs w:val="24"/>
                <w:lang w:eastAsia="zh-TW"/>
              </w:rPr>
              <w:t> </w:t>
            </w:r>
          </w:p>
        </w:tc>
      </w:tr>
      <w:tr w:rsidR="006236F0" w14:paraId="5FA409C8" w14:textId="77777777" w:rsidTr="00A90CCE">
        <w:trPr>
          <w:trHeight w:val="255"/>
          <w:jc w:val="center"/>
        </w:trPr>
        <w:tc>
          <w:tcPr>
            <w:tcW w:w="1640" w:type="dxa"/>
            <w:noWrap/>
            <w:vAlign w:val="center"/>
            <w:hideMark/>
          </w:tcPr>
          <w:p w14:paraId="0AF6E003" w14:textId="77777777" w:rsidR="006236F0" w:rsidRDefault="006236F0" w:rsidP="00A90CCE">
            <w:pPr>
              <w:rPr>
                <w:rFonts w:ascii="Calibri" w:eastAsia="Times New Roman" w:hAnsi="Calibri"/>
                <w:color w:val="000000"/>
                <w:sz w:val="24"/>
                <w:szCs w:val="24"/>
                <w:lang w:eastAsia="zh-TW"/>
              </w:rPr>
            </w:pPr>
          </w:p>
        </w:tc>
        <w:tc>
          <w:tcPr>
            <w:tcW w:w="5421" w:type="dxa"/>
            <w:gridSpan w:val="5"/>
            <w:tcBorders>
              <w:top w:val="nil"/>
              <w:left w:val="single" w:sz="8" w:space="0" w:color="auto"/>
              <w:bottom w:val="nil"/>
              <w:right w:val="single" w:sz="8" w:space="0" w:color="auto"/>
            </w:tcBorders>
            <w:noWrap/>
            <w:vAlign w:val="center"/>
            <w:hideMark/>
          </w:tcPr>
          <w:p w14:paraId="3BFC7868" w14:textId="77777777" w:rsidR="006236F0" w:rsidRDefault="006236F0" w:rsidP="00A90CCE">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OverVTM-5.0 </w:t>
            </w:r>
          </w:p>
        </w:tc>
      </w:tr>
      <w:tr w:rsidR="006236F0" w14:paraId="307BB78C" w14:textId="77777777" w:rsidTr="00A90CCE">
        <w:trPr>
          <w:trHeight w:val="255"/>
          <w:jc w:val="center"/>
        </w:trPr>
        <w:tc>
          <w:tcPr>
            <w:tcW w:w="1640" w:type="dxa"/>
            <w:noWrap/>
            <w:vAlign w:val="center"/>
            <w:hideMark/>
          </w:tcPr>
          <w:p w14:paraId="331830AC" w14:textId="77777777" w:rsidR="006236F0" w:rsidRDefault="006236F0" w:rsidP="00A90CCE">
            <w:pPr>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noWrap/>
            <w:vAlign w:val="center"/>
            <w:hideMark/>
          </w:tcPr>
          <w:p w14:paraId="4210095B"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noWrap/>
            <w:vAlign w:val="center"/>
            <w:hideMark/>
          </w:tcPr>
          <w:p w14:paraId="7C43BDD9"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U</w:t>
            </w:r>
          </w:p>
        </w:tc>
        <w:tc>
          <w:tcPr>
            <w:tcW w:w="1181" w:type="dxa"/>
            <w:tcBorders>
              <w:top w:val="nil"/>
              <w:left w:val="nil"/>
              <w:bottom w:val="single" w:sz="8" w:space="0" w:color="auto"/>
              <w:right w:val="single" w:sz="4" w:space="0" w:color="auto"/>
            </w:tcBorders>
            <w:noWrap/>
            <w:vAlign w:val="center"/>
            <w:hideMark/>
          </w:tcPr>
          <w:p w14:paraId="4DD72D36"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noWrap/>
            <w:vAlign w:val="center"/>
            <w:hideMark/>
          </w:tcPr>
          <w:p w14:paraId="52EE425D"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noWrap/>
            <w:vAlign w:val="center"/>
            <w:hideMark/>
          </w:tcPr>
          <w:p w14:paraId="1974CA25" w14:textId="77777777" w:rsidR="006236F0" w:rsidRDefault="006236F0" w:rsidP="00A90CCE">
            <w:pPr>
              <w:tabs>
                <w:tab w:val="clear" w:pos="360"/>
              </w:tabs>
              <w:overflowPunct/>
              <w:autoSpaceDE/>
              <w:adjustRightInd/>
              <w:spacing w:before="0"/>
              <w:jc w:val="center"/>
              <w:rPr>
                <w:rFonts w:ascii="Arial" w:eastAsia="Times New Roman" w:hAnsi="Arial" w:cs="Arial"/>
                <w:color w:val="000000"/>
                <w:sz w:val="18"/>
                <w:szCs w:val="18"/>
                <w:lang w:eastAsia="zh-TW"/>
              </w:rPr>
            </w:pPr>
            <w:proofErr w:type="spellStart"/>
            <w:r>
              <w:rPr>
                <w:rFonts w:ascii="Arial" w:eastAsia="Times New Roman" w:hAnsi="Arial" w:cs="Arial"/>
                <w:color w:val="000000"/>
                <w:sz w:val="18"/>
                <w:szCs w:val="18"/>
                <w:lang w:eastAsia="zh-TW"/>
              </w:rPr>
              <w:t>DecT</w:t>
            </w:r>
            <w:proofErr w:type="spellEnd"/>
          </w:p>
        </w:tc>
      </w:tr>
      <w:tr w:rsidR="001264BC" w14:paraId="1FBAE48A" w14:textId="77777777" w:rsidTr="00A90CCE">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53D41FD"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A1</w:t>
            </w:r>
          </w:p>
        </w:tc>
        <w:tc>
          <w:tcPr>
            <w:tcW w:w="1060" w:type="dxa"/>
            <w:noWrap/>
            <w:vAlign w:val="center"/>
          </w:tcPr>
          <w:p w14:paraId="6A194F5D" w14:textId="6C088492"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6806956C" w14:textId="653A284B"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181" w:type="dxa"/>
            <w:tcBorders>
              <w:top w:val="nil"/>
              <w:left w:val="nil"/>
              <w:bottom w:val="nil"/>
              <w:right w:val="single" w:sz="4" w:space="0" w:color="auto"/>
            </w:tcBorders>
            <w:noWrap/>
            <w:vAlign w:val="center"/>
          </w:tcPr>
          <w:p w14:paraId="5F9F4CFD" w14:textId="160246C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7D59704E" w14:textId="08C4929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B365DD7" w14:textId="28EAFD8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1264BC" w14:paraId="5F0C57D8"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5FDE371B"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A2</w:t>
            </w:r>
          </w:p>
        </w:tc>
        <w:tc>
          <w:tcPr>
            <w:tcW w:w="1060" w:type="dxa"/>
            <w:noWrap/>
            <w:vAlign w:val="center"/>
          </w:tcPr>
          <w:p w14:paraId="6AF4F0C1" w14:textId="1DD2B2E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51C5162C"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p>
        </w:tc>
        <w:tc>
          <w:tcPr>
            <w:tcW w:w="1181" w:type="dxa"/>
            <w:tcBorders>
              <w:top w:val="nil"/>
              <w:left w:val="nil"/>
              <w:bottom w:val="nil"/>
              <w:right w:val="single" w:sz="4" w:space="0" w:color="auto"/>
            </w:tcBorders>
            <w:noWrap/>
            <w:vAlign w:val="center"/>
          </w:tcPr>
          <w:p w14:paraId="10F06BC8" w14:textId="706180E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noWrap/>
            <w:vAlign w:val="center"/>
          </w:tcPr>
          <w:p w14:paraId="72638A4E" w14:textId="78388E4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c>
          <w:tcPr>
            <w:tcW w:w="1060" w:type="dxa"/>
            <w:tcBorders>
              <w:top w:val="nil"/>
              <w:left w:val="nil"/>
              <w:bottom w:val="nil"/>
              <w:right w:val="single" w:sz="8" w:space="0" w:color="auto"/>
            </w:tcBorders>
            <w:noWrap/>
            <w:vAlign w:val="center"/>
          </w:tcPr>
          <w:p w14:paraId="6FBDCA72" w14:textId="5A0CC742"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 xml:space="preserve">　</w:t>
            </w:r>
          </w:p>
        </w:tc>
      </w:tr>
      <w:tr w:rsidR="001264BC" w14:paraId="523FC6DD"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7792F0FA"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B</w:t>
            </w:r>
          </w:p>
        </w:tc>
        <w:tc>
          <w:tcPr>
            <w:tcW w:w="1060" w:type="dxa"/>
            <w:noWrap/>
            <w:vAlign w:val="center"/>
          </w:tcPr>
          <w:p w14:paraId="5B339C28" w14:textId="3726F881"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noWrap/>
            <w:vAlign w:val="center"/>
          </w:tcPr>
          <w:p w14:paraId="65FA95C0" w14:textId="0328AEA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0.27%</w:t>
            </w:r>
          </w:p>
        </w:tc>
        <w:tc>
          <w:tcPr>
            <w:tcW w:w="1181" w:type="dxa"/>
            <w:tcBorders>
              <w:top w:val="nil"/>
              <w:left w:val="nil"/>
              <w:bottom w:val="nil"/>
              <w:right w:val="single" w:sz="4" w:space="0" w:color="auto"/>
            </w:tcBorders>
            <w:noWrap/>
            <w:vAlign w:val="center"/>
          </w:tcPr>
          <w:p w14:paraId="594FE42E" w14:textId="679B047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0.08%</w:t>
            </w:r>
          </w:p>
        </w:tc>
        <w:tc>
          <w:tcPr>
            <w:tcW w:w="1060" w:type="dxa"/>
            <w:noWrap/>
            <w:vAlign w:val="center"/>
          </w:tcPr>
          <w:p w14:paraId="68F19518" w14:textId="2CB761C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97%</w:t>
            </w:r>
          </w:p>
        </w:tc>
        <w:tc>
          <w:tcPr>
            <w:tcW w:w="1060" w:type="dxa"/>
            <w:tcBorders>
              <w:top w:val="nil"/>
              <w:left w:val="nil"/>
              <w:bottom w:val="nil"/>
              <w:right w:val="single" w:sz="8" w:space="0" w:color="auto"/>
            </w:tcBorders>
            <w:noWrap/>
            <w:vAlign w:val="center"/>
          </w:tcPr>
          <w:p w14:paraId="16F1B880" w14:textId="3745170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1264BC" w14:paraId="3FB79B0F"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73BCE73F"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C</w:t>
            </w:r>
          </w:p>
        </w:tc>
        <w:tc>
          <w:tcPr>
            <w:tcW w:w="1060" w:type="dxa"/>
            <w:noWrap/>
            <w:vAlign w:val="center"/>
          </w:tcPr>
          <w:p w14:paraId="3100495C" w14:textId="6D182E7F"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noWrap/>
            <w:vAlign w:val="center"/>
          </w:tcPr>
          <w:p w14:paraId="730B106E" w14:textId="4AC1C5C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0.28%</w:t>
            </w:r>
          </w:p>
        </w:tc>
        <w:tc>
          <w:tcPr>
            <w:tcW w:w="1181" w:type="dxa"/>
            <w:tcBorders>
              <w:top w:val="nil"/>
              <w:left w:val="nil"/>
              <w:bottom w:val="nil"/>
              <w:right w:val="single" w:sz="4" w:space="0" w:color="auto"/>
            </w:tcBorders>
            <w:noWrap/>
            <w:vAlign w:val="center"/>
          </w:tcPr>
          <w:p w14:paraId="0A824D24" w14:textId="4108493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noWrap/>
            <w:vAlign w:val="center"/>
          </w:tcPr>
          <w:p w14:paraId="43D61740" w14:textId="122F18CA"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0746BC6F" w14:textId="7092330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r w:rsidR="001264BC" w14:paraId="0B701965" w14:textId="77777777" w:rsidTr="00A90CCE">
        <w:trPr>
          <w:trHeight w:val="255"/>
          <w:jc w:val="center"/>
        </w:trPr>
        <w:tc>
          <w:tcPr>
            <w:tcW w:w="1640" w:type="dxa"/>
            <w:tcBorders>
              <w:top w:val="nil"/>
              <w:left w:val="single" w:sz="8" w:space="0" w:color="auto"/>
              <w:bottom w:val="nil"/>
              <w:right w:val="single" w:sz="8" w:space="0" w:color="auto"/>
            </w:tcBorders>
            <w:noWrap/>
            <w:vAlign w:val="center"/>
            <w:hideMark/>
          </w:tcPr>
          <w:p w14:paraId="01C452CA"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E</w:t>
            </w:r>
          </w:p>
        </w:tc>
        <w:tc>
          <w:tcPr>
            <w:tcW w:w="1060" w:type="dxa"/>
            <w:noWrap/>
            <w:vAlign w:val="center"/>
          </w:tcPr>
          <w:p w14:paraId="63A8B5AB" w14:textId="53BCC2D5"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-0.07%</w:t>
            </w:r>
          </w:p>
        </w:tc>
        <w:tc>
          <w:tcPr>
            <w:tcW w:w="1060" w:type="dxa"/>
            <w:noWrap/>
            <w:vAlign w:val="center"/>
          </w:tcPr>
          <w:p w14:paraId="5A4E5A5B" w14:textId="06CCBC6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0.30%</w:t>
            </w:r>
          </w:p>
        </w:tc>
        <w:tc>
          <w:tcPr>
            <w:tcW w:w="1181" w:type="dxa"/>
            <w:tcBorders>
              <w:top w:val="nil"/>
              <w:left w:val="nil"/>
              <w:bottom w:val="nil"/>
              <w:right w:val="single" w:sz="4" w:space="0" w:color="auto"/>
            </w:tcBorders>
            <w:noWrap/>
            <w:vAlign w:val="center"/>
          </w:tcPr>
          <w:p w14:paraId="0AED41DC" w14:textId="75EE7F7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0.21%</w:t>
            </w:r>
          </w:p>
        </w:tc>
        <w:tc>
          <w:tcPr>
            <w:tcW w:w="1060" w:type="dxa"/>
            <w:noWrap/>
            <w:vAlign w:val="center"/>
          </w:tcPr>
          <w:p w14:paraId="4B043E82" w14:textId="33D6BCC6"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nil"/>
              <w:right w:val="single" w:sz="8" w:space="0" w:color="auto"/>
            </w:tcBorders>
            <w:noWrap/>
            <w:vAlign w:val="center"/>
          </w:tcPr>
          <w:p w14:paraId="7CDED3CB" w14:textId="33BC5D33"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7A259FD2" w14:textId="77777777" w:rsidTr="00A90CCE">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668AFAE6" w14:textId="77777777" w:rsidR="001264BC" w:rsidRDefault="001264BC" w:rsidP="001264BC">
            <w:pPr>
              <w:tabs>
                <w:tab w:val="clear" w:pos="360"/>
              </w:tabs>
              <w:overflowPunct/>
              <w:autoSpaceDE/>
              <w:adjustRightInd/>
              <w:spacing w:before="0"/>
              <w:jc w:val="center"/>
              <w:rPr>
                <w:rFonts w:ascii="Arial" w:eastAsia="Times New Roman" w:hAnsi="Arial" w:cs="Arial"/>
                <w:b/>
                <w:bCs/>
                <w:color w:val="000000"/>
                <w:sz w:val="18"/>
                <w:szCs w:val="18"/>
                <w:lang w:eastAsia="zh-TW"/>
              </w:rPr>
            </w:pPr>
            <w:r>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noWrap/>
            <w:vAlign w:val="center"/>
          </w:tcPr>
          <w:p w14:paraId="7CC84722" w14:textId="0B8B599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0.02%</w:t>
            </w:r>
          </w:p>
        </w:tc>
        <w:tc>
          <w:tcPr>
            <w:tcW w:w="1060" w:type="dxa"/>
            <w:tcBorders>
              <w:top w:val="single" w:sz="8" w:space="0" w:color="auto"/>
              <w:left w:val="nil"/>
              <w:bottom w:val="nil"/>
              <w:right w:val="nil"/>
            </w:tcBorders>
            <w:noWrap/>
            <w:vAlign w:val="center"/>
          </w:tcPr>
          <w:p w14:paraId="2A5DCDAD" w14:textId="7764C835"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0.28%</w:t>
            </w:r>
          </w:p>
        </w:tc>
        <w:tc>
          <w:tcPr>
            <w:tcW w:w="1181" w:type="dxa"/>
            <w:tcBorders>
              <w:top w:val="single" w:sz="8" w:space="0" w:color="auto"/>
              <w:left w:val="nil"/>
              <w:bottom w:val="nil"/>
              <w:right w:val="single" w:sz="4" w:space="0" w:color="auto"/>
            </w:tcBorders>
            <w:noWrap/>
            <w:vAlign w:val="center"/>
          </w:tcPr>
          <w:p w14:paraId="6BA83618" w14:textId="599D4EC0"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0.10%</w:t>
            </w:r>
          </w:p>
        </w:tc>
        <w:tc>
          <w:tcPr>
            <w:tcW w:w="1060" w:type="dxa"/>
            <w:tcBorders>
              <w:top w:val="single" w:sz="8" w:space="0" w:color="auto"/>
              <w:left w:val="nil"/>
              <w:bottom w:val="nil"/>
              <w:right w:val="nil"/>
            </w:tcBorders>
            <w:noWrap/>
            <w:vAlign w:val="center"/>
          </w:tcPr>
          <w:p w14:paraId="2F30252A" w14:textId="5014C50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c>
          <w:tcPr>
            <w:tcW w:w="1060" w:type="dxa"/>
            <w:tcBorders>
              <w:top w:val="single" w:sz="8" w:space="0" w:color="auto"/>
              <w:left w:val="nil"/>
              <w:bottom w:val="nil"/>
              <w:right w:val="single" w:sz="8" w:space="0" w:color="auto"/>
            </w:tcBorders>
            <w:noWrap/>
            <w:vAlign w:val="center"/>
          </w:tcPr>
          <w:p w14:paraId="650E8C34" w14:textId="5C503648"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390D07BE" w14:textId="77777777" w:rsidTr="00A90CCE">
        <w:trPr>
          <w:trHeight w:val="255"/>
          <w:jc w:val="center"/>
        </w:trPr>
        <w:tc>
          <w:tcPr>
            <w:tcW w:w="1640" w:type="dxa"/>
            <w:tcBorders>
              <w:top w:val="single" w:sz="8" w:space="0" w:color="auto"/>
              <w:left w:val="single" w:sz="8" w:space="0" w:color="auto"/>
              <w:bottom w:val="nil"/>
              <w:right w:val="nil"/>
            </w:tcBorders>
            <w:noWrap/>
            <w:vAlign w:val="center"/>
            <w:hideMark/>
          </w:tcPr>
          <w:p w14:paraId="107141F0"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noWrap/>
            <w:vAlign w:val="center"/>
          </w:tcPr>
          <w:p w14:paraId="63FB5765" w14:textId="7BF8EB7D"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060" w:type="dxa"/>
            <w:tcBorders>
              <w:top w:val="single" w:sz="8" w:space="0" w:color="auto"/>
              <w:left w:val="nil"/>
              <w:bottom w:val="nil"/>
              <w:right w:val="nil"/>
            </w:tcBorders>
            <w:noWrap/>
            <w:vAlign w:val="center"/>
          </w:tcPr>
          <w:p w14:paraId="3C54BB46" w14:textId="70617EB4"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0.04%</w:t>
            </w:r>
          </w:p>
        </w:tc>
        <w:tc>
          <w:tcPr>
            <w:tcW w:w="1181" w:type="dxa"/>
            <w:tcBorders>
              <w:top w:val="single" w:sz="8" w:space="0" w:color="auto"/>
              <w:left w:val="nil"/>
              <w:bottom w:val="nil"/>
              <w:right w:val="single" w:sz="4" w:space="0" w:color="auto"/>
            </w:tcBorders>
            <w:noWrap/>
            <w:vAlign w:val="center"/>
          </w:tcPr>
          <w:p w14:paraId="19A13064" w14:textId="02E2F71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0.53%</w:t>
            </w:r>
          </w:p>
        </w:tc>
        <w:tc>
          <w:tcPr>
            <w:tcW w:w="1060" w:type="dxa"/>
            <w:tcBorders>
              <w:top w:val="single" w:sz="8" w:space="0" w:color="auto"/>
              <w:left w:val="nil"/>
              <w:bottom w:val="nil"/>
              <w:right w:val="nil"/>
            </w:tcBorders>
            <w:noWrap/>
            <w:vAlign w:val="center"/>
          </w:tcPr>
          <w:p w14:paraId="57CA3C80" w14:textId="47D79A39"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single" w:sz="8" w:space="0" w:color="auto"/>
              <w:left w:val="nil"/>
              <w:bottom w:val="nil"/>
              <w:right w:val="single" w:sz="8" w:space="0" w:color="auto"/>
            </w:tcBorders>
            <w:noWrap/>
            <w:vAlign w:val="center"/>
          </w:tcPr>
          <w:p w14:paraId="047FE1FB" w14:textId="0C3F504F"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99%</w:t>
            </w:r>
          </w:p>
        </w:tc>
      </w:tr>
      <w:tr w:rsidR="001264BC" w14:paraId="4AE31658" w14:textId="77777777" w:rsidTr="00A90CCE">
        <w:trPr>
          <w:trHeight w:val="255"/>
          <w:jc w:val="center"/>
        </w:trPr>
        <w:tc>
          <w:tcPr>
            <w:tcW w:w="1640" w:type="dxa"/>
            <w:tcBorders>
              <w:top w:val="nil"/>
              <w:left w:val="single" w:sz="8" w:space="0" w:color="auto"/>
              <w:bottom w:val="single" w:sz="8" w:space="0" w:color="auto"/>
              <w:right w:val="nil"/>
            </w:tcBorders>
            <w:noWrap/>
            <w:vAlign w:val="center"/>
            <w:hideMark/>
          </w:tcPr>
          <w:p w14:paraId="43EEC848" w14:textId="77777777"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noWrap/>
            <w:vAlign w:val="center"/>
          </w:tcPr>
          <w:p w14:paraId="3A865E34" w14:textId="176F215C"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0.01%</w:t>
            </w:r>
          </w:p>
        </w:tc>
        <w:tc>
          <w:tcPr>
            <w:tcW w:w="1060" w:type="dxa"/>
            <w:tcBorders>
              <w:top w:val="nil"/>
              <w:left w:val="nil"/>
              <w:bottom w:val="single" w:sz="8" w:space="0" w:color="auto"/>
              <w:right w:val="nil"/>
            </w:tcBorders>
            <w:noWrap/>
            <w:vAlign w:val="center"/>
          </w:tcPr>
          <w:p w14:paraId="4FD8C7E2" w14:textId="6746BD7E"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0.24%</w:t>
            </w:r>
          </w:p>
        </w:tc>
        <w:tc>
          <w:tcPr>
            <w:tcW w:w="1181" w:type="dxa"/>
            <w:tcBorders>
              <w:top w:val="nil"/>
              <w:left w:val="nil"/>
              <w:bottom w:val="single" w:sz="8" w:space="0" w:color="auto"/>
              <w:right w:val="single" w:sz="4" w:space="0" w:color="auto"/>
            </w:tcBorders>
            <w:noWrap/>
            <w:vAlign w:val="center"/>
          </w:tcPr>
          <w:p w14:paraId="4A78FE85" w14:textId="582DF0F1"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0.32%</w:t>
            </w:r>
          </w:p>
        </w:tc>
        <w:tc>
          <w:tcPr>
            <w:tcW w:w="1060" w:type="dxa"/>
            <w:tcBorders>
              <w:top w:val="nil"/>
              <w:left w:val="nil"/>
              <w:bottom w:val="single" w:sz="8" w:space="0" w:color="auto"/>
              <w:right w:val="nil"/>
            </w:tcBorders>
            <w:noWrap/>
            <w:vAlign w:val="center"/>
          </w:tcPr>
          <w:p w14:paraId="1EC910DB" w14:textId="35446023"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c>
          <w:tcPr>
            <w:tcW w:w="1060" w:type="dxa"/>
            <w:tcBorders>
              <w:top w:val="nil"/>
              <w:left w:val="nil"/>
              <w:bottom w:val="single" w:sz="8" w:space="0" w:color="auto"/>
              <w:right w:val="single" w:sz="8" w:space="0" w:color="auto"/>
            </w:tcBorders>
            <w:noWrap/>
            <w:vAlign w:val="center"/>
          </w:tcPr>
          <w:p w14:paraId="2298618D" w14:textId="73F8AC9B" w:rsidR="001264BC" w:rsidRDefault="001264BC" w:rsidP="001264BC">
            <w:pPr>
              <w:tabs>
                <w:tab w:val="clear" w:pos="360"/>
              </w:tabs>
              <w:overflowPunct/>
              <w:autoSpaceDE/>
              <w:adjustRightInd/>
              <w:spacing w:before="0"/>
              <w:jc w:val="center"/>
              <w:rPr>
                <w:rFonts w:ascii="Arial" w:eastAsia="Times New Roman" w:hAnsi="Arial" w:cs="Arial"/>
                <w:color w:val="000000"/>
                <w:sz w:val="18"/>
                <w:szCs w:val="18"/>
                <w:lang w:eastAsia="zh-TW"/>
              </w:rPr>
            </w:pPr>
            <w:r>
              <w:rPr>
                <w:rFonts w:ascii="Arial" w:eastAsia="맑은 고딕" w:hAnsi="Arial" w:cs="Arial"/>
                <w:color w:val="000000"/>
                <w:sz w:val="18"/>
                <w:szCs w:val="18"/>
              </w:rPr>
              <w:t>100%</w:t>
            </w:r>
          </w:p>
        </w:tc>
      </w:tr>
    </w:tbl>
    <w:p w14:paraId="780DF74F" w14:textId="77777777" w:rsidR="00FC2E0F" w:rsidRPr="003C5F47" w:rsidRDefault="00FC2E0F" w:rsidP="003C5F47">
      <w:pPr>
        <w:rPr>
          <w:lang w:val="en-CA"/>
        </w:rPr>
      </w:pPr>
    </w:p>
    <w:p w14:paraId="5EA7E1FB" w14:textId="14CDDECE" w:rsidR="003C5F47" w:rsidRDefault="003C5F47" w:rsidP="003C5F47">
      <w:pPr>
        <w:pStyle w:val="1"/>
        <w:rPr>
          <w:lang w:val="en-CA"/>
        </w:rPr>
      </w:pPr>
      <w:r>
        <w:rPr>
          <w:lang w:val="en-CA"/>
        </w:rPr>
        <w:t>Conclusion</w:t>
      </w:r>
    </w:p>
    <w:p w14:paraId="38E92ECC" w14:textId="5DB4CC91" w:rsidR="003C5F47" w:rsidRPr="003C5F47" w:rsidRDefault="003C5F47" w:rsidP="003C5F47">
      <w:pPr>
        <w:rPr>
          <w:szCs w:val="22"/>
          <w:lang w:val="en-CA"/>
        </w:rPr>
      </w:pPr>
      <w:r>
        <w:rPr>
          <w:lang w:val="en-CA" w:eastAsia="ko-KR"/>
        </w:rPr>
        <w:t>In this contribution, harmonization method between WAIP and ISP is proposed</w:t>
      </w:r>
      <w:r w:rsidR="00384849">
        <w:rPr>
          <w:lang w:val="en-CA" w:eastAsia="ko-KR"/>
        </w:rPr>
        <w:t>,</w:t>
      </w:r>
      <w:r>
        <w:rPr>
          <w:lang w:val="en-CA" w:eastAsia="ko-KR"/>
        </w:rPr>
        <w:t xml:space="preserve"> which provides an efficient breakthrough for the inconsistency design.</w:t>
      </w:r>
      <w:r w:rsidRPr="003C5F47">
        <w:rPr>
          <w:lang w:val="en-CA" w:eastAsia="ko-KR"/>
        </w:rPr>
        <w:t xml:space="preserve"> </w:t>
      </w:r>
      <w:r>
        <w:rPr>
          <w:lang w:val="en-CA" w:eastAsia="ko-KR"/>
        </w:rPr>
        <w:t>It is recommended to adopt the proposed method in the next VTM.</w:t>
      </w:r>
    </w:p>
    <w:sdt>
      <w:sdtPr>
        <w:rPr>
          <w:rFonts w:cs="Times New Roman"/>
          <w:kern w:val="0"/>
          <w:sz w:val="22"/>
          <w:szCs w:val="20"/>
        </w:rPr>
        <w:id w:val="-2005884720"/>
        <w:docPartObj>
          <w:docPartGallery w:val="Bibliographies"/>
          <w:docPartUnique/>
        </w:docPartObj>
      </w:sdtPr>
      <w:sdtEndPr>
        <w:rPr>
          <w:rFonts w:cs="Arial"/>
          <w:kern w:val="32"/>
          <w:sz w:val="32"/>
          <w:szCs w:val="32"/>
        </w:rPr>
      </w:sdtEndPr>
      <w:sdtContent>
        <w:sdt>
          <w:sdtPr>
            <w:rPr>
              <w:rFonts w:cs="Times New Roman"/>
              <w:kern w:val="0"/>
              <w:sz w:val="22"/>
              <w:szCs w:val="20"/>
            </w:rPr>
            <w:id w:val="2131592449"/>
            <w:docPartObj>
              <w:docPartGallery w:val="Bibliographies"/>
              <w:docPartUnique/>
            </w:docPartObj>
          </w:sdtPr>
          <w:sdtEndPr>
            <w:rPr>
              <w:rFonts w:cs="Arial"/>
              <w:kern w:val="32"/>
              <w:sz w:val="32"/>
              <w:szCs w:val="32"/>
            </w:rPr>
          </w:sdtEndPr>
          <w:sdtContent>
            <w:sdt>
              <w:sdtPr>
                <w:rPr>
                  <w:rFonts w:cs="Times New Roman"/>
                  <w:kern w:val="0"/>
                  <w:sz w:val="22"/>
                  <w:szCs w:val="20"/>
                </w:rPr>
                <w:id w:val="808361258"/>
                <w:docPartObj>
                  <w:docPartGallery w:val="Bibliographies"/>
                  <w:docPartUnique/>
                </w:docPartObj>
              </w:sdtPr>
              <w:sdtEndPr>
                <w:rPr>
                  <w:rFonts w:cs="Arial"/>
                  <w:kern w:val="32"/>
                  <w:sz w:val="32"/>
                  <w:szCs w:val="32"/>
                </w:rPr>
              </w:sdtEndPr>
              <w:sdtContent>
                <w:bookmarkStart w:id="1" w:name="_Hlk2947847" w:displacedByCustomXml="next"/>
                <w:bookmarkEnd w:id="1"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2300541F" w:rsidR="005452AF" w:rsidRPr="003C5F47" w:rsidRDefault="005452AF" w:rsidP="003C5F47">
                      <w:pPr>
                        <w:pStyle w:val="1"/>
                        <w:rPr>
                          <w:lang w:val="en-CA"/>
                        </w:rPr>
                      </w:pPr>
                      <w:r>
                        <w:t>References</w:t>
                      </w:r>
                    </w:p>
                    <w:sdt>
                      <w:sdtPr>
                        <w:id w:val="-573587230"/>
                        <w:bibliography/>
                      </w:sdtPr>
                      <w:sdtEndPr/>
                      <w:sdtContent>
                        <w:p w14:paraId="6BD70B42" w14:textId="77777777" w:rsidR="0070176A"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70176A" w14:paraId="07C77DFC" w14:textId="77777777">
                            <w:trPr>
                              <w:divId w:val="1030454870"/>
                              <w:tblCellSpacing w:w="15" w:type="dxa"/>
                            </w:trPr>
                            <w:tc>
                              <w:tcPr>
                                <w:tcW w:w="50" w:type="pct"/>
                                <w:hideMark/>
                              </w:tcPr>
                              <w:p w14:paraId="62C80684" w14:textId="280F3E55" w:rsidR="0070176A" w:rsidRDefault="0070176A">
                                <w:pPr>
                                  <w:pStyle w:val="ae"/>
                                  <w:rPr>
                                    <w:noProof/>
                                    <w:sz w:val="24"/>
                                    <w:szCs w:val="24"/>
                                  </w:rPr>
                                </w:pPr>
                                <w:r>
                                  <w:rPr>
                                    <w:noProof/>
                                  </w:rPr>
                                  <w:t xml:space="preserve">[1] </w:t>
                                </w:r>
                              </w:p>
                            </w:tc>
                            <w:tc>
                              <w:tcPr>
                                <w:tcW w:w="0" w:type="auto"/>
                                <w:hideMark/>
                              </w:tcPr>
                              <w:p w14:paraId="2EAEED04" w14:textId="7CC3E9DF" w:rsidR="0070176A" w:rsidRDefault="009E307A">
                                <w:pPr>
                                  <w:pStyle w:val="ae"/>
                                  <w:rPr>
                                    <w:noProof/>
                                  </w:rPr>
                                </w:pPr>
                                <w:r>
                                  <w:rPr>
                                    <w:noProof/>
                                  </w:rPr>
                                  <w:t xml:space="preserve">"VTM-5.0 in https://vcgit.hhi.fraunhofer.de/jvet/VVCSoftware_VTM". </w:t>
                                </w:r>
                              </w:p>
                            </w:tc>
                          </w:tr>
                          <w:tr w:rsidR="0070176A" w14:paraId="128EBA57" w14:textId="77777777">
                            <w:trPr>
                              <w:divId w:val="1030454870"/>
                              <w:tblCellSpacing w:w="15" w:type="dxa"/>
                            </w:trPr>
                            <w:tc>
                              <w:tcPr>
                                <w:tcW w:w="50" w:type="pct"/>
                                <w:hideMark/>
                              </w:tcPr>
                              <w:p w14:paraId="0B38E39F" w14:textId="77777777" w:rsidR="0070176A" w:rsidRDefault="0070176A">
                                <w:pPr>
                                  <w:pStyle w:val="ae"/>
                                  <w:rPr>
                                    <w:noProof/>
                                  </w:rPr>
                                </w:pPr>
                                <w:r>
                                  <w:rPr>
                                    <w:noProof/>
                                  </w:rPr>
                                  <w:t xml:space="preserve">[2] </w:t>
                                </w:r>
                              </w:p>
                            </w:tc>
                            <w:tc>
                              <w:tcPr>
                                <w:tcW w:w="0" w:type="auto"/>
                                <w:hideMark/>
                              </w:tcPr>
                              <w:p w14:paraId="208111A5" w14:textId="2D2556F8" w:rsidR="0070176A" w:rsidRDefault="009E307A">
                                <w:pPr>
                                  <w:pStyle w:val="ae"/>
                                  <w:rPr>
                                    <w:noProof/>
                                  </w:rPr>
                                </w:pPr>
                                <w:r>
                                  <w:t xml:space="preserve">Fabien Racapé, et al., “CE3-related: Wide-angle intra prediction for non-square blocks”, </w:t>
                                </w:r>
                                <w:r>
                                  <w:rPr>
                                    <w:lang w:eastAsia="ko-KR"/>
                                  </w:rPr>
                                  <w:t xml:space="preserve">Joint Video </w:t>
                                </w:r>
                                <w:r>
                                  <w:rPr>
                                    <w:szCs w:val="22"/>
                                    <w:lang w:eastAsia="ko-KR"/>
                                  </w:rPr>
                                  <w:t>Exploration Team (JVET) of ITU-T SG 16 WP 3 and ISO/IEC JTC1/SC 29/WG 11 JVET-K0500, 11</w:t>
                                </w:r>
                                <w:r>
                                  <w:rPr>
                                    <w:szCs w:val="22"/>
                                    <w:vertAlign w:val="superscript"/>
                                    <w:lang w:eastAsia="ko-KR"/>
                                  </w:rPr>
                                  <w:t>th</w:t>
                                </w:r>
                                <w:r>
                                  <w:rPr>
                                    <w:szCs w:val="22"/>
                                    <w:lang w:eastAsia="ko-KR"/>
                                  </w:rPr>
                                  <w:t xml:space="preserve"> meeting, Ljubljana, SI, 10</w:t>
                                </w:r>
                                <w:r>
                                  <w:t>–</w:t>
                                </w:r>
                                <w:r>
                                  <w:rPr>
                                    <w:szCs w:val="22"/>
                                    <w:lang w:eastAsia="ko-KR"/>
                                  </w:rPr>
                                  <w:t>18 July 2018</w:t>
                                </w:r>
                              </w:p>
                            </w:tc>
                          </w:tr>
                          <w:tr w:rsidR="0070176A" w14:paraId="62C84E11" w14:textId="77777777">
                            <w:trPr>
                              <w:divId w:val="1030454870"/>
                              <w:tblCellSpacing w:w="15" w:type="dxa"/>
                            </w:trPr>
                            <w:tc>
                              <w:tcPr>
                                <w:tcW w:w="50" w:type="pct"/>
                                <w:hideMark/>
                              </w:tcPr>
                              <w:p w14:paraId="088F5574" w14:textId="77777777" w:rsidR="0070176A" w:rsidRDefault="0070176A">
                                <w:pPr>
                                  <w:pStyle w:val="ae"/>
                                  <w:rPr>
                                    <w:noProof/>
                                  </w:rPr>
                                </w:pPr>
                                <w:r>
                                  <w:rPr>
                                    <w:noProof/>
                                  </w:rPr>
                                  <w:t xml:space="preserve">[3] </w:t>
                                </w:r>
                              </w:p>
                            </w:tc>
                            <w:tc>
                              <w:tcPr>
                                <w:tcW w:w="0" w:type="auto"/>
                                <w:hideMark/>
                              </w:tcPr>
                              <w:p w14:paraId="7DCDFF4E" w14:textId="78C1BC01" w:rsidR="0070176A" w:rsidRDefault="009E307A">
                                <w:pPr>
                                  <w:pStyle w:val="ae"/>
                                  <w:rPr>
                                    <w:noProof/>
                                  </w:rPr>
                                </w:pPr>
                                <w:r>
                                  <w:rPr>
                                    <w:szCs w:val="22"/>
                                  </w:rPr>
                                  <w:t xml:space="preserve">Santiago De-Luxán-Hernández, et al., “CE3: Intra Sub-Partitions Coding Modes”, </w:t>
                                </w:r>
                                <w:r>
                                  <w:rPr>
                                    <w:lang w:eastAsia="ko-KR"/>
                                  </w:rPr>
                                  <w:t xml:space="preserve">Joint Video </w:t>
                                </w:r>
                                <w:r>
                                  <w:rPr>
                                    <w:szCs w:val="22"/>
                                    <w:lang w:eastAsia="ko-KR"/>
                                  </w:rPr>
                                  <w:t>Exploration Team (JVET) of ITU-T SG 16 WP 3 and ISO/IEC JTC1/SC 29/WG 11 JVET-M0102, 13</w:t>
                                </w:r>
                                <w:r>
                                  <w:rPr>
                                    <w:szCs w:val="22"/>
                                    <w:vertAlign w:val="superscript"/>
                                    <w:lang w:eastAsia="ko-KR"/>
                                  </w:rPr>
                                  <w:t>th</w:t>
                                </w:r>
                                <w:r>
                                  <w:rPr>
                                    <w:szCs w:val="22"/>
                                    <w:lang w:eastAsia="ko-KR"/>
                                  </w:rPr>
                                  <w:t xml:space="preserve"> meeting, Marrakech, MA, 9</w:t>
                                </w:r>
                                <w:r>
                                  <w:t>–</w:t>
                                </w:r>
                                <w:r>
                                  <w:rPr>
                                    <w:szCs w:val="22"/>
                                    <w:lang w:eastAsia="ko-KR"/>
                                  </w:rPr>
                                  <w:t>18 Jan. 2019</w:t>
                                </w:r>
                              </w:p>
                            </w:tc>
                          </w:tr>
                          <w:tr w:rsidR="0070176A" w14:paraId="03E2A247" w14:textId="77777777">
                            <w:trPr>
                              <w:divId w:val="1030454870"/>
                              <w:tblCellSpacing w:w="15" w:type="dxa"/>
                            </w:trPr>
                            <w:tc>
                              <w:tcPr>
                                <w:tcW w:w="50" w:type="pct"/>
                                <w:hideMark/>
                              </w:tcPr>
                              <w:p w14:paraId="3967D065" w14:textId="77777777" w:rsidR="0070176A" w:rsidRDefault="0070176A">
                                <w:pPr>
                                  <w:pStyle w:val="ae"/>
                                  <w:rPr>
                                    <w:noProof/>
                                  </w:rPr>
                                </w:pPr>
                                <w:r>
                                  <w:rPr>
                                    <w:noProof/>
                                  </w:rPr>
                                  <w:t xml:space="preserve">[4] </w:t>
                                </w:r>
                              </w:p>
                            </w:tc>
                            <w:tc>
                              <w:tcPr>
                                <w:tcW w:w="0" w:type="auto"/>
                                <w:hideMark/>
                              </w:tcPr>
                              <w:p w14:paraId="5EB293F2" w14:textId="77777777" w:rsidR="0070176A" w:rsidRDefault="0070176A">
                                <w:pPr>
                                  <w:pStyle w:val="ae"/>
                                  <w:rPr>
                                    <w:noProof/>
                                  </w:rPr>
                                </w:pPr>
                                <w:r>
                                  <w:rPr>
                                    <w:noProof/>
                                  </w:rPr>
                                  <w:t xml:space="preserve">F. Bossen, J. Boyce, X. Li, V. Seregin and K. Sühring, "JVET common test conditions and software reference configurations for SDR video," 2018. </w:t>
                                </w:r>
                              </w:p>
                            </w:tc>
                          </w:tr>
                        </w:tbl>
                        <w:p w14:paraId="28783ED5" w14:textId="77777777" w:rsidR="0070176A" w:rsidRDefault="0070176A">
                          <w:pPr>
                            <w:divId w:val="1030454870"/>
                            <w:rPr>
                              <w:rFonts w:eastAsia="Times New Roman"/>
                              <w:noProof/>
                            </w:rPr>
                          </w:pPr>
                        </w:p>
                        <w:p w14:paraId="6B4F760B" w14:textId="77777777" w:rsidR="005452AF" w:rsidRDefault="005452AF" w:rsidP="005452AF">
                          <w:r>
                            <w:rPr>
                              <w:b/>
                              <w:bCs/>
                              <w:noProof/>
                            </w:rPr>
                            <w:fldChar w:fldCharType="end"/>
                          </w:r>
                        </w:p>
                      </w:sdtContent>
                    </w:sdt>
                  </w:sdtContent>
                </w:sdt>
                <w:p w14:paraId="442E7A6B" w14:textId="40197BA4" w:rsidR="00BA55FF" w:rsidRPr="00BA55FF" w:rsidRDefault="001F2594" w:rsidP="00BA55FF">
                  <w:pPr>
                    <w:pStyle w:val="1"/>
                    <w:rPr>
                      <w:rFonts w:cs="Times New Roman"/>
                      <w:lang w:val="en-CA"/>
                    </w:rPr>
                  </w:pPr>
                  <w:r w:rsidRPr="002B7D68">
                    <w:rPr>
                      <w:rFonts w:cs="Times New Roman"/>
                      <w:lang w:val="en-CA"/>
                    </w:rPr>
                    <w:t>Patent rights declaration</w:t>
                  </w:r>
                  <w:r w:rsidR="00B94B06" w:rsidRPr="002B7D68">
                    <w:rPr>
                      <w:rFonts w:cs="Times New Roman"/>
                      <w:lang w:val="en-CA"/>
                    </w:rPr>
                    <w:t>(s)</w:t>
                  </w:r>
                </w:p>
              </w:sdtContent>
            </w:sdt>
          </w:sdtContent>
        </w:sdt>
      </w:sdtContent>
    </w:sdt>
    <w:p w14:paraId="7578E532" w14:textId="2C296F67" w:rsidR="00BA55FF" w:rsidRDefault="00BA55FF" w:rsidP="00BA55FF">
      <w:pPr>
        <w:rPr>
          <w:szCs w:val="22"/>
          <w:lang w:val="en-CA"/>
        </w:rPr>
      </w:pPr>
      <w:r w:rsidRPr="00BA55FF">
        <w:rPr>
          <w:b/>
          <w:szCs w:val="22"/>
          <w:lang w:val="en-CA"/>
        </w:rPr>
        <w:t xml:space="preserve"> </w:t>
      </w:r>
      <w:proofErr w:type="spellStart"/>
      <w:r>
        <w:rPr>
          <w:b/>
          <w:szCs w:val="22"/>
          <w:lang w:val="en-CA"/>
        </w:rPr>
        <w:t>Chosun</w:t>
      </w:r>
      <w:proofErr w:type="spellEnd"/>
      <w:r>
        <w:rPr>
          <w:b/>
          <w:szCs w:val="22"/>
          <w:lang w:val="en-CA"/>
        </w:rPr>
        <w:t xml:space="preserve"> University</w:t>
      </w:r>
      <w:r w:rsidR="0075423E">
        <w:rPr>
          <w:b/>
          <w:szCs w:val="22"/>
          <w:lang w:val="en-CA"/>
        </w:rPr>
        <w:t xml:space="preserve"> and Humax</w:t>
      </w:r>
      <w:r w:rsidR="008C1C00">
        <w:rPr>
          <w:b/>
          <w:szCs w:val="22"/>
          <w:lang w:val="en-CA"/>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2B7D68" w:rsidRDefault="007F1F8B" w:rsidP="009234A5">
      <w:pPr>
        <w:rPr>
          <w:szCs w:val="22"/>
          <w:lang w:val="en-CA"/>
        </w:rPr>
      </w:pPr>
    </w:p>
    <w:sectPr w:rsidR="007F1F8B" w:rsidRPr="002B7D68"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81366" w14:textId="77777777" w:rsidR="00F66B3F" w:rsidRDefault="00F66B3F">
      <w:r>
        <w:separator/>
      </w:r>
    </w:p>
  </w:endnote>
  <w:endnote w:type="continuationSeparator" w:id="0">
    <w:p w14:paraId="20D4208D" w14:textId="77777777" w:rsidR="00F66B3F" w:rsidRDefault="00F66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027DF5D" w:rsidR="007D1FF2" w:rsidRPr="00C00DDE" w:rsidRDefault="007D1FF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C0228">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264BC">
      <w:rPr>
        <w:rStyle w:val="a5"/>
        <w:noProof/>
      </w:rPr>
      <w:t>2019-07-05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38FA2" w14:textId="77777777" w:rsidR="00F66B3F" w:rsidRDefault="00F66B3F">
      <w:r>
        <w:separator/>
      </w:r>
    </w:p>
  </w:footnote>
  <w:footnote w:type="continuationSeparator" w:id="0">
    <w:p w14:paraId="37B9CADF" w14:textId="77777777" w:rsidR="00F66B3F" w:rsidRDefault="00F66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바탕"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D8385C"/>
    <w:multiLevelType w:val="hybridMultilevel"/>
    <w:tmpl w:val="67883F56"/>
    <w:lvl w:ilvl="0" w:tplc="1EAE84E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0"/>
  </w:num>
  <w:num w:numId="14">
    <w:abstractNumId w:val="9"/>
  </w:num>
  <w:num w:numId="15">
    <w:abstractNumId w:val="15"/>
  </w:num>
  <w:num w:numId="16">
    <w:abstractNumId w:val="2"/>
  </w:num>
  <w:num w:numId="17">
    <w:abstractNumId w:val="8"/>
  </w:num>
  <w:num w:numId="18">
    <w:abstractNumId w:val="19"/>
  </w:num>
  <w:num w:numId="19">
    <w:abstractNumId w:val="18"/>
  </w:num>
  <w:num w:numId="20">
    <w:abstractNumId w:val="4"/>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3C5"/>
    <w:rsid w:val="00005683"/>
    <w:rsid w:val="00005A6A"/>
    <w:rsid w:val="000125ED"/>
    <w:rsid w:val="00020CFE"/>
    <w:rsid w:val="00022810"/>
    <w:rsid w:val="00023C7B"/>
    <w:rsid w:val="00026C5C"/>
    <w:rsid w:val="00027F01"/>
    <w:rsid w:val="000308A3"/>
    <w:rsid w:val="00032DC7"/>
    <w:rsid w:val="00040FA4"/>
    <w:rsid w:val="000455A8"/>
    <w:rsid w:val="00045829"/>
    <w:rsid w:val="000458BC"/>
    <w:rsid w:val="00045C41"/>
    <w:rsid w:val="00046C03"/>
    <w:rsid w:val="00053682"/>
    <w:rsid w:val="00054712"/>
    <w:rsid w:val="00055351"/>
    <w:rsid w:val="00055B71"/>
    <w:rsid w:val="00057180"/>
    <w:rsid w:val="000625CF"/>
    <w:rsid w:val="00064E18"/>
    <w:rsid w:val="00065039"/>
    <w:rsid w:val="00070143"/>
    <w:rsid w:val="00070FA5"/>
    <w:rsid w:val="0007614F"/>
    <w:rsid w:val="0007775B"/>
    <w:rsid w:val="00081398"/>
    <w:rsid w:val="000817A8"/>
    <w:rsid w:val="000827A0"/>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759"/>
    <w:rsid w:val="000E0B8A"/>
    <w:rsid w:val="000E7251"/>
    <w:rsid w:val="000F0B9A"/>
    <w:rsid w:val="000F158C"/>
    <w:rsid w:val="000F2B0B"/>
    <w:rsid w:val="00102F3D"/>
    <w:rsid w:val="001051AD"/>
    <w:rsid w:val="0010708F"/>
    <w:rsid w:val="00116CD5"/>
    <w:rsid w:val="00116F80"/>
    <w:rsid w:val="00124E38"/>
    <w:rsid w:val="00124E70"/>
    <w:rsid w:val="0012580B"/>
    <w:rsid w:val="001264BC"/>
    <w:rsid w:val="00131F90"/>
    <w:rsid w:val="0013458C"/>
    <w:rsid w:val="0013526E"/>
    <w:rsid w:val="001455D7"/>
    <w:rsid w:val="00146152"/>
    <w:rsid w:val="00154E1A"/>
    <w:rsid w:val="00155526"/>
    <w:rsid w:val="00155633"/>
    <w:rsid w:val="00157AD9"/>
    <w:rsid w:val="00157DCC"/>
    <w:rsid w:val="00171371"/>
    <w:rsid w:val="00171F69"/>
    <w:rsid w:val="00172BB3"/>
    <w:rsid w:val="00173B0A"/>
    <w:rsid w:val="00175A24"/>
    <w:rsid w:val="00176123"/>
    <w:rsid w:val="00176C5D"/>
    <w:rsid w:val="00177EF7"/>
    <w:rsid w:val="00185469"/>
    <w:rsid w:val="00185FB4"/>
    <w:rsid w:val="001865A8"/>
    <w:rsid w:val="00187E58"/>
    <w:rsid w:val="00193C53"/>
    <w:rsid w:val="001A0DE8"/>
    <w:rsid w:val="001A297E"/>
    <w:rsid w:val="001A368E"/>
    <w:rsid w:val="001A7329"/>
    <w:rsid w:val="001A792F"/>
    <w:rsid w:val="001B4E28"/>
    <w:rsid w:val="001C3525"/>
    <w:rsid w:val="001C362E"/>
    <w:rsid w:val="001C3AFB"/>
    <w:rsid w:val="001C5DBE"/>
    <w:rsid w:val="001C7D8C"/>
    <w:rsid w:val="001C7ECF"/>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64A6"/>
    <w:rsid w:val="00226FE4"/>
    <w:rsid w:val="00227BA7"/>
    <w:rsid w:val="0023011C"/>
    <w:rsid w:val="002375C1"/>
    <w:rsid w:val="00243507"/>
    <w:rsid w:val="002449E6"/>
    <w:rsid w:val="002522B1"/>
    <w:rsid w:val="0025240A"/>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A54E0"/>
    <w:rsid w:val="002A5F10"/>
    <w:rsid w:val="002A76EC"/>
    <w:rsid w:val="002B1595"/>
    <w:rsid w:val="002B191D"/>
    <w:rsid w:val="002B2E83"/>
    <w:rsid w:val="002B7D68"/>
    <w:rsid w:val="002C46EC"/>
    <w:rsid w:val="002D0AF6"/>
    <w:rsid w:val="002D0B50"/>
    <w:rsid w:val="002D1629"/>
    <w:rsid w:val="002D20D8"/>
    <w:rsid w:val="002E3753"/>
    <w:rsid w:val="002F164D"/>
    <w:rsid w:val="003021BC"/>
    <w:rsid w:val="00303622"/>
    <w:rsid w:val="00306206"/>
    <w:rsid w:val="00312E15"/>
    <w:rsid w:val="00314396"/>
    <w:rsid w:val="00315470"/>
    <w:rsid w:val="0031792C"/>
    <w:rsid w:val="00317B3C"/>
    <w:rsid w:val="00317D85"/>
    <w:rsid w:val="00317E47"/>
    <w:rsid w:val="003206B6"/>
    <w:rsid w:val="0032502E"/>
    <w:rsid w:val="00327C56"/>
    <w:rsid w:val="003315A1"/>
    <w:rsid w:val="00333A07"/>
    <w:rsid w:val="00335EAE"/>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33CF"/>
    <w:rsid w:val="00384849"/>
    <w:rsid w:val="00386D3E"/>
    <w:rsid w:val="00390BD3"/>
    <w:rsid w:val="00395A70"/>
    <w:rsid w:val="003A26FA"/>
    <w:rsid w:val="003A2D8E"/>
    <w:rsid w:val="003A4A7F"/>
    <w:rsid w:val="003A4B75"/>
    <w:rsid w:val="003A5D48"/>
    <w:rsid w:val="003A5E1C"/>
    <w:rsid w:val="003A7CE6"/>
    <w:rsid w:val="003B055D"/>
    <w:rsid w:val="003B55B5"/>
    <w:rsid w:val="003B6C11"/>
    <w:rsid w:val="003C20E4"/>
    <w:rsid w:val="003C3A6F"/>
    <w:rsid w:val="003C4BB2"/>
    <w:rsid w:val="003C5F47"/>
    <w:rsid w:val="003D09EA"/>
    <w:rsid w:val="003D5B0C"/>
    <w:rsid w:val="003D6342"/>
    <w:rsid w:val="003E3CE4"/>
    <w:rsid w:val="003E6F90"/>
    <w:rsid w:val="003E73ED"/>
    <w:rsid w:val="003F32E2"/>
    <w:rsid w:val="003F5D0F"/>
    <w:rsid w:val="00400A28"/>
    <w:rsid w:val="00407537"/>
    <w:rsid w:val="00410FCF"/>
    <w:rsid w:val="004129DB"/>
    <w:rsid w:val="00414101"/>
    <w:rsid w:val="0041507E"/>
    <w:rsid w:val="004219CF"/>
    <w:rsid w:val="004234F0"/>
    <w:rsid w:val="00424252"/>
    <w:rsid w:val="00426874"/>
    <w:rsid w:val="00432046"/>
    <w:rsid w:val="00433DDB"/>
    <w:rsid w:val="00435A29"/>
    <w:rsid w:val="00437143"/>
    <w:rsid w:val="00437619"/>
    <w:rsid w:val="004433DD"/>
    <w:rsid w:val="00445DED"/>
    <w:rsid w:val="00451A55"/>
    <w:rsid w:val="00454125"/>
    <w:rsid w:val="00457A81"/>
    <w:rsid w:val="00465A1E"/>
    <w:rsid w:val="00466C41"/>
    <w:rsid w:val="004675F3"/>
    <w:rsid w:val="0048307A"/>
    <w:rsid w:val="00483802"/>
    <w:rsid w:val="004839C1"/>
    <w:rsid w:val="004877F8"/>
    <w:rsid w:val="004930F6"/>
    <w:rsid w:val="0049445A"/>
    <w:rsid w:val="004A05BE"/>
    <w:rsid w:val="004A2A63"/>
    <w:rsid w:val="004B210C"/>
    <w:rsid w:val="004C2112"/>
    <w:rsid w:val="004C4BE5"/>
    <w:rsid w:val="004C6619"/>
    <w:rsid w:val="004D405F"/>
    <w:rsid w:val="004E0D80"/>
    <w:rsid w:val="004E229C"/>
    <w:rsid w:val="004E4F4F"/>
    <w:rsid w:val="004E6789"/>
    <w:rsid w:val="004F1FB8"/>
    <w:rsid w:val="004F2846"/>
    <w:rsid w:val="004F3394"/>
    <w:rsid w:val="004F61E3"/>
    <w:rsid w:val="004F6985"/>
    <w:rsid w:val="00500C99"/>
    <w:rsid w:val="00502D97"/>
    <w:rsid w:val="00502E10"/>
    <w:rsid w:val="00504301"/>
    <w:rsid w:val="00504A25"/>
    <w:rsid w:val="0051015C"/>
    <w:rsid w:val="00515657"/>
    <w:rsid w:val="0051642B"/>
    <w:rsid w:val="00516CF1"/>
    <w:rsid w:val="00520506"/>
    <w:rsid w:val="0052099B"/>
    <w:rsid w:val="00520C90"/>
    <w:rsid w:val="00522B3C"/>
    <w:rsid w:val="00522E66"/>
    <w:rsid w:val="005240BD"/>
    <w:rsid w:val="005302A7"/>
    <w:rsid w:val="00531AE9"/>
    <w:rsid w:val="0054324E"/>
    <w:rsid w:val="005452AF"/>
    <w:rsid w:val="00547E0B"/>
    <w:rsid w:val="00550A66"/>
    <w:rsid w:val="00550D04"/>
    <w:rsid w:val="00551088"/>
    <w:rsid w:val="00552113"/>
    <w:rsid w:val="00552FA9"/>
    <w:rsid w:val="0055466B"/>
    <w:rsid w:val="00561085"/>
    <w:rsid w:val="00563BB2"/>
    <w:rsid w:val="00567EC7"/>
    <w:rsid w:val="00570013"/>
    <w:rsid w:val="005753EC"/>
    <w:rsid w:val="005767E8"/>
    <w:rsid w:val="005801A2"/>
    <w:rsid w:val="00580361"/>
    <w:rsid w:val="0058375B"/>
    <w:rsid w:val="00583E9E"/>
    <w:rsid w:val="0058710C"/>
    <w:rsid w:val="00590F13"/>
    <w:rsid w:val="00591573"/>
    <w:rsid w:val="0059455B"/>
    <w:rsid w:val="005952A5"/>
    <w:rsid w:val="005A33A1"/>
    <w:rsid w:val="005A6185"/>
    <w:rsid w:val="005B1229"/>
    <w:rsid w:val="005B2071"/>
    <w:rsid w:val="005B217D"/>
    <w:rsid w:val="005B2DA2"/>
    <w:rsid w:val="005B54C1"/>
    <w:rsid w:val="005B62A3"/>
    <w:rsid w:val="005B78E3"/>
    <w:rsid w:val="005C0228"/>
    <w:rsid w:val="005C385F"/>
    <w:rsid w:val="005D04FC"/>
    <w:rsid w:val="005D345D"/>
    <w:rsid w:val="005E05AB"/>
    <w:rsid w:val="005E1AC6"/>
    <w:rsid w:val="005F0488"/>
    <w:rsid w:val="005F6F1B"/>
    <w:rsid w:val="0060308E"/>
    <w:rsid w:val="006057C4"/>
    <w:rsid w:val="00607E02"/>
    <w:rsid w:val="00610323"/>
    <w:rsid w:val="006110AF"/>
    <w:rsid w:val="006135AA"/>
    <w:rsid w:val="006143AF"/>
    <w:rsid w:val="00615995"/>
    <w:rsid w:val="00616155"/>
    <w:rsid w:val="006236C5"/>
    <w:rsid w:val="006236F0"/>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9C9"/>
    <w:rsid w:val="006A6FD5"/>
    <w:rsid w:val="006B223A"/>
    <w:rsid w:val="006B259F"/>
    <w:rsid w:val="006B2EAD"/>
    <w:rsid w:val="006B391E"/>
    <w:rsid w:val="006B421B"/>
    <w:rsid w:val="006C396B"/>
    <w:rsid w:val="006C5D39"/>
    <w:rsid w:val="006C644E"/>
    <w:rsid w:val="006C6EBE"/>
    <w:rsid w:val="006D2786"/>
    <w:rsid w:val="006D3799"/>
    <w:rsid w:val="006D4E33"/>
    <w:rsid w:val="006D6D9B"/>
    <w:rsid w:val="006E2810"/>
    <w:rsid w:val="006E3518"/>
    <w:rsid w:val="006E5417"/>
    <w:rsid w:val="006F0794"/>
    <w:rsid w:val="006F7528"/>
    <w:rsid w:val="00700436"/>
    <w:rsid w:val="0070176A"/>
    <w:rsid w:val="007023DE"/>
    <w:rsid w:val="00704AFF"/>
    <w:rsid w:val="00705B57"/>
    <w:rsid w:val="00707CDA"/>
    <w:rsid w:val="00710045"/>
    <w:rsid w:val="00711E8A"/>
    <w:rsid w:val="00712F60"/>
    <w:rsid w:val="00720E3B"/>
    <w:rsid w:val="00723BFC"/>
    <w:rsid w:val="00726C49"/>
    <w:rsid w:val="00734090"/>
    <w:rsid w:val="0073621B"/>
    <w:rsid w:val="00737011"/>
    <w:rsid w:val="00742A3B"/>
    <w:rsid w:val="0074393F"/>
    <w:rsid w:val="00745F6B"/>
    <w:rsid w:val="0075423E"/>
    <w:rsid w:val="0075585E"/>
    <w:rsid w:val="0075684D"/>
    <w:rsid w:val="00760D9D"/>
    <w:rsid w:val="00770571"/>
    <w:rsid w:val="007708FA"/>
    <w:rsid w:val="007718F5"/>
    <w:rsid w:val="00773B37"/>
    <w:rsid w:val="007768FF"/>
    <w:rsid w:val="00776EF7"/>
    <w:rsid w:val="0078093A"/>
    <w:rsid w:val="007824D3"/>
    <w:rsid w:val="0078297A"/>
    <w:rsid w:val="00783123"/>
    <w:rsid w:val="00790E13"/>
    <w:rsid w:val="00796120"/>
    <w:rsid w:val="00796EE3"/>
    <w:rsid w:val="007A0B5F"/>
    <w:rsid w:val="007A4C32"/>
    <w:rsid w:val="007A75E9"/>
    <w:rsid w:val="007A7D29"/>
    <w:rsid w:val="007B4AB8"/>
    <w:rsid w:val="007C69A8"/>
    <w:rsid w:val="007C6E1E"/>
    <w:rsid w:val="007D1181"/>
    <w:rsid w:val="007D1FF2"/>
    <w:rsid w:val="007D645A"/>
    <w:rsid w:val="007E01A3"/>
    <w:rsid w:val="007E12EA"/>
    <w:rsid w:val="007F0BC3"/>
    <w:rsid w:val="007F1EE1"/>
    <w:rsid w:val="007F1F8B"/>
    <w:rsid w:val="007F2035"/>
    <w:rsid w:val="007F2F8F"/>
    <w:rsid w:val="007F34E7"/>
    <w:rsid w:val="007F3A6F"/>
    <w:rsid w:val="007F5609"/>
    <w:rsid w:val="007F67A1"/>
    <w:rsid w:val="007F6FA8"/>
    <w:rsid w:val="0080006C"/>
    <w:rsid w:val="00800A5B"/>
    <w:rsid w:val="0080104C"/>
    <w:rsid w:val="00802B23"/>
    <w:rsid w:val="00811C05"/>
    <w:rsid w:val="00816C2E"/>
    <w:rsid w:val="008206C8"/>
    <w:rsid w:val="008326CD"/>
    <w:rsid w:val="008346AF"/>
    <w:rsid w:val="00834783"/>
    <w:rsid w:val="00834F76"/>
    <w:rsid w:val="0083717E"/>
    <w:rsid w:val="008417C4"/>
    <w:rsid w:val="00842C38"/>
    <w:rsid w:val="0084453C"/>
    <w:rsid w:val="00844B59"/>
    <w:rsid w:val="00851BAD"/>
    <w:rsid w:val="0085327F"/>
    <w:rsid w:val="00856A1A"/>
    <w:rsid w:val="00856DF3"/>
    <w:rsid w:val="0086387C"/>
    <w:rsid w:val="00874A6C"/>
    <w:rsid w:val="00876C65"/>
    <w:rsid w:val="0088052A"/>
    <w:rsid w:val="00890C21"/>
    <w:rsid w:val="0089568F"/>
    <w:rsid w:val="00897273"/>
    <w:rsid w:val="008A23C1"/>
    <w:rsid w:val="008A4B4C"/>
    <w:rsid w:val="008B5B4D"/>
    <w:rsid w:val="008B6DEA"/>
    <w:rsid w:val="008C1C00"/>
    <w:rsid w:val="008C239F"/>
    <w:rsid w:val="008C3735"/>
    <w:rsid w:val="008C4995"/>
    <w:rsid w:val="008D0EFD"/>
    <w:rsid w:val="008D1D05"/>
    <w:rsid w:val="008E480C"/>
    <w:rsid w:val="008E6764"/>
    <w:rsid w:val="008F089B"/>
    <w:rsid w:val="008F3A18"/>
    <w:rsid w:val="00901DB9"/>
    <w:rsid w:val="00905B32"/>
    <w:rsid w:val="00907757"/>
    <w:rsid w:val="00907B01"/>
    <w:rsid w:val="0092097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C16"/>
    <w:rsid w:val="0098551D"/>
    <w:rsid w:val="00987396"/>
    <w:rsid w:val="00990E67"/>
    <w:rsid w:val="00991E98"/>
    <w:rsid w:val="0099518F"/>
    <w:rsid w:val="009978F9"/>
    <w:rsid w:val="009A0D45"/>
    <w:rsid w:val="009A49B4"/>
    <w:rsid w:val="009A523D"/>
    <w:rsid w:val="009B02A1"/>
    <w:rsid w:val="009B3361"/>
    <w:rsid w:val="009B6C06"/>
    <w:rsid w:val="009C15D5"/>
    <w:rsid w:val="009C42EB"/>
    <w:rsid w:val="009D66AB"/>
    <w:rsid w:val="009D7CE6"/>
    <w:rsid w:val="009E00C4"/>
    <w:rsid w:val="009E2295"/>
    <w:rsid w:val="009E307A"/>
    <w:rsid w:val="009E4E8C"/>
    <w:rsid w:val="009F0186"/>
    <w:rsid w:val="009F1330"/>
    <w:rsid w:val="009F1472"/>
    <w:rsid w:val="009F45DC"/>
    <w:rsid w:val="009F496B"/>
    <w:rsid w:val="009F6970"/>
    <w:rsid w:val="00A01439"/>
    <w:rsid w:val="00A02E61"/>
    <w:rsid w:val="00A054C6"/>
    <w:rsid w:val="00A05CFF"/>
    <w:rsid w:val="00A111F0"/>
    <w:rsid w:val="00A13048"/>
    <w:rsid w:val="00A14D98"/>
    <w:rsid w:val="00A21531"/>
    <w:rsid w:val="00A25756"/>
    <w:rsid w:val="00A43AA9"/>
    <w:rsid w:val="00A445E5"/>
    <w:rsid w:val="00A4603B"/>
    <w:rsid w:val="00A46843"/>
    <w:rsid w:val="00A51F2B"/>
    <w:rsid w:val="00A528A6"/>
    <w:rsid w:val="00A52FA0"/>
    <w:rsid w:val="00A549B9"/>
    <w:rsid w:val="00A56B97"/>
    <w:rsid w:val="00A6093D"/>
    <w:rsid w:val="00A670D0"/>
    <w:rsid w:val="00A67531"/>
    <w:rsid w:val="00A709FB"/>
    <w:rsid w:val="00A70A6B"/>
    <w:rsid w:val="00A732B7"/>
    <w:rsid w:val="00A749DB"/>
    <w:rsid w:val="00A767DC"/>
    <w:rsid w:val="00A76A6D"/>
    <w:rsid w:val="00A812BE"/>
    <w:rsid w:val="00A83253"/>
    <w:rsid w:val="00AA5D3A"/>
    <w:rsid w:val="00AA6232"/>
    <w:rsid w:val="00AA6E84"/>
    <w:rsid w:val="00AB1A1C"/>
    <w:rsid w:val="00AB3E40"/>
    <w:rsid w:val="00AB3FE1"/>
    <w:rsid w:val="00AC01ED"/>
    <w:rsid w:val="00AC2A4D"/>
    <w:rsid w:val="00AC5B72"/>
    <w:rsid w:val="00AC754B"/>
    <w:rsid w:val="00AD05A8"/>
    <w:rsid w:val="00AD27D1"/>
    <w:rsid w:val="00AE197F"/>
    <w:rsid w:val="00AE341B"/>
    <w:rsid w:val="00AF1A3F"/>
    <w:rsid w:val="00AF2C24"/>
    <w:rsid w:val="00B016E5"/>
    <w:rsid w:val="00B01905"/>
    <w:rsid w:val="00B07CA7"/>
    <w:rsid w:val="00B1161C"/>
    <w:rsid w:val="00B1279A"/>
    <w:rsid w:val="00B13532"/>
    <w:rsid w:val="00B142E7"/>
    <w:rsid w:val="00B1431E"/>
    <w:rsid w:val="00B14829"/>
    <w:rsid w:val="00B15749"/>
    <w:rsid w:val="00B15F6B"/>
    <w:rsid w:val="00B179CA"/>
    <w:rsid w:val="00B2390E"/>
    <w:rsid w:val="00B4194A"/>
    <w:rsid w:val="00B43533"/>
    <w:rsid w:val="00B437E8"/>
    <w:rsid w:val="00B44A85"/>
    <w:rsid w:val="00B44E93"/>
    <w:rsid w:val="00B5222E"/>
    <w:rsid w:val="00B526BD"/>
    <w:rsid w:val="00B53179"/>
    <w:rsid w:val="00B563EE"/>
    <w:rsid w:val="00B57A23"/>
    <w:rsid w:val="00B600CD"/>
    <w:rsid w:val="00B61C96"/>
    <w:rsid w:val="00B61E08"/>
    <w:rsid w:val="00B61EDD"/>
    <w:rsid w:val="00B678CE"/>
    <w:rsid w:val="00B707AB"/>
    <w:rsid w:val="00B73A2A"/>
    <w:rsid w:val="00B75210"/>
    <w:rsid w:val="00B75A51"/>
    <w:rsid w:val="00B81222"/>
    <w:rsid w:val="00B82052"/>
    <w:rsid w:val="00B827C6"/>
    <w:rsid w:val="00B868D0"/>
    <w:rsid w:val="00B9064F"/>
    <w:rsid w:val="00B9329A"/>
    <w:rsid w:val="00B93A61"/>
    <w:rsid w:val="00B94B06"/>
    <w:rsid w:val="00B94C28"/>
    <w:rsid w:val="00BA55FF"/>
    <w:rsid w:val="00BA7E0C"/>
    <w:rsid w:val="00BB4034"/>
    <w:rsid w:val="00BB405E"/>
    <w:rsid w:val="00BB6475"/>
    <w:rsid w:val="00BC10BA"/>
    <w:rsid w:val="00BC5AFD"/>
    <w:rsid w:val="00BE0FE7"/>
    <w:rsid w:val="00BE2DE8"/>
    <w:rsid w:val="00BE30DB"/>
    <w:rsid w:val="00BE5A98"/>
    <w:rsid w:val="00C0086B"/>
    <w:rsid w:val="00C00DDE"/>
    <w:rsid w:val="00C04F43"/>
    <w:rsid w:val="00C05944"/>
    <w:rsid w:val="00C0609D"/>
    <w:rsid w:val="00C0795A"/>
    <w:rsid w:val="00C10BCE"/>
    <w:rsid w:val="00C115AB"/>
    <w:rsid w:val="00C122BD"/>
    <w:rsid w:val="00C13B82"/>
    <w:rsid w:val="00C14DC5"/>
    <w:rsid w:val="00C20D7E"/>
    <w:rsid w:val="00C23675"/>
    <w:rsid w:val="00C26B53"/>
    <w:rsid w:val="00C26CCB"/>
    <w:rsid w:val="00C30249"/>
    <w:rsid w:val="00C3478C"/>
    <w:rsid w:val="00C35018"/>
    <w:rsid w:val="00C3723B"/>
    <w:rsid w:val="00C41B05"/>
    <w:rsid w:val="00C42466"/>
    <w:rsid w:val="00C424A6"/>
    <w:rsid w:val="00C4485C"/>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B2B33"/>
    <w:rsid w:val="00CB719B"/>
    <w:rsid w:val="00CC159E"/>
    <w:rsid w:val="00CC2AAE"/>
    <w:rsid w:val="00CC3D3B"/>
    <w:rsid w:val="00CC5A42"/>
    <w:rsid w:val="00CC653B"/>
    <w:rsid w:val="00CD0EAB"/>
    <w:rsid w:val="00CD2437"/>
    <w:rsid w:val="00CD2D4C"/>
    <w:rsid w:val="00CD62F4"/>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0772"/>
    <w:rsid w:val="00D31423"/>
    <w:rsid w:val="00D31501"/>
    <w:rsid w:val="00D343ED"/>
    <w:rsid w:val="00D433DE"/>
    <w:rsid w:val="00D446EC"/>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20DC"/>
    <w:rsid w:val="00DA7887"/>
    <w:rsid w:val="00DB2C26"/>
    <w:rsid w:val="00DC32C3"/>
    <w:rsid w:val="00DC6087"/>
    <w:rsid w:val="00DC690A"/>
    <w:rsid w:val="00DD02F4"/>
    <w:rsid w:val="00DD0A9E"/>
    <w:rsid w:val="00DD5042"/>
    <w:rsid w:val="00DD6622"/>
    <w:rsid w:val="00DE1C7C"/>
    <w:rsid w:val="00DE5536"/>
    <w:rsid w:val="00DE611C"/>
    <w:rsid w:val="00DE6B43"/>
    <w:rsid w:val="00DF418A"/>
    <w:rsid w:val="00E06590"/>
    <w:rsid w:val="00E10AB1"/>
    <w:rsid w:val="00E11923"/>
    <w:rsid w:val="00E11A82"/>
    <w:rsid w:val="00E14B05"/>
    <w:rsid w:val="00E15C13"/>
    <w:rsid w:val="00E262D4"/>
    <w:rsid w:val="00E36250"/>
    <w:rsid w:val="00E41057"/>
    <w:rsid w:val="00E43ABA"/>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40D"/>
    <w:rsid w:val="00EB7AB1"/>
    <w:rsid w:val="00EB7D57"/>
    <w:rsid w:val="00EC7D73"/>
    <w:rsid w:val="00ED2BCC"/>
    <w:rsid w:val="00ED5F84"/>
    <w:rsid w:val="00EE1A33"/>
    <w:rsid w:val="00EE1BD8"/>
    <w:rsid w:val="00EE28C7"/>
    <w:rsid w:val="00EE5065"/>
    <w:rsid w:val="00EE523C"/>
    <w:rsid w:val="00EE7CD8"/>
    <w:rsid w:val="00EF183A"/>
    <w:rsid w:val="00EF1D62"/>
    <w:rsid w:val="00EF37F6"/>
    <w:rsid w:val="00EF48CC"/>
    <w:rsid w:val="00EF5E84"/>
    <w:rsid w:val="00F00801"/>
    <w:rsid w:val="00F00EED"/>
    <w:rsid w:val="00F04D50"/>
    <w:rsid w:val="00F10DF9"/>
    <w:rsid w:val="00F13A6E"/>
    <w:rsid w:val="00F23A39"/>
    <w:rsid w:val="00F2488D"/>
    <w:rsid w:val="00F2598E"/>
    <w:rsid w:val="00F30937"/>
    <w:rsid w:val="00F31A34"/>
    <w:rsid w:val="00F33F9B"/>
    <w:rsid w:val="00F34011"/>
    <w:rsid w:val="00F35572"/>
    <w:rsid w:val="00F44BFB"/>
    <w:rsid w:val="00F45CA2"/>
    <w:rsid w:val="00F601A0"/>
    <w:rsid w:val="00F61845"/>
    <w:rsid w:val="00F61D79"/>
    <w:rsid w:val="00F622AF"/>
    <w:rsid w:val="00F66B3F"/>
    <w:rsid w:val="00F70ABE"/>
    <w:rsid w:val="00F712E9"/>
    <w:rsid w:val="00F73032"/>
    <w:rsid w:val="00F73770"/>
    <w:rsid w:val="00F77D37"/>
    <w:rsid w:val="00F82B06"/>
    <w:rsid w:val="00F8300B"/>
    <w:rsid w:val="00F848FC"/>
    <w:rsid w:val="00F84C81"/>
    <w:rsid w:val="00F906F6"/>
    <w:rsid w:val="00F9282A"/>
    <w:rsid w:val="00F96578"/>
    <w:rsid w:val="00F96BAD"/>
    <w:rsid w:val="00F97664"/>
    <w:rsid w:val="00FA0DFD"/>
    <w:rsid w:val="00FA139D"/>
    <w:rsid w:val="00FA60F5"/>
    <w:rsid w:val="00FB0E84"/>
    <w:rsid w:val="00FB25E1"/>
    <w:rsid w:val="00FB56E6"/>
    <w:rsid w:val="00FC0911"/>
    <w:rsid w:val="00FC2405"/>
    <w:rsid w:val="00FC2E0F"/>
    <w:rsid w:val="00FC617F"/>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link w:val="Char0"/>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21CC3"/>
    <w:rPr>
      <w:rFonts w:eastAsia="MS Mincho"/>
      <w:i/>
      <w:iCs/>
      <w:sz w:val="24"/>
      <w:szCs w:val="24"/>
    </w:rPr>
  </w:style>
  <w:style w:type="paragraph" w:styleId="ac">
    <w:name w:val="List Paragraph"/>
    <w:basedOn w:val="a"/>
    <w:link w:val="Char1"/>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Char1">
    <w:name w:val="목록 단락 Char"/>
    <w:link w:val="ac"/>
    <w:uiPriority w:val="34"/>
    <w:rsid w:val="00A528A6"/>
    <w:rPr>
      <w:rFonts w:asciiTheme="minorHAnsi" w:eastAsiaTheme="minorEastAsia" w:hAnsiTheme="minorHAnsi" w:cstheme="minorBidi"/>
      <w:sz w:val="22"/>
      <w:szCs w:val="22"/>
      <w:lang w:eastAsia="zh-TW"/>
    </w:rPr>
  </w:style>
  <w:style w:type="paragraph" w:styleId="ad">
    <w:name w:val="Normal (Web)"/>
    <w:basedOn w:val="a"/>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UnresolvedMention1">
    <w:name w:val="Unresolved Mention1"/>
    <w:basedOn w:val="a0"/>
    <w:uiPriority w:val="99"/>
    <w:semiHidden/>
    <w:unhideWhenUsed/>
    <w:rsid w:val="00317E47"/>
    <w:rPr>
      <w:color w:val="605E5C"/>
      <w:shd w:val="clear" w:color="auto" w:fill="E1DFDD"/>
    </w:rPr>
  </w:style>
  <w:style w:type="paragraph" w:styleId="ae">
    <w:name w:val="Bibliography"/>
    <w:basedOn w:val="a"/>
    <w:next w:val="a"/>
    <w:uiPriority w:val="37"/>
    <w:unhideWhenUsed/>
    <w:rsid w:val="002610B7"/>
    <w:rPr>
      <w:rFonts w:eastAsia="Times New Roman"/>
    </w:rPr>
  </w:style>
  <w:style w:type="character" w:customStyle="1" w:styleId="1Char">
    <w:name w:val="제목 1 Char"/>
    <w:basedOn w:val="a0"/>
    <w:link w:val="1"/>
    <w:uiPriority w:val="9"/>
    <w:rsid w:val="002610B7"/>
    <w:rPr>
      <w:rFonts w:cs="Arial"/>
      <w:b/>
      <w:bCs/>
      <w:kern w:val="32"/>
      <w:sz w:val="32"/>
      <w:szCs w:val="32"/>
    </w:rPr>
  </w:style>
  <w:style w:type="paragraph" w:styleId="af">
    <w:name w:val="table of figures"/>
    <w:basedOn w:val="a"/>
    <w:next w:val="a"/>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af0">
    <w:name w:val="Placeholder Text"/>
    <w:basedOn w:val="a0"/>
    <w:uiPriority w:val="99"/>
    <w:semiHidden/>
    <w:rsid w:val="00171F69"/>
    <w:rPr>
      <w:color w:val="808080"/>
    </w:rPr>
  </w:style>
  <w:style w:type="character" w:styleId="af1">
    <w:name w:val="annotation reference"/>
    <w:basedOn w:val="a0"/>
    <w:rsid w:val="002672AF"/>
    <w:rPr>
      <w:sz w:val="16"/>
      <w:szCs w:val="16"/>
    </w:rPr>
  </w:style>
  <w:style w:type="paragraph" w:styleId="af2">
    <w:name w:val="annotation text"/>
    <w:basedOn w:val="a"/>
    <w:link w:val="Char2"/>
    <w:rsid w:val="002672AF"/>
    <w:rPr>
      <w:sz w:val="20"/>
    </w:rPr>
  </w:style>
  <w:style w:type="character" w:customStyle="1" w:styleId="Char2">
    <w:name w:val="메모 텍스트 Char"/>
    <w:basedOn w:val="a0"/>
    <w:link w:val="af2"/>
    <w:rsid w:val="002672AF"/>
  </w:style>
  <w:style w:type="paragraph" w:styleId="af3">
    <w:name w:val="annotation subject"/>
    <w:basedOn w:val="af2"/>
    <w:next w:val="af2"/>
    <w:link w:val="Char3"/>
    <w:rsid w:val="002672AF"/>
    <w:rPr>
      <w:b/>
      <w:bCs/>
    </w:rPr>
  </w:style>
  <w:style w:type="character" w:customStyle="1" w:styleId="Char3">
    <w:name w:val="메모 주제 Char"/>
    <w:basedOn w:val="Char2"/>
    <w:link w:val="af3"/>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776">
      <w:bodyDiv w:val="1"/>
      <w:marLeft w:val="0"/>
      <w:marRight w:val="0"/>
      <w:marTop w:val="0"/>
      <w:marBottom w:val="0"/>
      <w:divBdr>
        <w:top w:val="none" w:sz="0" w:space="0" w:color="auto"/>
        <w:left w:val="none" w:sz="0" w:space="0" w:color="auto"/>
        <w:bottom w:val="none" w:sz="0" w:space="0" w:color="auto"/>
        <w:right w:val="none" w:sz="0" w:space="0" w:color="auto"/>
      </w:divBdr>
    </w:div>
    <w:div w:id="7951451">
      <w:bodyDiv w:val="1"/>
      <w:marLeft w:val="0"/>
      <w:marRight w:val="0"/>
      <w:marTop w:val="0"/>
      <w:marBottom w:val="0"/>
      <w:divBdr>
        <w:top w:val="none" w:sz="0" w:space="0" w:color="auto"/>
        <w:left w:val="none" w:sz="0" w:space="0" w:color="auto"/>
        <w:bottom w:val="none" w:sz="0" w:space="0" w:color="auto"/>
        <w:right w:val="none" w:sz="0" w:space="0" w:color="auto"/>
      </w:divBdr>
    </w:div>
    <w:div w:id="9258658">
      <w:bodyDiv w:val="1"/>
      <w:marLeft w:val="0"/>
      <w:marRight w:val="0"/>
      <w:marTop w:val="0"/>
      <w:marBottom w:val="0"/>
      <w:divBdr>
        <w:top w:val="none" w:sz="0" w:space="0" w:color="auto"/>
        <w:left w:val="none" w:sz="0" w:space="0" w:color="auto"/>
        <w:bottom w:val="none" w:sz="0" w:space="0" w:color="auto"/>
        <w:right w:val="none" w:sz="0" w:space="0" w:color="auto"/>
      </w:divBdr>
    </w:div>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20250999">
      <w:bodyDiv w:val="1"/>
      <w:marLeft w:val="0"/>
      <w:marRight w:val="0"/>
      <w:marTop w:val="0"/>
      <w:marBottom w:val="0"/>
      <w:divBdr>
        <w:top w:val="none" w:sz="0" w:space="0" w:color="auto"/>
        <w:left w:val="none" w:sz="0" w:space="0" w:color="auto"/>
        <w:bottom w:val="none" w:sz="0" w:space="0" w:color="auto"/>
        <w:right w:val="none" w:sz="0" w:space="0" w:color="auto"/>
      </w:divBdr>
    </w:div>
    <w:div w:id="23410253">
      <w:bodyDiv w:val="1"/>
      <w:marLeft w:val="0"/>
      <w:marRight w:val="0"/>
      <w:marTop w:val="0"/>
      <w:marBottom w:val="0"/>
      <w:divBdr>
        <w:top w:val="none" w:sz="0" w:space="0" w:color="auto"/>
        <w:left w:val="none" w:sz="0" w:space="0" w:color="auto"/>
        <w:bottom w:val="none" w:sz="0" w:space="0" w:color="auto"/>
        <w:right w:val="none" w:sz="0" w:space="0" w:color="auto"/>
      </w:divBdr>
    </w:div>
    <w:div w:id="45952880">
      <w:bodyDiv w:val="1"/>
      <w:marLeft w:val="0"/>
      <w:marRight w:val="0"/>
      <w:marTop w:val="0"/>
      <w:marBottom w:val="0"/>
      <w:divBdr>
        <w:top w:val="none" w:sz="0" w:space="0" w:color="auto"/>
        <w:left w:val="none" w:sz="0" w:space="0" w:color="auto"/>
        <w:bottom w:val="none" w:sz="0" w:space="0" w:color="auto"/>
        <w:right w:val="none" w:sz="0" w:space="0" w:color="auto"/>
      </w:divBdr>
    </w:div>
    <w:div w:id="50228742">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56981853">
      <w:bodyDiv w:val="1"/>
      <w:marLeft w:val="0"/>
      <w:marRight w:val="0"/>
      <w:marTop w:val="0"/>
      <w:marBottom w:val="0"/>
      <w:divBdr>
        <w:top w:val="none" w:sz="0" w:space="0" w:color="auto"/>
        <w:left w:val="none" w:sz="0" w:space="0" w:color="auto"/>
        <w:bottom w:val="none" w:sz="0" w:space="0" w:color="auto"/>
        <w:right w:val="none" w:sz="0" w:space="0" w:color="auto"/>
      </w:divBdr>
    </w:div>
    <w:div w:id="57289088">
      <w:bodyDiv w:val="1"/>
      <w:marLeft w:val="0"/>
      <w:marRight w:val="0"/>
      <w:marTop w:val="0"/>
      <w:marBottom w:val="0"/>
      <w:divBdr>
        <w:top w:val="none" w:sz="0" w:space="0" w:color="auto"/>
        <w:left w:val="none" w:sz="0" w:space="0" w:color="auto"/>
        <w:bottom w:val="none" w:sz="0" w:space="0" w:color="auto"/>
        <w:right w:val="none" w:sz="0" w:space="0" w:color="auto"/>
      </w:divBdr>
    </w:div>
    <w:div w:id="70664393">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189997701">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210532110">
      <w:bodyDiv w:val="1"/>
      <w:marLeft w:val="0"/>
      <w:marRight w:val="0"/>
      <w:marTop w:val="0"/>
      <w:marBottom w:val="0"/>
      <w:divBdr>
        <w:top w:val="none" w:sz="0" w:space="0" w:color="auto"/>
        <w:left w:val="none" w:sz="0" w:space="0" w:color="auto"/>
        <w:bottom w:val="none" w:sz="0" w:space="0" w:color="auto"/>
        <w:right w:val="none" w:sz="0" w:space="0" w:color="auto"/>
      </w:divBdr>
    </w:div>
    <w:div w:id="213976268">
      <w:bodyDiv w:val="1"/>
      <w:marLeft w:val="0"/>
      <w:marRight w:val="0"/>
      <w:marTop w:val="0"/>
      <w:marBottom w:val="0"/>
      <w:divBdr>
        <w:top w:val="none" w:sz="0" w:space="0" w:color="auto"/>
        <w:left w:val="none" w:sz="0" w:space="0" w:color="auto"/>
        <w:bottom w:val="none" w:sz="0" w:space="0" w:color="auto"/>
        <w:right w:val="none" w:sz="0" w:space="0" w:color="auto"/>
      </w:divBdr>
    </w:div>
    <w:div w:id="215821230">
      <w:bodyDiv w:val="1"/>
      <w:marLeft w:val="0"/>
      <w:marRight w:val="0"/>
      <w:marTop w:val="0"/>
      <w:marBottom w:val="0"/>
      <w:divBdr>
        <w:top w:val="none" w:sz="0" w:space="0" w:color="auto"/>
        <w:left w:val="none" w:sz="0" w:space="0" w:color="auto"/>
        <w:bottom w:val="none" w:sz="0" w:space="0" w:color="auto"/>
        <w:right w:val="none" w:sz="0" w:space="0" w:color="auto"/>
      </w:divBdr>
    </w:div>
    <w:div w:id="225264315">
      <w:bodyDiv w:val="1"/>
      <w:marLeft w:val="0"/>
      <w:marRight w:val="0"/>
      <w:marTop w:val="0"/>
      <w:marBottom w:val="0"/>
      <w:divBdr>
        <w:top w:val="none" w:sz="0" w:space="0" w:color="auto"/>
        <w:left w:val="none" w:sz="0" w:space="0" w:color="auto"/>
        <w:bottom w:val="none" w:sz="0" w:space="0" w:color="auto"/>
        <w:right w:val="none" w:sz="0" w:space="0" w:color="auto"/>
      </w:divBdr>
    </w:div>
    <w:div w:id="238178664">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29335811">
      <w:bodyDiv w:val="1"/>
      <w:marLeft w:val="0"/>
      <w:marRight w:val="0"/>
      <w:marTop w:val="0"/>
      <w:marBottom w:val="0"/>
      <w:divBdr>
        <w:top w:val="none" w:sz="0" w:space="0" w:color="auto"/>
        <w:left w:val="none" w:sz="0" w:space="0" w:color="auto"/>
        <w:bottom w:val="none" w:sz="0" w:space="0" w:color="auto"/>
        <w:right w:val="none" w:sz="0" w:space="0" w:color="auto"/>
      </w:divBdr>
    </w:div>
    <w:div w:id="347566776">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364986279">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32287127">
      <w:bodyDiv w:val="1"/>
      <w:marLeft w:val="0"/>
      <w:marRight w:val="0"/>
      <w:marTop w:val="0"/>
      <w:marBottom w:val="0"/>
      <w:divBdr>
        <w:top w:val="none" w:sz="0" w:space="0" w:color="auto"/>
        <w:left w:val="none" w:sz="0" w:space="0" w:color="auto"/>
        <w:bottom w:val="none" w:sz="0" w:space="0" w:color="auto"/>
        <w:right w:val="none" w:sz="0" w:space="0" w:color="auto"/>
      </w:divBdr>
    </w:div>
    <w:div w:id="443770687">
      <w:bodyDiv w:val="1"/>
      <w:marLeft w:val="0"/>
      <w:marRight w:val="0"/>
      <w:marTop w:val="0"/>
      <w:marBottom w:val="0"/>
      <w:divBdr>
        <w:top w:val="none" w:sz="0" w:space="0" w:color="auto"/>
        <w:left w:val="none" w:sz="0" w:space="0" w:color="auto"/>
        <w:bottom w:val="none" w:sz="0" w:space="0" w:color="auto"/>
        <w:right w:val="none" w:sz="0" w:space="0" w:color="auto"/>
      </w:divBdr>
    </w:div>
    <w:div w:id="449974890">
      <w:bodyDiv w:val="1"/>
      <w:marLeft w:val="0"/>
      <w:marRight w:val="0"/>
      <w:marTop w:val="0"/>
      <w:marBottom w:val="0"/>
      <w:divBdr>
        <w:top w:val="none" w:sz="0" w:space="0" w:color="auto"/>
        <w:left w:val="none" w:sz="0" w:space="0" w:color="auto"/>
        <w:bottom w:val="none" w:sz="0" w:space="0" w:color="auto"/>
        <w:right w:val="none" w:sz="0" w:space="0" w:color="auto"/>
      </w:divBdr>
    </w:div>
    <w:div w:id="456608953">
      <w:bodyDiv w:val="1"/>
      <w:marLeft w:val="0"/>
      <w:marRight w:val="0"/>
      <w:marTop w:val="0"/>
      <w:marBottom w:val="0"/>
      <w:divBdr>
        <w:top w:val="none" w:sz="0" w:space="0" w:color="auto"/>
        <w:left w:val="none" w:sz="0" w:space="0" w:color="auto"/>
        <w:bottom w:val="none" w:sz="0" w:space="0" w:color="auto"/>
        <w:right w:val="none" w:sz="0" w:space="0" w:color="auto"/>
      </w:divBdr>
    </w:div>
    <w:div w:id="461122521">
      <w:bodyDiv w:val="1"/>
      <w:marLeft w:val="0"/>
      <w:marRight w:val="0"/>
      <w:marTop w:val="0"/>
      <w:marBottom w:val="0"/>
      <w:divBdr>
        <w:top w:val="none" w:sz="0" w:space="0" w:color="auto"/>
        <w:left w:val="none" w:sz="0" w:space="0" w:color="auto"/>
        <w:bottom w:val="none" w:sz="0" w:space="0" w:color="auto"/>
        <w:right w:val="none" w:sz="0" w:space="0" w:color="auto"/>
      </w:divBdr>
    </w:div>
    <w:div w:id="469636490">
      <w:bodyDiv w:val="1"/>
      <w:marLeft w:val="0"/>
      <w:marRight w:val="0"/>
      <w:marTop w:val="0"/>
      <w:marBottom w:val="0"/>
      <w:divBdr>
        <w:top w:val="none" w:sz="0" w:space="0" w:color="auto"/>
        <w:left w:val="none" w:sz="0" w:space="0" w:color="auto"/>
        <w:bottom w:val="none" w:sz="0" w:space="0" w:color="auto"/>
        <w:right w:val="none" w:sz="0" w:space="0" w:color="auto"/>
      </w:divBdr>
    </w:div>
    <w:div w:id="481046953">
      <w:bodyDiv w:val="1"/>
      <w:marLeft w:val="0"/>
      <w:marRight w:val="0"/>
      <w:marTop w:val="0"/>
      <w:marBottom w:val="0"/>
      <w:divBdr>
        <w:top w:val="none" w:sz="0" w:space="0" w:color="auto"/>
        <w:left w:val="none" w:sz="0" w:space="0" w:color="auto"/>
        <w:bottom w:val="none" w:sz="0" w:space="0" w:color="auto"/>
        <w:right w:val="none" w:sz="0" w:space="0" w:color="auto"/>
      </w:divBdr>
    </w:div>
    <w:div w:id="481700594">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35431852">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582299203">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05498578">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0839431">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38265605">
      <w:bodyDiv w:val="1"/>
      <w:marLeft w:val="0"/>
      <w:marRight w:val="0"/>
      <w:marTop w:val="0"/>
      <w:marBottom w:val="0"/>
      <w:divBdr>
        <w:top w:val="none" w:sz="0" w:space="0" w:color="auto"/>
        <w:left w:val="none" w:sz="0" w:space="0" w:color="auto"/>
        <w:bottom w:val="none" w:sz="0" w:space="0" w:color="auto"/>
        <w:right w:val="none" w:sz="0" w:space="0" w:color="auto"/>
      </w:divBdr>
    </w:div>
    <w:div w:id="647368997">
      <w:bodyDiv w:val="1"/>
      <w:marLeft w:val="0"/>
      <w:marRight w:val="0"/>
      <w:marTop w:val="0"/>
      <w:marBottom w:val="0"/>
      <w:divBdr>
        <w:top w:val="none" w:sz="0" w:space="0" w:color="auto"/>
        <w:left w:val="none" w:sz="0" w:space="0" w:color="auto"/>
        <w:bottom w:val="none" w:sz="0" w:space="0" w:color="auto"/>
        <w:right w:val="none" w:sz="0" w:space="0" w:color="auto"/>
      </w:divBdr>
    </w:div>
    <w:div w:id="655690719">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1278721">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0345197">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16124131">
      <w:bodyDiv w:val="1"/>
      <w:marLeft w:val="0"/>
      <w:marRight w:val="0"/>
      <w:marTop w:val="0"/>
      <w:marBottom w:val="0"/>
      <w:divBdr>
        <w:top w:val="none" w:sz="0" w:space="0" w:color="auto"/>
        <w:left w:val="none" w:sz="0" w:space="0" w:color="auto"/>
        <w:bottom w:val="none" w:sz="0" w:space="0" w:color="auto"/>
        <w:right w:val="none" w:sz="0" w:space="0" w:color="auto"/>
      </w:divBdr>
    </w:div>
    <w:div w:id="729428338">
      <w:bodyDiv w:val="1"/>
      <w:marLeft w:val="0"/>
      <w:marRight w:val="0"/>
      <w:marTop w:val="0"/>
      <w:marBottom w:val="0"/>
      <w:divBdr>
        <w:top w:val="none" w:sz="0" w:space="0" w:color="auto"/>
        <w:left w:val="none" w:sz="0" w:space="0" w:color="auto"/>
        <w:bottom w:val="none" w:sz="0" w:space="0" w:color="auto"/>
        <w:right w:val="none" w:sz="0" w:space="0" w:color="auto"/>
      </w:divBdr>
    </w:div>
    <w:div w:id="735519340">
      <w:bodyDiv w:val="1"/>
      <w:marLeft w:val="0"/>
      <w:marRight w:val="0"/>
      <w:marTop w:val="0"/>
      <w:marBottom w:val="0"/>
      <w:divBdr>
        <w:top w:val="none" w:sz="0" w:space="0" w:color="auto"/>
        <w:left w:val="none" w:sz="0" w:space="0" w:color="auto"/>
        <w:bottom w:val="none" w:sz="0" w:space="0" w:color="auto"/>
        <w:right w:val="none" w:sz="0" w:space="0" w:color="auto"/>
      </w:divBdr>
    </w:div>
    <w:div w:id="743336942">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66999843">
      <w:bodyDiv w:val="1"/>
      <w:marLeft w:val="0"/>
      <w:marRight w:val="0"/>
      <w:marTop w:val="0"/>
      <w:marBottom w:val="0"/>
      <w:divBdr>
        <w:top w:val="none" w:sz="0" w:space="0" w:color="auto"/>
        <w:left w:val="none" w:sz="0" w:space="0" w:color="auto"/>
        <w:bottom w:val="none" w:sz="0" w:space="0" w:color="auto"/>
        <w:right w:val="none" w:sz="0" w:space="0" w:color="auto"/>
      </w:divBdr>
    </w:div>
    <w:div w:id="777331113">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797379056">
      <w:bodyDiv w:val="1"/>
      <w:marLeft w:val="0"/>
      <w:marRight w:val="0"/>
      <w:marTop w:val="0"/>
      <w:marBottom w:val="0"/>
      <w:divBdr>
        <w:top w:val="none" w:sz="0" w:space="0" w:color="auto"/>
        <w:left w:val="none" w:sz="0" w:space="0" w:color="auto"/>
        <w:bottom w:val="none" w:sz="0" w:space="0" w:color="auto"/>
        <w:right w:val="none" w:sz="0" w:space="0" w:color="auto"/>
      </w:divBdr>
    </w:div>
    <w:div w:id="805587235">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18907432">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46930152">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67589109">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3852638">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993872285">
      <w:bodyDiv w:val="1"/>
      <w:marLeft w:val="0"/>
      <w:marRight w:val="0"/>
      <w:marTop w:val="0"/>
      <w:marBottom w:val="0"/>
      <w:divBdr>
        <w:top w:val="none" w:sz="0" w:space="0" w:color="auto"/>
        <w:left w:val="none" w:sz="0" w:space="0" w:color="auto"/>
        <w:bottom w:val="none" w:sz="0" w:space="0" w:color="auto"/>
        <w:right w:val="none" w:sz="0" w:space="0" w:color="auto"/>
      </w:divBdr>
    </w:div>
    <w:div w:id="1003363826">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30454870">
      <w:bodyDiv w:val="1"/>
      <w:marLeft w:val="0"/>
      <w:marRight w:val="0"/>
      <w:marTop w:val="0"/>
      <w:marBottom w:val="0"/>
      <w:divBdr>
        <w:top w:val="none" w:sz="0" w:space="0" w:color="auto"/>
        <w:left w:val="none" w:sz="0" w:space="0" w:color="auto"/>
        <w:bottom w:val="none" w:sz="0" w:space="0" w:color="auto"/>
        <w:right w:val="none" w:sz="0" w:space="0" w:color="auto"/>
      </w:divBdr>
    </w:div>
    <w:div w:id="1038628402">
      <w:bodyDiv w:val="1"/>
      <w:marLeft w:val="0"/>
      <w:marRight w:val="0"/>
      <w:marTop w:val="0"/>
      <w:marBottom w:val="0"/>
      <w:divBdr>
        <w:top w:val="none" w:sz="0" w:space="0" w:color="auto"/>
        <w:left w:val="none" w:sz="0" w:space="0" w:color="auto"/>
        <w:bottom w:val="none" w:sz="0" w:space="0" w:color="auto"/>
        <w:right w:val="none" w:sz="0" w:space="0" w:color="auto"/>
      </w:divBdr>
    </w:div>
    <w:div w:id="1048531353">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86422311">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00374377">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25462620">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68786989">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12613029">
      <w:bodyDiv w:val="1"/>
      <w:marLeft w:val="0"/>
      <w:marRight w:val="0"/>
      <w:marTop w:val="0"/>
      <w:marBottom w:val="0"/>
      <w:divBdr>
        <w:top w:val="none" w:sz="0" w:space="0" w:color="auto"/>
        <w:left w:val="none" w:sz="0" w:space="0" w:color="auto"/>
        <w:bottom w:val="none" w:sz="0" w:space="0" w:color="auto"/>
        <w:right w:val="none" w:sz="0" w:space="0" w:color="auto"/>
      </w:divBdr>
    </w:div>
    <w:div w:id="1243641033">
      <w:bodyDiv w:val="1"/>
      <w:marLeft w:val="0"/>
      <w:marRight w:val="0"/>
      <w:marTop w:val="0"/>
      <w:marBottom w:val="0"/>
      <w:divBdr>
        <w:top w:val="none" w:sz="0" w:space="0" w:color="auto"/>
        <w:left w:val="none" w:sz="0" w:space="0" w:color="auto"/>
        <w:bottom w:val="none" w:sz="0" w:space="0" w:color="auto"/>
        <w:right w:val="none" w:sz="0" w:space="0" w:color="auto"/>
      </w:divBdr>
    </w:div>
    <w:div w:id="1249772651">
      <w:bodyDiv w:val="1"/>
      <w:marLeft w:val="0"/>
      <w:marRight w:val="0"/>
      <w:marTop w:val="0"/>
      <w:marBottom w:val="0"/>
      <w:divBdr>
        <w:top w:val="none" w:sz="0" w:space="0" w:color="auto"/>
        <w:left w:val="none" w:sz="0" w:space="0" w:color="auto"/>
        <w:bottom w:val="none" w:sz="0" w:space="0" w:color="auto"/>
        <w:right w:val="none" w:sz="0" w:space="0" w:color="auto"/>
      </w:divBdr>
    </w:div>
    <w:div w:id="1294408337">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14795676">
      <w:bodyDiv w:val="1"/>
      <w:marLeft w:val="0"/>
      <w:marRight w:val="0"/>
      <w:marTop w:val="0"/>
      <w:marBottom w:val="0"/>
      <w:divBdr>
        <w:top w:val="none" w:sz="0" w:space="0" w:color="auto"/>
        <w:left w:val="none" w:sz="0" w:space="0" w:color="auto"/>
        <w:bottom w:val="none" w:sz="0" w:space="0" w:color="auto"/>
        <w:right w:val="none" w:sz="0" w:space="0" w:color="auto"/>
      </w:divBdr>
    </w:div>
    <w:div w:id="1321539901">
      <w:bodyDiv w:val="1"/>
      <w:marLeft w:val="0"/>
      <w:marRight w:val="0"/>
      <w:marTop w:val="0"/>
      <w:marBottom w:val="0"/>
      <w:divBdr>
        <w:top w:val="none" w:sz="0" w:space="0" w:color="auto"/>
        <w:left w:val="none" w:sz="0" w:space="0" w:color="auto"/>
        <w:bottom w:val="none" w:sz="0" w:space="0" w:color="auto"/>
        <w:right w:val="none" w:sz="0" w:space="0" w:color="auto"/>
      </w:divBdr>
    </w:div>
    <w:div w:id="1339845627">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431051602">
      <w:bodyDiv w:val="1"/>
      <w:marLeft w:val="0"/>
      <w:marRight w:val="0"/>
      <w:marTop w:val="0"/>
      <w:marBottom w:val="0"/>
      <w:divBdr>
        <w:top w:val="none" w:sz="0" w:space="0" w:color="auto"/>
        <w:left w:val="none" w:sz="0" w:space="0" w:color="auto"/>
        <w:bottom w:val="none" w:sz="0" w:space="0" w:color="auto"/>
        <w:right w:val="none" w:sz="0" w:space="0" w:color="auto"/>
      </w:divBdr>
    </w:div>
    <w:div w:id="1438912344">
      <w:bodyDiv w:val="1"/>
      <w:marLeft w:val="0"/>
      <w:marRight w:val="0"/>
      <w:marTop w:val="0"/>
      <w:marBottom w:val="0"/>
      <w:divBdr>
        <w:top w:val="none" w:sz="0" w:space="0" w:color="auto"/>
        <w:left w:val="none" w:sz="0" w:space="0" w:color="auto"/>
        <w:bottom w:val="none" w:sz="0" w:space="0" w:color="auto"/>
        <w:right w:val="none" w:sz="0" w:space="0" w:color="auto"/>
      </w:divBdr>
    </w:div>
    <w:div w:id="1454325741">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7360746">
      <w:bodyDiv w:val="1"/>
      <w:marLeft w:val="0"/>
      <w:marRight w:val="0"/>
      <w:marTop w:val="0"/>
      <w:marBottom w:val="0"/>
      <w:divBdr>
        <w:top w:val="none" w:sz="0" w:space="0" w:color="auto"/>
        <w:left w:val="none" w:sz="0" w:space="0" w:color="auto"/>
        <w:bottom w:val="none" w:sz="0" w:space="0" w:color="auto"/>
        <w:right w:val="none" w:sz="0" w:space="0" w:color="auto"/>
      </w:divBdr>
    </w:div>
    <w:div w:id="1509365911">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45219403">
      <w:bodyDiv w:val="1"/>
      <w:marLeft w:val="0"/>
      <w:marRight w:val="0"/>
      <w:marTop w:val="0"/>
      <w:marBottom w:val="0"/>
      <w:divBdr>
        <w:top w:val="none" w:sz="0" w:space="0" w:color="auto"/>
        <w:left w:val="none" w:sz="0" w:space="0" w:color="auto"/>
        <w:bottom w:val="none" w:sz="0" w:space="0" w:color="auto"/>
        <w:right w:val="none" w:sz="0" w:space="0" w:color="auto"/>
      </w:divBdr>
    </w:div>
    <w:div w:id="1576470004">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595165835">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081505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3044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3554975">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3981866">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26816918">
      <w:bodyDiv w:val="1"/>
      <w:marLeft w:val="0"/>
      <w:marRight w:val="0"/>
      <w:marTop w:val="0"/>
      <w:marBottom w:val="0"/>
      <w:divBdr>
        <w:top w:val="none" w:sz="0" w:space="0" w:color="auto"/>
        <w:left w:val="none" w:sz="0" w:space="0" w:color="auto"/>
        <w:bottom w:val="none" w:sz="0" w:space="0" w:color="auto"/>
        <w:right w:val="none" w:sz="0" w:space="0" w:color="auto"/>
      </w:divBdr>
    </w:div>
    <w:div w:id="1831285600">
      <w:bodyDiv w:val="1"/>
      <w:marLeft w:val="0"/>
      <w:marRight w:val="0"/>
      <w:marTop w:val="0"/>
      <w:marBottom w:val="0"/>
      <w:divBdr>
        <w:top w:val="none" w:sz="0" w:space="0" w:color="auto"/>
        <w:left w:val="none" w:sz="0" w:space="0" w:color="auto"/>
        <w:bottom w:val="none" w:sz="0" w:space="0" w:color="auto"/>
        <w:right w:val="none" w:sz="0" w:space="0" w:color="auto"/>
      </w:divBdr>
    </w:div>
    <w:div w:id="1832090410">
      <w:bodyDiv w:val="1"/>
      <w:marLeft w:val="0"/>
      <w:marRight w:val="0"/>
      <w:marTop w:val="0"/>
      <w:marBottom w:val="0"/>
      <w:divBdr>
        <w:top w:val="none" w:sz="0" w:space="0" w:color="auto"/>
        <w:left w:val="none" w:sz="0" w:space="0" w:color="auto"/>
        <w:bottom w:val="none" w:sz="0" w:space="0" w:color="auto"/>
        <w:right w:val="none" w:sz="0" w:space="0" w:color="auto"/>
      </w:divBdr>
    </w:div>
    <w:div w:id="1844003150">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0951637">
      <w:bodyDiv w:val="1"/>
      <w:marLeft w:val="0"/>
      <w:marRight w:val="0"/>
      <w:marTop w:val="0"/>
      <w:marBottom w:val="0"/>
      <w:divBdr>
        <w:top w:val="none" w:sz="0" w:space="0" w:color="auto"/>
        <w:left w:val="none" w:sz="0" w:space="0" w:color="auto"/>
        <w:bottom w:val="none" w:sz="0" w:space="0" w:color="auto"/>
        <w:right w:val="none" w:sz="0" w:space="0" w:color="auto"/>
      </w:divBdr>
    </w:div>
    <w:div w:id="187839640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016478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887641667">
      <w:bodyDiv w:val="1"/>
      <w:marLeft w:val="0"/>
      <w:marRight w:val="0"/>
      <w:marTop w:val="0"/>
      <w:marBottom w:val="0"/>
      <w:divBdr>
        <w:top w:val="none" w:sz="0" w:space="0" w:color="auto"/>
        <w:left w:val="none" w:sz="0" w:space="0" w:color="auto"/>
        <w:bottom w:val="none" w:sz="0" w:space="0" w:color="auto"/>
        <w:right w:val="none" w:sz="0" w:space="0" w:color="auto"/>
      </w:divBdr>
    </w:div>
    <w:div w:id="1888761358">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31425280">
      <w:bodyDiv w:val="1"/>
      <w:marLeft w:val="0"/>
      <w:marRight w:val="0"/>
      <w:marTop w:val="0"/>
      <w:marBottom w:val="0"/>
      <w:divBdr>
        <w:top w:val="none" w:sz="0" w:space="0" w:color="auto"/>
        <w:left w:val="none" w:sz="0" w:space="0" w:color="auto"/>
        <w:bottom w:val="none" w:sz="0" w:space="0" w:color="auto"/>
        <w:right w:val="none" w:sz="0" w:space="0" w:color="auto"/>
      </w:divBdr>
    </w:div>
    <w:div w:id="1948271024">
      <w:bodyDiv w:val="1"/>
      <w:marLeft w:val="0"/>
      <w:marRight w:val="0"/>
      <w:marTop w:val="0"/>
      <w:marBottom w:val="0"/>
      <w:divBdr>
        <w:top w:val="none" w:sz="0" w:space="0" w:color="auto"/>
        <w:left w:val="none" w:sz="0" w:space="0" w:color="auto"/>
        <w:bottom w:val="none" w:sz="0" w:space="0" w:color="auto"/>
        <w:right w:val="none" w:sz="0" w:space="0" w:color="auto"/>
      </w:divBdr>
    </w:div>
    <w:div w:id="1976786699">
      <w:bodyDiv w:val="1"/>
      <w:marLeft w:val="0"/>
      <w:marRight w:val="0"/>
      <w:marTop w:val="0"/>
      <w:marBottom w:val="0"/>
      <w:divBdr>
        <w:top w:val="none" w:sz="0" w:space="0" w:color="auto"/>
        <w:left w:val="none" w:sz="0" w:space="0" w:color="auto"/>
        <w:bottom w:val="none" w:sz="0" w:space="0" w:color="auto"/>
        <w:right w:val="none" w:sz="0" w:space="0" w:color="auto"/>
      </w:divBdr>
    </w:div>
    <w:div w:id="1978758837">
      <w:bodyDiv w:val="1"/>
      <w:marLeft w:val="0"/>
      <w:marRight w:val="0"/>
      <w:marTop w:val="0"/>
      <w:marBottom w:val="0"/>
      <w:divBdr>
        <w:top w:val="none" w:sz="0" w:space="0" w:color="auto"/>
        <w:left w:val="none" w:sz="0" w:space="0" w:color="auto"/>
        <w:bottom w:val="none" w:sz="0" w:space="0" w:color="auto"/>
        <w:right w:val="none" w:sz="0" w:space="0" w:color="auto"/>
      </w:divBdr>
    </w:div>
    <w:div w:id="1981496469">
      <w:bodyDiv w:val="1"/>
      <w:marLeft w:val="0"/>
      <w:marRight w:val="0"/>
      <w:marTop w:val="0"/>
      <w:marBottom w:val="0"/>
      <w:divBdr>
        <w:top w:val="none" w:sz="0" w:space="0" w:color="auto"/>
        <w:left w:val="none" w:sz="0" w:space="0" w:color="auto"/>
        <w:bottom w:val="none" w:sz="0" w:space="0" w:color="auto"/>
        <w:right w:val="none" w:sz="0" w:space="0" w:color="auto"/>
      </w:divBdr>
    </w:div>
    <w:div w:id="1983532546">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17808009">
      <w:bodyDiv w:val="1"/>
      <w:marLeft w:val="0"/>
      <w:marRight w:val="0"/>
      <w:marTop w:val="0"/>
      <w:marBottom w:val="0"/>
      <w:divBdr>
        <w:top w:val="none" w:sz="0" w:space="0" w:color="auto"/>
        <w:left w:val="none" w:sz="0" w:space="0" w:color="auto"/>
        <w:bottom w:val="none" w:sz="0" w:space="0" w:color="auto"/>
        <w:right w:val="none" w:sz="0" w:space="0" w:color="auto"/>
      </w:divBdr>
    </w:div>
    <w:div w:id="2020308124">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4697678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065445426">
      <w:bodyDiv w:val="1"/>
      <w:marLeft w:val="0"/>
      <w:marRight w:val="0"/>
      <w:marTop w:val="0"/>
      <w:marBottom w:val="0"/>
      <w:divBdr>
        <w:top w:val="none" w:sz="0" w:space="0" w:color="auto"/>
        <w:left w:val="none" w:sz="0" w:space="0" w:color="auto"/>
        <w:bottom w:val="none" w:sz="0" w:space="0" w:color="auto"/>
        <w:right w:val="none" w:sz="0" w:space="0" w:color="auto"/>
      </w:divBdr>
    </w:div>
    <w:div w:id="2072119094">
      <w:bodyDiv w:val="1"/>
      <w:marLeft w:val="0"/>
      <w:marRight w:val="0"/>
      <w:marTop w:val="0"/>
      <w:marBottom w:val="0"/>
      <w:divBdr>
        <w:top w:val="none" w:sz="0" w:space="0" w:color="auto"/>
        <w:left w:val="none" w:sz="0" w:space="0" w:color="auto"/>
        <w:bottom w:val="none" w:sz="0" w:space="0" w:color="auto"/>
        <w:right w:val="none" w:sz="0" w:space="0" w:color="auto"/>
      </w:divBdr>
    </w:div>
    <w:div w:id="2090615765">
      <w:bodyDiv w:val="1"/>
      <w:marLeft w:val="0"/>
      <w:marRight w:val="0"/>
      <w:marTop w:val="0"/>
      <w:marBottom w:val="0"/>
      <w:divBdr>
        <w:top w:val="none" w:sz="0" w:space="0" w:color="auto"/>
        <w:left w:val="none" w:sz="0" w:space="0" w:color="auto"/>
        <w:bottom w:val="none" w:sz="0" w:space="0" w:color="auto"/>
        <w:right w:val="none" w:sz="0" w:space="0" w:color="auto"/>
      </w:divBdr>
    </w:div>
    <w:div w:id="2099911391">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4</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3</b:RefOrder>
  </b:Source>
  <b:Source>
    <b:Tag>TCM19</b:Tag>
    <b:SourceType>Report</b:SourceType>
    <b:Guid>{0603B029-5DD1-4AA6-B838-F3056FE9DCDF}</b:Guid>
    <b:Author>
      <b:Author>
        <b:NameList>
          <b:Person>
            <b:Last>Ma</b:Last>
            <b:First>Tsung-Chuan</b:First>
          </b:Person>
          <b:Person>
            <b:Last>Xiu</b:Last>
            <b:First>Xiaoyu</b:First>
          </b:Person>
          <b:Person>
            <b:Last>Chen</b:Last>
            <b:First>Yi-Wen</b:First>
          </b:Person>
          <b:Person>
            <b:Last>Wang</b:Last>
            <b:First>Xianglin</b:First>
          </b:Person>
        </b:NameList>
      </b:Author>
    </b:Author>
    <b:Title>Non-CE3: Intra Sub-Partitions Coding without Thin Partitions</b:Title>
    <b:Year>2019</b:Year>
    <b:Publisher>Document JVET-N0330</b:Publisher>
    <b:City>Geneva, CH</b:City>
    <b:RefOrder>2</b:RefOrder>
  </b:Source>
  <b:Source>
    <b:Tag>VTM</b:Tag>
    <b:SourceType>ConferenceProceedings</b:SourceType>
    <b:Guid>{0B4D3620-0526-412C-8190-F7F0FBC32001}</b:Guid>
    <b:Title>VTM-5.0 in https://vcgit.hhi.fraunhofer.de/jvet/VVCSoftware_VTM</b:Title>
    <b:RefOrder>1</b:RefOrder>
  </b:Source>
</b:Sources>
</file>

<file path=customXml/itemProps1.xml><?xml version="1.0" encoding="utf-8"?>
<ds:datastoreItem xmlns:ds="http://schemas.openxmlformats.org/officeDocument/2006/customXml" ds:itemID="{B5ADF4EC-3323-43EE-9A72-FB156100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10449</TotalTime>
  <Pages>3</Pages>
  <Words>872</Words>
  <Characters>4971</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Bumshik</cp:lastModifiedBy>
  <cp:revision>292</cp:revision>
  <cp:lastPrinted>1900-01-01T08:00:00Z</cp:lastPrinted>
  <dcterms:created xsi:type="dcterms:W3CDTF">2019-03-11T17:59:00Z</dcterms:created>
  <dcterms:modified xsi:type="dcterms:W3CDTF">2019-07-05T18:18:00Z</dcterms:modified>
</cp:coreProperties>
</file>