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DE41025" w:rsidR="00E61DAC" w:rsidRPr="005B217D" w:rsidRDefault="001E7677"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7241942E" w:rsidR="008A4B4C" w:rsidRPr="005B217D" w:rsidRDefault="00E61DAC" w:rsidP="001E767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E7677">
              <w:rPr>
                <w:lang w:val="en-CA"/>
              </w:rPr>
              <w:t>O</w:t>
            </w:r>
            <w:r w:rsidR="00095027" w:rsidRPr="00095027">
              <w:rPr>
                <w:lang w:val="en-CA"/>
              </w:rPr>
              <w:t>0514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1DF267" w:rsidR="00E61DAC" w:rsidRPr="005B217D" w:rsidRDefault="009459D9" w:rsidP="00077441">
            <w:pPr>
              <w:spacing w:before="60" w:after="60"/>
              <w:rPr>
                <w:b/>
                <w:szCs w:val="22"/>
                <w:lang w:val="en-CA"/>
              </w:rPr>
            </w:pPr>
            <w:r>
              <w:rPr>
                <w:b/>
                <w:szCs w:val="22"/>
                <w:lang w:val="en-CA"/>
              </w:rPr>
              <w:t xml:space="preserve">Non-CE3: </w:t>
            </w:r>
            <w:r w:rsidR="00077441">
              <w:rPr>
                <w:b/>
                <w:szCs w:val="22"/>
                <w:lang w:val="en-CA"/>
              </w:rPr>
              <w:t>Analysis of Matrix-based Intra Prediction</w:t>
            </w:r>
            <w:r w:rsidR="0089444E">
              <w:rPr>
                <w:b/>
                <w:szCs w:val="22"/>
                <w:lang w:val="en-CA"/>
              </w:rPr>
              <w:t xml:space="preserve"> (Informative)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595F8B" w:rsidR="00E61DAC" w:rsidRPr="005B217D" w:rsidRDefault="00077441" w:rsidP="009459D9">
            <w:pPr>
              <w:spacing w:before="60" w:after="60"/>
              <w:rPr>
                <w:szCs w:val="22"/>
                <w:lang w:val="en-CA"/>
              </w:rPr>
            </w:pPr>
            <w:r>
              <w:rPr>
                <w:szCs w:val="22"/>
                <w:lang w:val="en-CA"/>
              </w:rPr>
              <w:t>For 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C14CAA5" w:rsidR="00E61DAC" w:rsidRPr="005B217D" w:rsidRDefault="009459D9" w:rsidP="009459D9">
            <w:pPr>
              <w:spacing w:before="60" w:after="60"/>
              <w:rPr>
                <w:szCs w:val="22"/>
                <w:lang w:val="en-CA"/>
              </w:rPr>
            </w:pPr>
            <w:r>
              <w:rPr>
                <w:szCs w:val="22"/>
                <w:lang w:val="en-CA"/>
              </w:rPr>
              <w:t>Steve Keating</w:t>
            </w:r>
            <w:r w:rsidR="002F5887">
              <w:rPr>
                <w:szCs w:val="22"/>
                <w:lang w:val="en-CA"/>
              </w:rPr>
              <w:br/>
              <w:t>Karl Sharman</w:t>
            </w:r>
            <w:r w:rsidR="00E61DAC" w:rsidRPr="005B217D">
              <w:rPr>
                <w:szCs w:val="22"/>
                <w:lang w:val="en-CA"/>
              </w:rPr>
              <w:br/>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53858575" w14:textId="59930EBF" w:rsidR="00E61DAC" w:rsidRDefault="00095027" w:rsidP="009459D9">
            <w:pPr>
              <w:spacing w:before="60" w:after="60"/>
              <w:rPr>
                <w:szCs w:val="22"/>
                <w:lang w:val="en-CA"/>
              </w:rPr>
            </w:pPr>
            <w:hyperlink r:id="rId10" w:history="1">
              <w:r w:rsidR="009459D9" w:rsidRPr="00410F97">
                <w:rPr>
                  <w:rStyle w:val="Hyperlink"/>
                  <w:szCs w:val="22"/>
                  <w:lang w:val="en-CA"/>
                </w:rPr>
                <w:t>steve.keating@sony.com</w:t>
              </w:r>
            </w:hyperlink>
            <w:r w:rsidR="002F5887">
              <w:rPr>
                <w:rStyle w:val="Hyperlink"/>
                <w:szCs w:val="22"/>
                <w:lang w:val="en-CA"/>
              </w:rPr>
              <w:br/>
              <w:t>karl.sharman@sony.com</w:t>
            </w:r>
          </w:p>
          <w:p w14:paraId="32C2ABFD" w14:textId="1B7ADD39" w:rsidR="009459D9" w:rsidRPr="005B217D" w:rsidRDefault="009459D9" w:rsidP="009459D9">
            <w:pPr>
              <w:spacing w:before="60" w:after="60"/>
              <w:rPr>
                <w:szCs w:val="22"/>
                <w:lang w:val="en-CA"/>
              </w:rPr>
            </w:pPr>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820FDF2" w:rsidR="00E61DAC" w:rsidRPr="005B217D" w:rsidRDefault="009459D9" w:rsidP="009459D9">
            <w:pPr>
              <w:spacing w:before="60" w:after="60"/>
              <w:rPr>
                <w:szCs w:val="22"/>
                <w:lang w:val="en-CA"/>
              </w:rPr>
            </w:pPr>
            <w:r>
              <w:rPr>
                <w:szCs w:val="22"/>
                <w:lang w:val="en-CA"/>
              </w:rPr>
              <w:t>Sony Europe</w:t>
            </w:r>
            <w:r w:rsidR="0089444E">
              <w:rPr>
                <w:szCs w:val="22"/>
                <w:lang w:val="en-CA"/>
              </w:rPr>
              <w:t xml:space="preserv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A04F8D6" w:rsidR="00263398" w:rsidRDefault="00C5476C" w:rsidP="009234A5">
      <w:pPr>
        <w:rPr>
          <w:lang w:val="en-CA"/>
        </w:rPr>
      </w:pPr>
      <w:r>
        <w:rPr>
          <w:lang w:val="en-CA"/>
        </w:rPr>
        <w:t xml:space="preserve">This </w:t>
      </w:r>
      <w:r w:rsidR="0089444E">
        <w:rPr>
          <w:lang w:val="en-CA"/>
        </w:rPr>
        <w:t xml:space="preserve">contribution </w:t>
      </w:r>
      <w:r w:rsidR="00077441">
        <w:rPr>
          <w:lang w:val="en-CA"/>
        </w:rPr>
        <w:t xml:space="preserve">contains </w:t>
      </w:r>
      <w:r w:rsidR="0089444E">
        <w:rPr>
          <w:lang w:val="en-CA"/>
        </w:rPr>
        <w:t xml:space="preserve">some </w:t>
      </w:r>
      <w:r w:rsidR="00077441">
        <w:rPr>
          <w:lang w:val="en-CA"/>
        </w:rPr>
        <w:t xml:space="preserve">analysis of Matrix-based Intra Prediction </w:t>
      </w:r>
      <w:r w:rsidR="0089444E">
        <w:rPr>
          <w:lang w:val="en-CA"/>
        </w:rPr>
        <w:t xml:space="preserve">(MIP) </w:t>
      </w:r>
      <w:r w:rsidR="00077441">
        <w:rPr>
          <w:lang w:val="en-CA"/>
        </w:rPr>
        <w:t>and how it differs from conventional angular prediction methods.</w:t>
      </w:r>
    </w:p>
    <w:p w14:paraId="582A7F24" w14:textId="77777777" w:rsidR="00796120" w:rsidRPr="005B217D" w:rsidRDefault="00796120" w:rsidP="009234A5">
      <w:pPr>
        <w:rPr>
          <w:szCs w:val="22"/>
          <w:lang w:val="en-CA"/>
        </w:rPr>
      </w:pPr>
    </w:p>
    <w:p w14:paraId="7D2AC1F0" w14:textId="0DAACC34" w:rsidR="00745F6B" w:rsidRPr="005B217D" w:rsidRDefault="00C13B82" w:rsidP="00E11923">
      <w:pPr>
        <w:pStyle w:val="Heading1"/>
        <w:rPr>
          <w:lang w:val="en-CA"/>
        </w:rPr>
      </w:pPr>
      <w:r>
        <w:rPr>
          <w:lang w:val="en-CA"/>
        </w:rPr>
        <w:t>Introduction</w:t>
      </w:r>
    </w:p>
    <w:p w14:paraId="6C5F0B19" w14:textId="5341A03C" w:rsidR="00E61DAC" w:rsidRDefault="00077441" w:rsidP="004234F0">
      <w:pPr>
        <w:rPr>
          <w:szCs w:val="22"/>
          <w:lang w:val="en-CA"/>
        </w:rPr>
      </w:pPr>
      <w:r>
        <w:rPr>
          <w:szCs w:val="22"/>
          <w:lang w:val="en-CA"/>
        </w:rPr>
        <w:t>Matrix-based Intra Prediction (MIP) was adopted at the 14</w:t>
      </w:r>
      <w:r w:rsidRPr="00077441">
        <w:rPr>
          <w:szCs w:val="22"/>
          <w:vertAlign w:val="superscript"/>
          <w:lang w:val="en-CA"/>
        </w:rPr>
        <w:t>th</w:t>
      </w:r>
      <w:r>
        <w:rPr>
          <w:szCs w:val="22"/>
          <w:lang w:val="en-CA"/>
        </w:rPr>
        <w:t xml:space="preserve"> JVET meeting.  It offers a different approach to </w:t>
      </w:r>
      <w:r w:rsidR="0089444E">
        <w:rPr>
          <w:szCs w:val="22"/>
          <w:lang w:val="en-CA"/>
        </w:rPr>
        <w:t xml:space="preserve">luma </w:t>
      </w:r>
      <w:r>
        <w:rPr>
          <w:szCs w:val="22"/>
          <w:lang w:val="en-CA"/>
        </w:rPr>
        <w:t xml:space="preserve">prediction from conventional angular prediction and provides some coding gain albeit at the cost of extra complexity.  </w:t>
      </w:r>
      <w:r w:rsidR="0089444E">
        <w:rPr>
          <w:szCs w:val="22"/>
          <w:lang w:val="en-CA"/>
        </w:rPr>
        <w:t xml:space="preserve">This contribution aims to show how </w:t>
      </w:r>
      <w:r w:rsidR="007C244D">
        <w:rPr>
          <w:szCs w:val="22"/>
          <w:lang w:val="en-CA"/>
        </w:rPr>
        <w:t>this prediction method differs from angular prediction and why it improves coding efficiency.</w:t>
      </w:r>
    </w:p>
    <w:p w14:paraId="05613A98" w14:textId="304C97E6" w:rsidR="007C244D" w:rsidRDefault="007C244D" w:rsidP="004234F0">
      <w:pPr>
        <w:rPr>
          <w:szCs w:val="22"/>
          <w:lang w:val="en-CA"/>
        </w:rPr>
      </w:pPr>
      <w:r>
        <w:rPr>
          <w:szCs w:val="22"/>
          <w:lang w:val="en-CA"/>
        </w:rPr>
        <w:t>MIP can be split into t</w:t>
      </w:r>
      <w:r w:rsidR="00E108F7">
        <w:rPr>
          <w:szCs w:val="22"/>
          <w:lang w:val="en-CA"/>
        </w:rPr>
        <w:t>wo parts for analysis purposes: the prediction method and the coding method.</w:t>
      </w:r>
    </w:p>
    <w:p w14:paraId="15B733D8" w14:textId="77777777" w:rsidR="00E108F7" w:rsidRDefault="00E108F7" w:rsidP="004234F0">
      <w:pPr>
        <w:rPr>
          <w:szCs w:val="22"/>
          <w:lang w:val="en-CA"/>
        </w:rPr>
      </w:pPr>
    </w:p>
    <w:p w14:paraId="056C0F66" w14:textId="5872E57D" w:rsidR="00E108F7" w:rsidRDefault="00E108F7" w:rsidP="00E108F7">
      <w:pPr>
        <w:pStyle w:val="Heading1"/>
        <w:rPr>
          <w:lang w:val="en-CA"/>
        </w:rPr>
      </w:pPr>
      <w:r>
        <w:rPr>
          <w:lang w:val="en-CA"/>
        </w:rPr>
        <w:t>Prediction Method</w:t>
      </w:r>
    </w:p>
    <w:p w14:paraId="1D97826A" w14:textId="6411DDF3" w:rsidR="00E108F7" w:rsidRDefault="0082275C" w:rsidP="004234F0">
      <w:pPr>
        <w:rPr>
          <w:szCs w:val="22"/>
          <w:lang w:val="en-CA"/>
        </w:rPr>
      </w:pPr>
      <w:r>
        <w:rPr>
          <w:szCs w:val="22"/>
          <w:lang w:val="en-CA"/>
        </w:rPr>
        <w:t>Instead of projecting a row/column of reference samples to make the predicted block</w:t>
      </w:r>
      <w:r w:rsidR="0089444E">
        <w:rPr>
          <w:szCs w:val="22"/>
          <w:lang w:val="en-CA"/>
        </w:rPr>
        <w:t>,</w:t>
      </w:r>
      <w:r>
        <w:rPr>
          <w:szCs w:val="22"/>
          <w:lang w:val="en-CA"/>
        </w:rPr>
        <w:t xml:space="preserve"> the row/column of reference samples </w:t>
      </w:r>
      <w:r w:rsidR="000172D8">
        <w:rPr>
          <w:szCs w:val="22"/>
          <w:lang w:val="en-CA"/>
        </w:rPr>
        <w:t>is</w:t>
      </w:r>
      <w:r>
        <w:rPr>
          <w:szCs w:val="22"/>
          <w:lang w:val="en-CA"/>
        </w:rPr>
        <w:t xml:space="preserve"> multiplied by a 2-D matrix to generate a 2-D block, </w:t>
      </w:r>
      <w:r w:rsidR="0089444E">
        <w:rPr>
          <w:szCs w:val="22"/>
          <w:lang w:val="en-CA"/>
        </w:rPr>
        <w:t xml:space="preserve">which </w:t>
      </w:r>
      <w:r>
        <w:rPr>
          <w:szCs w:val="22"/>
          <w:lang w:val="en-CA"/>
        </w:rPr>
        <w:t xml:space="preserve">then has another 2-D matrix added to it to make the final predicted block.  This allows a prediction which varies in more than one direction, </w:t>
      </w:r>
      <w:r w:rsidR="0089444E">
        <w:rPr>
          <w:szCs w:val="22"/>
          <w:lang w:val="en-CA"/>
        </w:rPr>
        <w:t xml:space="preserve">which </w:t>
      </w:r>
      <w:r>
        <w:rPr>
          <w:szCs w:val="22"/>
          <w:lang w:val="en-CA"/>
        </w:rPr>
        <w:t>is not possible with angular prediction (although planar prediction does achieve this).</w:t>
      </w:r>
    </w:p>
    <w:p w14:paraId="274ABDEF" w14:textId="61F26552" w:rsidR="0082275C" w:rsidRDefault="0082275C" w:rsidP="004234F0">
      <w:pPr>
        <w:rPr>
          <w:szCs w:val="22"/>
          <w:lang w:val="en-CA"/>
        </w:rPr>
      </w:pPr>
      <w:r>
        <w:rPr>
          <w:szCs w:val="22"/>
          <w:lang w:val="en-CA"/>
        </w:rPr>
        <w:t xml:space="preserve">Another feature of the prediction method is that, in order to limit the size of the matrices, the reference samples </w:t>
      </w:r>
      <w:r w:rsidR="0089444E">
        <w:rPr>
          <w:szCs w:val="22"/>
          <w:lang w:val="en-CA"/>
        </w:rPr>
        <w:t>for blocks larger than 4x4, are</w:t>
      </w:r>
      <w:r>
        <w:rPr>
          <w:szCs w:val="22"/>
          <w:lang w:val="en-CA"/>
        </w:rPr>
        <w:t xml:space="preserve"> filtered and down-sampled and the output data</w:t>
      </w:r>
      <w:r w:rsidR="00990AD8">
        <w:rPr>
          <w:szCs w:val="22"/>
          <w:lang w:val="en-CA"/>
        </w:rPr>
        <w:t xml:space="preserve"> up-sampled </w:t>
      </w:r>
      <w:r w:rsidR="002F7AE9">
        <w:rPr>
          <w:szCs w:val="22"/>
          <w:lang w:val="en-CA"/>
        </w:rPr>
        <w:t>to provide the predicted block</w:t>
      </w:r>
      <w:r w:rsidR="0089444E">
        <w:rPr>
          <w:szCs w:val="22"/>
          <w:lang w:val="en-CA"/>
        </w:rPr>
        <w:t>; blocks larger than 16x16 are not processed</w:t>
      </w:r>
      <w:r w:rsidR="00E66AE0">
        <w:rPr>
          <w:szCs w:val="22"/>
          <w:lang w:val="en-CA"/>
        </w:rPr>
        <w:t xml:space="preserve">.  </w:t>
      </w:r>
      <w:r w:rsidR="0085359C">
        <w:rPr>
          <w:szCs w:val="22"/>
          <w:lang w:val="en-CA"/>
        </w:rPr>
        <w:t xml:space="preserve">Either 2 or 4 reference samples per side (left, above) are used depending on the size of the </w:t>
      </w:r>
      <w:r w:rsidR="0089444E">
        <w:rPr>
          <w:szCs w:val="22"/>
          <w:lang w:val="en-CA"/>
        </w:rPr>
        <w:t>block</w:t>
      </w:r>
      <w:r w:rsidR="0085359C">
        <w:rPr>
          <w:szCs w:val="22"/>
          <w:lang w:val="en-CA"/>
        </w:rPr>
        <w:t xml:space="preserve">.  </w:t>
      </w:r>
      <w:r w:rsidR="00990AD8">
        <w:rPr>
          <w:szCs w:val="22"/>
          <w:lang w:val="en-CA"/>
        </w:rPr>
        <w:t xml:space="preserve">Also, only directly neighbouring samples are used as reference samples – left and above, whereas angular prediction may </w:t>
      </w:r>
      <w:r w:rsidR="00E66AE0">
        <w:rPr>
          <w:szCs w:val="22"/>
          <w:lang w:val="en-CA"/>
        </w:rPr>
        <w:t xml:space="preserve">also </w:t>
      </w:r>
      <w:r w:rsidR="00990AD8">
        <w:rPr>
          <w:szCs w:val="22"/>
          <w:lang w:val="en-CA"/>
        </w:rPr>
        <w:t>use samples up to a block height/</w:t>
      </w:r>
      <w:r w:rsidR="00990AD8" w:rsidRPr="00990AD8">
        <w:rPr>
          <w:szCs w:val="22"/>
          <w:lang w:val="en-CA"/>
        </w:rPr>
        <w:t xml:space="preserve"> </w:t>
      </w:r>
      <w:r w:rsidR="00990AD8">
        <w:rPr>
          <w:szCs w:val="22"/>
          <w:lang w:val="en-CA"/>
        </w:rPr>
        <w:t>width further away – below-left and above-right.</w:t>
      </w:r>
    </w:p>
    <w:p w14:paraId="223F00D3" w14:textId="7A23F03A" w:rsidR="00E66AE0" w:rsidRDefault="00E66AE0" w:rsidP="00E66AE0">
      <w:pPr>
        <w:pStyle w:val="Heading2"/>
        <w:rPr>
          <w:lang w:val="en-CA"/>
        </w:rPr>
      </w:pPr>
      <w:r>
        <w:rPr>
          <w:lang w:val="en-CA"/>
        </w:rPr>
        <w:t>Comparison with Angular Prediction</w:t>
      </w:r>
    </w:p>
    <w:p w14:paraId="7E902E70" w14:textId="527F8169" w:rsidR="0085359C" w:rsidRDefault="002F7AE9" w:rsidP="004234F0">
      <w:pPr>
        <w:rPr>
          <w:szCs w:val="22"/>
          <w:lang w:val="en-CA"/>
        </w:rPr>
      </w:pPr>
      <w:r>
        <w:rPr>
          <w:szCs w:val="22"/>
          <w:lang w:val="en-CA"/>
        </w:rPr>
        <w:t>In order to visualise the predictions obtained with MIP the matrices were displayed as a series of 4x4 or 8x8 grey-scale images</w:t>
      </w:r>
      <w:r w:rsidR="00FE6DD9">
        <w:rPr>
          <w:szCs w:val="22"/>
          <w:lang w:val="en-CA"/>
        </w:rPr>
        <w:t xml:space="preserve">, </w:t>
      </w:r>
      <w:r w:rsidR="00BB150E">
        <w:rPr>
          <w:szCs w:val="22"/>
          <w:lang w:val="en-CA"/>
        </w:rPr>
        <w:t>ex</w:t>
      </w:r>
      <w:r w:rsidR="0085359C">
        <w:rPr>
          <w:szCs w:val="22"/>
          <w:lang w:val="en-CA"/>
        </w:rPr>
        <w:t>amples of which are shown below</w:t>
      </w:r>
      <w:r w:rsidR="00355789">
        <w:rPr>
          <w:szCs w:val="22"/>
          <w:lang w:val="en-CA"/>
        </w:rPr>
        <w:t xml:space="preserve"> for the largest matrices (MipSizeId=2)</w:t>
      </w:r>
      <w:r w:rsidR="0085359C">
        <w:rPr>
          <w:szCs w:val="22"/>
          <w:lang w:val="en-CA"/>
        </w:rPr>
        <w:t>.  The sequence of images is arranged to correspond with the relevant reference samples</w:t>
      </w:r>
      <w:r w:rsidR="00FE6DD9">
        <w:rPr>
          <w:szCs w:val="22"/>
          <w:lang w:val="en-CA"/>
        </w:rPr>
        <w:t xml:space="preserve"> (in this case 4 above and 4 left):</w:t>
      </w:r>
    </w:p>
    <w:p w14:paraId="743A6B89" w14:textId="77777777" w:rsidR="0085359C" w:rsidRDefault="0085359C" w:rsidP="004234F0">
      <w:pPr>
        <w:rPr>
          <w:szCs w:val="22"/>
          <w:lang w:val="en-CA"/>
        </w:rPr>
      </w:pPr>
    </w:p>
    <w:p w14:paraId="57F2D830" w14:textId="77777777" w:rsidR="006762E8" w:rsidRDefault="006762E8" w:rsidP="006762E8">
      <w:pPr>
        <w:rPr>
          <w:szCs w:val="22"/>
          <w:lang w:val="en-CA"/>
        </w:rPr>
      </w:pPr>
    </w:p>
    <w:p w14:paraId="00947190" w14:textId="77777777" w:rsidR="00355789" w:rsidRDefault="00355789" w:rsidP="006762E8">
      <w:pPr>
        <w:rPr>
          <w:szCs w:val="22"/>
          <w:lang w:val="en-CA"/>
        </w:rPr>
      </w:pPr>
    </w:p>
    <w:p w14:paraId="696FF49C" w14:textId="7D411C9D" w:rsidR="006762E8" w:rsidRPr="00D14396" w:rsidRDefault="00095027" w:rsidP="006762E8">
      <w:pPr>
        <w:rPr>
          <w:szCs w:val="22"/>
          <w:lang w:val="en-CA"/>
        </w:rPr>
      </w:pPr>
      <w:r>
        <w:rPr>
          <w:noProof/>
        </w:rPr>
        <w:pict w14:anchorId="153D8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0;text-align:left;margin-left:270pt;margin-top:6.45pt;width:252.75pt;height:252.75pt;z-index:251671040;mso-position-horizontal-relative:text;mso-position-vertical-relative:text;mso-width-relative:page;mso-height-relative:page">
            <v:imagedata r:id="rId11" o:title="MIP1"/>
            <w10:wrap type="square"/>
          </v:shape>
        </w:pict>
      </w:r>
      <w:r w:rsidR="00D14396">
        <w:rPr>
          <w:noProof/>
          <w:szCs w:val="22"/>
          <w:lang w:val="en-GB" w:eastAsia="en-GB"/>
        </w:rPr>
        <w:drawing>
          <wp:anchor distT="0" distB="0" distL="114300" distR="114300" simplePos="0" relativeHeight="251668992" behindDoc="0" locked="0" layoutInCell="1" allowOverlap="1" wp14:anchorId="61AEA439" wp14:editId="1DBEE3CD">
            <wp:simplePos x="0" y="0"/>
            <wp:positionH relativeFrom="column">
              <wp:posOffset>0</wp:posOffset>
            </wp:positionH>
            <wp:positionV relativeFrom="paragraph">
              <wp:posOffset>90805</wp:posOffset>
            </wp:positionV>
            <wp:extent cx="3209925" cy="3209925"/>
            <wp:effectExtent l="0" t="0" r="9525" b="9525"/>
            <wp:wrapSquare wrapText="bothSides"/>
            <wp:docPr id="40" name="Picture 40" descr="C:\Users\gbkeatis\AppData\Local\Microsoft\Windows\INetCache\Content.Word\MIP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C:\Users\gbkeatis\AppData\Local\Microsoft\Windows\INetCache\Content.Word\MIP0.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9925" cy="3209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07FB83" w14:textId="31D9C8DD" w:rsidR="006762E8" w:rsidRPr="0069067C" w:rsidRDefault="006762E8" w:rsidP="006762E8">
      <w:pPr>
        <w:pStyle w:val="Caption"/>
        <w:rPr>
          <w:lang w:val="fr-FR"/>
        </w:rPr>
      </w:pPr>
      <w:r w:rsidRPr="0069067C">
        <w:rPr>
          <w:lang w:val="fr-FR"/>
        </w:rPr>
        <w:t>MIP mode 0</w:t>
      </w:r>
      <w:r w:rsidR="004156A2" w:rsidRPr="0069067C">
        <w:rPr>
          <w:lang w:val="fr-FR"/>
        </w:rPr>
        <w:tab/>
      </w:r>
      <w:r w:rsidR="004156A2" w:rsidRPr="0069067C">
        <w:rPr>
          <w:lang w:val="fr-FR"/>
        </w:rPr>
        <w:tab/>
      </w:r>
      <w:r w:rsidR="004156A2" w:rsidRPr="0069067C">
        <w:rPr>
          <w:lang w:val="fr-FR"/>
        </w:rPr>
        <w:tab/>
      </w:r>
      <w:r w:rsidR="004156A2" w:rsidRPr="0069067C">
        <w:rPr>
          <w:lang w:val="fr-FR"/>
        </w:rPr>
        <w:tab/>
      </w:r>
      <w:r w:rsidR="004156A2" w:rsidRPr="0069067C">
        <w:rPr>
          <w:lang w:val="fr-FR"/>
        </w:rPr>
        <w:tab/>
      </w:r>
      <w:r w:rsidR="004156A2" w:rsidRPr="0069067C">
        <w:rPr>
          <w:lang w:val="fr-FR"/>
        </w:rPr>
        <w:tab/>
        <w:t>MIP mode 1</w:t>
      </w:r>
    </w:p>
    <w:p w14:paraId="13BE9499" w14:textId="77777777" w:rsidR="006762E8" w:rsidRPr="0069067C" w:rsidRDefault="006762E8" w:rsidP="006762E8">
      <w:pPr>
        <w:rPr>
          <w:szCs w:val="22"/>
          <w:lang w:val="fr-FR"/>
        </w:rPr>
      </w:pPr>
    </w:p>
    <w:p w14:paraId="46D87CCC" w14:textId="1C05103E" w:rsidR="00D14396" w:rsidRPr="0069067C" w:rsidRDefault="006762E8" w:rsidP="004234F0">
      <w:pPr>
        <w:rPr>
          <w:noProof/>
          <w:szCs w:val="22"/>
          <w:lang w:val="fr-FR" w:eastAsia="en-GB"/>
        </w:rPr>
      </w:pPr>
      <w:r w:rsidRPr="0069067C">
        <w:rPr>
          <w:szCs w:val="22"/>
          <w:lang w:val="fr-FR"/>
        </w:rPr>
        <w:tab/>
      </w:r>
      <w:r w:rsidRPr="0069067C">
        <w:rPr>
          <w:szCs w:val="22"/>
          <w:lang w:val="fr-FR"/>
        </w:rPr>
        <w:tab/>
      </w:r>
      <w:r w:rsidRPr="0069067C">
        <w:rPr>
          <w:szCs w:val="22"/>
          <w:lang w:val="fr-FR"/>
        </w:rPr>
        <w:tab/>
      </w:r>
    </w:p>
    <w:p w14:paraId="1989504E" w14:textId="34DCBC2E" w:rsidR="00D14396" w:rsidRPr="0069067C" w:rsidRDefault="00095027" w:rsidP="004234F0">
      <w:pPr>
        <w:rPr>
          <w:noProof/>
          <w:szCs w:val="22"/>
          <w:lang w:val="fr-FR" w:eastAsia="en-GB"/>
        </w:rPr>
      </w:pPr>
      <w:r>
        <w:rPr>
          <w:noProof/>
        </w:rPr>
        <w:pict w14:anchorId="556B6380">
          <v:shape id="_x0000_s1037" type="#_x0000_t75" style="position:absolute;left:0;text-align:left;margin-left:270pt;margin-top:6.8pt;width:252.75pt;height:252.75pt;z-index:251673088;mso-position-horizontal-relative:text;mso-position-vertical-relative:text;mso-width-relative:page;mso-height-relative:page">
            <v:imagedata r:id="rId13" o:title="MIP3"/>
            <w10:wrap type="square"/>
          </v:shape>
        </w:pict>
      </w:r>
      <w:r>
        <w:rPr>
          <w:noProof/>
        </w:rPr>
        <w:pict w14:anchorId="16A0A406">
          <v:shape id="_x0000_s1038" type="#_x0000_t75" style="position:absolute;left:0;text-align:left;margin-left:0;margin-top:6.8pt;width:252.75pt;height:252.75pt;z-index:251675136;mso-position-horizontal:absolute;mso-position-horizontal-relative:text;mso-position-vertical:absolute;mso-position-vertical-relative:text;mso-width-relative:page;mso-height-relative:page">
            <v:imagedata r:id="rId14" o:title="MIP2"/>
            <w10:wrap type="square"/>
          </v:shape>
        </w:pict>
      </w:r>
    </w:p>
    <w:p w14:paraId="6BE2C6B6" w14:textId="7538B2C6" w:rsidR="00BF07DF" w:rsidRPr="0069067C" w:rsidRDefault="00BF07DF" w:rsidP="00BF07DF">
      <w:pPr>
        <w:pStyle w:val="Caption"/>
        <w:rPr>
          <w:lang w:val="fr-FR"/>
        </w:rPr>
      </w:pPr>
      <w:r w:rsidRPr="0069067C">
        <w:rPr>
          <w:lang w:val="fr-FR"/>
        </w:rPr>
        <w:t>MIP mode 2</w:t>
      </w:r>
      <w:r w:rsidR="004156A2" w:rsidRPr="0069067C">
        <w:rPr>
          <w:lang w:val="fr-FR"/>
        </w:rPr>
        <w:tab/>
      </w:r>
      <w:r w:rsidR="004156A2" w:rsidRPr="0069067C">
        <w:rPr>
          <w:lang w:val="fr-FR"/>
        </w:rPr>
        <w:tab/>
      </w:r>
      <w:r w:rsidR="004156A2" w:rsidRPr="0069067C">
        <w:rPr>
          <w:lang w:val="fr-FR"/>
        </w:rPr>
        <w:tab/>
      </w:r>
      <w:r w:rsidR="004156A2" w:rsidRPr="0069067C">
        <w:rPr>
          <w:lang w:val="fr-FR"/>
        </w:rPr>
        <w:tab/>
      </w:r>
      <w:r w:rsidR="004156A2" w:rsidRPr="0069067C">
        <w:rPr>
          <w:lang w:val="fr-FR"/>
        </w:rPr>
        <w:tab/>
      </w:r>
      <w:r w:rsidR="004156A2" w:rsidRPr="0069067C">
        <w:rPr>
          <w:lang w:val="fr-FR"/>
        </w:rPr>
        <w:tab/>
        <w:t>MIP mode 3</w:t>
      </w:r>
    </w:p>
    <w:p w14:paraId="4F8B1073" w14:textId="77777777" w:rsidR="00BF07DF" w:rsidRPr="0069067C" w:rsidRDefault="00BF07DF" w:rsidP="004234F0">
      <w:pPr>
        <w:rPr>
          <w:szCs w:val="22"/>
          <w:lang w:val="fr-FR"/>
        </w:rPr>
      </w:pPr>
    </w:p>
    <w:p w14:paraId="3D8368F4" w14:textId="77777777" w:rsidR="00D14396" w:rsidRPr="0069067C" w:rsidRDefault="00D14396" w:rsidP="004234F0">
      <w:pPr>
        <w:rPr>
          <w:szCs w:val="22"/>
          <w:lang w:val="fr-FR"/>
        </w:rPr>
      </w:pPr>
    </w:p>
    <w:p w14:paraId="00475233" w14:textId="12C04CA2" w:rsidR="004156A2" w:rsidRPr="0069067C" w:rsidRDefault="00095027" w:rsidP="004234F0">
      <w:pPr>
        <w:rPr>
          <w:szCs w:val="22"/>
          <w:lang w:val="fr-FR"/>
        </w:rPr>
      </w:pPr>
      <w:r>
        <w:rPr>
          <w:noProof/>
        </w:rPr>
        <w:lastRenderedPageBreak/>
        <w:pict w14:anchorId="084DC930">
          <v:shape id="_x0000_s1040" type="#_x0000_t75" style="position:absolute;left:0;text-align:left;margin-left:273pt;margin-top:6.55pt;width:252.75pt;height:252.75pt;z-index:251679232;mso-position-horizontal-relative:text;mso-position-vertical-relative:text;mso-width-relative:page;mso-height-relative:page">
            <v:imagedata r:id="rId15" o:title="MIP5"/>
            <w10:wrap type="square"/>
          </v:shape>
        </w:pict>
      </w:r>
      <w:r>
        <w:rPr>
          <w:noProof/>
        </w:rPr>
        <w:pict w14:anchorId="61444AFF">
          <v:shape id="_x0000_s1039" type="#_x0000_t75" style="position:absolute;left:0;text-align:left;margin-left:0;margin-top:6.55pt;width:252.75pt;height:252.75pt;z-index:251677184;mso-position-horizontal:absolute;mso-position-horizontal-relative:text;mso-position-vertical:absolute;mso-position-vertical-relative:text;mso-width-relative:page;mso-height-relative:page">
            <v:imagedata r:id="rId16" o:title="MIP4"/>
            <w10:wrap type="square"/>
          </v:shape>
        </w:pict>
      </w:r>
    </w:p>
    <w:p w14:paraId="5F53D6EE" w14:textId="086B280C" w:rsidR="004156A2" w:rsidRDefault="004156A2" w:rsidP="004156A2">
      <w:pPr>
        <w:pStyle w:val="Caption"/>
        <w:rPr>
          <w:lang w:val="en-CA"/>
        </w:rPr>
      </w:pPr>
      <w:r>
        <w:rPr>
          <w:lang w:val="en-CA"/>
        </w:rPr>
        <w:t>MIP mode 4</w:t>
      </w:r>
      <w:r>
        <w:rPr>
          <w:lang w:val="en-CA"/>
        </w:rPr>
        <w:tab/>
      </w:r>
      <w:r>
        <w:rPr>
          <w:lang w:val="en-CA"/>
        </w:rPr>
        <w:tab/>
      </w:r>
      <w:r>
        <w:rPr>
          <w:lang w:val="en-CA"/>
        </w:rPr>
        <w:tab/>
      </w:r>
      <w:r>
        <w:rPr>
          <w:lang w:val="en-CA"/>
        </w:rPr>
        <w:tab/>
      </w:r>
      <w:r>
        <w:rPr>
          <w:lang w:val="en-CA"/>
        </w:rPr>
        <w:tab/>
      </w:r>
      <w:r>
        <w:rPr>
          <w:lang w:val="en-CA"/>
        </w:rPr>
        <w:tab/>
        <w:t>MIP mode 5</w:t>
      </w:r>
    </w:p>
    <w:p w14:paraId="2E69441A" w14:textId="77777777" w:rsidR="004156A2" w:rsidRDefault="004156A2" w:rsidP="004156A2">
      <w:pPr>
        <w:rPr>
          <w:szCs w:val="22"/>
          <w:lang w:val="en-CA"/>
        </w:rPr>
      </w:pPr>
    </w:p>
    <w:p w14:paraId="4A614591" w14:textId="77777777" w:rsidR="004156A2" w:rsidRDefault="004156A2" w:rsidP="004234F0">
      <w:pPr>
        <w:rPr>
          <w:szCs w:val="22"/>
          <w:lang w:val="en-CA"/>
        </w:rPr>
      </w:pPr>
    </w:p>
    <w:p w14:paraId="712DEC76" w14:textId="6BAE7B34" w:rsidR="00FE6DD9" w:rsidRDefault="00FE6DD9" w:rsidP="004234F0">
      <w:pPr>
        <w:rPr>
          <w:szCs w:val="22"/>
          <w:lang w:val="en-CA"/>
        </w:rPr>
      </w:pPr>
      <w:r>
        <w:rPr>
          <w:szCs w:val="22"/>
          <w:lang w:val="en-CA"/>
        </w:rPr>
        <w:t>It can be seen that the</w:t>
      </w:r>
      <w:r w:rsidR="00E276BE">
        <w:rPr>
          <w:szCs w:val="22"/>
          <w:lang w:val="en-CA"/>
        </w:rPr>
        <w:t>se</w:t>
      </w:r>
      <w:r>
        <w:rPr>
          <w:szCs w:val="22"/>
          <w:lang w:val="en-CA"/>
        </w:rPr>
        <w:t xml:space="preserve"> predictions are similar to those of angular prediction although generally softer and sometimes with a stronger PDPC-like effect.</w:t>
      </w:r>
      <w:r w:rsidR="00977A48">
        <w:rPr>
          <w:szCs w:val="22"/>
          <w:lang w:val="en-CA"/>
        </w:rPr>
        <w:t xml:space="preserve">  On noticing this, an experiment was done which repl</w:t>
      </w:r>
      <w:r w:rsidR="00BF07DF">
        <w:rPr>
          <w:szCs w:val="22"/>
          <w:lang w:val="en-CA"/>
        </w:rPr>
        <w:t xml:space="preserve">aced each MIP prediction with an equivalent </w:t>
      </w:r>
      <w:r w:rsidR="00977A48">
        <w:rPr>
          <w:szCs w:val="22"/>
          <w:lang w:val="en-CA"/>
        </w:rPr>
        <w:t>angular prediction but with stronger filtering and/or PDPC as appropriate</w:t>
      </w:r>
      <w:r w:rsidR="00515559">
        <w:rPr>
          <w:szCs w:val="22"/>
          <w:lang w:val="en-CA"/>
        </w:rPr>
        <w:t>.</w:t>
      </w:r>
      <w:r w:rsidR="0089444E">
        <w:rPr>
          <w:szCs w:val="22"/>
          <w:lang w:val="en-CA"/>
        </w:rPr>
        <w:t xml:space="preserve"> </w:t>
      </w:r>
      <w:r w:rsidR="00515559">
        <w:rPr>
          <w:szCs w:val="22"/>
          <w:lang w:val="en-CA"/>
        </w:rPr>
        <w:t>T</w:t>
      </w:r>
      <w:r w:rsidR="0089444E">
        <w:rPr>
          <w:szCs w:val="22"/>
          <w:lang w:val="en-CA"/>
        </w:rPr>
        <w:t>he stronger filtering is to mimic the softer predictions and down/up sampling feature of MIP</w:t>
      </w:r>
      <w:r w:rsidR="00515559">
        <w:rPr>
          <w:szCs w:val="22"/>
          <w:lang w:val="en-CA"/>
        </w:rPr>
        <w:t>; the PDPC is to mimic the impact of reference samples on the opposite edges of the prediction</w:t>
      </w:r>
      <w:r w:rsidR="00977A48">
        <w:rPr>
          <w:szCs w:val="22"/>
          <w:lang w:val="en-CA"/>
        </w:rPr>
        <w:t xml:space="preserve">.  </w:t>
      </w:r>
      <w:r w:rsidR="00C523D6">
        <w:rPr>
          <w:szCs w:val="22"/>
          <w:lang w:val="en-CA"/>
        </w:rPr>
        <w:t>This was done in an attempt to remove the complexity of the down/up-sampling and matrix multiplication</w:t>
      </w:r>
      <w:r w:rsidR="00515559">
        <w:rPr>
          <w:szCs w:val="22"/>
          <w:lang w:val="en-CA"/>
        </w:rPr>
        <w:t>, by instead re-purposing the other existing tools</w:t>
      </w:r>
      <w:r w:rsidR="00C523D6">
        <w:rPr>
          <w:szCs w:val="22"/>
          <w:lang w:val="en-CA"/>
        </w:rPr>
        <w:t xml:space="preserve">.  </w:t>
      </w:r>
      <w:r w:rsidR="00977A48">
        <w:rPr>
          <w:szCs w:val="22"/>
          <w:lang w:val="en-CA"/>
        </w:rPr>
        <w:t>The experiment</w:t>
      </w:r>
      <w:r w:rsidR="0089444E">
        <w:rPr>
          <w:szCs w:val="22"/>
          <w:lang w:val="en-CA"/>
        </w:rPr>
        <w:t>, although showing some improvement over VTM with</w:t>
      </w:r>
      <w:r w:rsidR="00EB7A79">
        <w:rPr>
          <w:szCs w:val="22"/>
          <w:lang w:val="en-CA"/>
        </w:rPr>
        <w:t>out</w:t>
      </w:r>
      <w:r w:rsidR="0089444E">
        <w:rPr>
          <w:szCs w:val="22"/>
          <w:lang w:val="en-CA"/>
        </w:rPr>
        <w:t xml:space="preserve"> MIP,</w:t>
      </w:r>
      <w:r w:rsidR="00977A48">
        <w:rPr>
          <w:szCs w:val="22"/>
          <w:lang w:val="en-CA"/>
        </w:rPr>
        <w:t xml:space="preserve"> failed to achieve the same </w:t>
      </w:r>
      <w:r w:rsidR="00D3084D">
        <w:rPr>
          <w:szCs w:val="22"/>
          <w:lang w:val="en-CA"/>
        </w:rPr>
        <w:t xml:space="preserve">coding gain </w:t>
      </w:r>
      <w:r w:rsidR="00977A48">
        <w:rPr>
          <w:szCs w:val="22"/>
          <w:lang w:val="en-CA"/>
        </w:rPr>
        <w:t>as MIP, indicating that these similar-looking angular predictions were not</w:t>
      </w:r>
      <w:r w:rsidR="00DE2375">
        <w:rPr>
          <w:szCs w:val="22"/>
          <w:lang w:val="en-CA"/>
        </w:rPr>
        <w:t xml:space="preserve"> sufficient</w:t>
      </w:r>
      <w:r w:rsidR="00C523D6">
        <w:rPr>
          <w:szCs w:val="22"/>
          <w:lang w:val="en-CA"/>
        </w:rPr>
        <w:t>ly close to the MIP predictions or at least not as useful.</w:t>
      </w:r>
    </w:p>
    <w:p w14:paraId="0F1A16DE" w14:textId="77777777" w:rsidR="005240F9" w:rsidRDefault="005240F9" w:rsidP="004234F0">
      <w:pPr>
        <w:rPr>
          <w:szCs w:val="22"/>
          <w:lang w:val="en-CA"/>
        </w:rPr>
      </w:pPr>
    </w:p>
    <w:p w14:paraId="4ADAC31A" w14:textId="457B9C5B" w:rsidR="00E108F7" w:rsidRDefault="00E108F7" w:rsidP="00E108F7">
      <w:pPr>
        <w:pStyle w:val="Heading1"/>
        <w:rPr>
          <w:lang w:val="en-CA"/>
        </w:rPr>
      </w:pPr>
      <w:r>
        <w:rPr>
          <w:lang w:val="en-CA"/>
        </w:rPr>
        <w:t>Coding Method</w:t>
      </w:r>
    </w:p>
    <w:p w14:paraId="7BFAE8AA" w14:textId="2C2C2965" w:rsidR="004A3A88" w:rsidRDefault="001E6037" w:rsidP="003C3A6F">
      <w:pPr>
        <w:rPr>
          <w:szCs w:val="22"/>
          <w:lang w:val="en-CA"/>
        </w:rPr>
      </w:pPr>
      <w:r>
        <w:rPr>
          <w:szCs w:val="22"/>
          <w:lang w:val="en-CA"/>
        </w:rPr>
        <w:t>Another notable feature of MIP is that its predictions are coded separately from th</w:t>
      </w:r>
      <w:r w:rsidR="00232582">
        <w:rPr>
          <w:szCs w:val="22"/>
          <w:lang w:val="en-CA"/>
        </w:rPr>
        <w:t>e conventional prediction modes</w:t>
      </w:r>
      <w:r>
        <w:rPr>
          <w:szCs w:val="22"/>
          <w:lang w:val="en-CA"/>
        </w:rPr>
        <w:t xml:space="preserve"> using </w:t>
      </w:r>
      <w:r w:rsidR="00232582">
        <w:rPr>
          <w:szCs w:val="22"/>
          <w:lang w:val="en-CA"/>
        </w:rPr>
        <w:t>a second</w:t>
      </w:r>
      <w:r>
        <w:rPr>
          <w:szCs w:val="22"/>
          <w:lang w:val="en-CA"/>
        </w:rPr>
        <w:t xml:space="preserve"> Most Probable Mode (MPM) list which is limited to 3 modes compared to the 6 mode MPM</w:t>
      </w:r>
      <w:r w:rsidR="002F5887">
        <w:rPr>
          <w:szCs w:val="22"/>
          <w:lang w:val="en-CA"/>
        </w:rPr>
        <w:t xml:space="preserve"> list</w:t>
      </w:r>
      <w:r>
        <w:rPr>
          <w:szCs w:val="22"/>
          <w:lang w:val="en-CA"/>
        </w:rPr>
        <w:t xml:space="preserve"> used in conventional prediction.</w:t>
      </w:r>
      <w:r w:rsidR="00232582">
        <w:rPr>
          <w:szCs w:val="22"/>
          <w:lang w:val="en-CA"/>
        </w:rPr>
        <w:t xml:space="preserve">  It is known that the MPM list can significantly affect coding gain so this might be responsible for some of the coding gain achieved by MIP.</w:t>
      </w:r>
      <w:r w:rsidR="00E276BE">
        <w:rPr>
          <w:szCs w:val="22"/>
          <w:lang w:val="en-CA"/>
        </w:rPr>
        <w:t xml:space="preserve">  In order to test the effect of the coding another experiment was done which </w:t>
      </w:r>
      <w:r w:rsidR="0096575C">
        <w:rPr>
          <w:szCs w:val="22"/>
          <w:lang w:val="en-CA"/>
        </w:rPr>
        <w:t xml:space="preserve">used the non-MIP coding (with 6 MPMs) for both non-MIP and MIP modes.  Each MIP mode number was mapped to an equivalent </w:t>
      </w:r>
      <w:r w:rsidR="002F5887">
        <w:rPr>
          <w:szCs w:val="22"/>
          <w:lang w:val="en-CA"/>
        </w:rPr>
        <w:t xml:space="preserve">mode number, this mapping being based on </w:t>
      </w:r>
      <w:r w:rsidR="005240F9">
        <w:rPr>
          <w:szCs w:val="22"/>
          <w:lang w:val="en-CA"/>
        </w:rPr>
        <w:t>Table 8-1 in [2].  The MIP flag was coded only for modes which had such a mapping (as there are fewer MIP modes than conventional modes).  The experiment gave a reduction in coding gain, dropping from 0.36% to 0.25%</w:t>
      </w:r>
      <w:r w:rsidR="001F32EC">
        <w:rPr>
          <w:szCs w:val="22"/>
          <w:lang w:val="en-CA"/>
        </w:rPr>
        <w:t xml:space="preserve"> (in VTM5.0)</w:t>
      </w:r>
      <w:r w:rsidR="005240F9">
        <w:rPr>
          <w:szCs w:val="22"/>
          <w:lang w:val="en-CA"/>
        </w:rPr>
        <w:t>, this may be due in part to the mapping used but does indicate that the coding method may indeed be responsible for some of the coding gain achieved by MIP.</w:t>
      </w:r>
      <w:r w:rsidR="009C2DCE">
        <w:rPr>
          <w:szCs w:val="22"/>
          <w:lang w:val="en-CA"/>
        </w:rPr>
        <w:t xml:space="preserve">  Other proponents have simplified the coding method by removing the second MPM list with negligible loss [3], indicating that the coding method does not significantly affect coding gain.</w:t>
      </w:r>
    </w:p>
    <w:p w14:paraId="4C21CA0E" w14:textId="77777777" w:rsidR="00897273" w:rsidRDefault="00897273" w:rsidP="003C3A6F">
      <w:pPr>
        <w:rPr>
          <w:szCs w:val="22"/>
          <w:lang w:val="en-CA"/>
        </w:rPr>
      </w:pPr>
    </w:p>
    <w:p w14:paraId="61FBAD56" w14:textId="170D66D2" w:rsidR="003B79F8" w:rsidRDefault="003B79F8" w:rsidP="003B79F8">
      <w:pPr>
        <w:pStyle w:val="Heading1"/>
        <w:rPr>
          <w:lang w:val="en-CA"/>
        </w:rPr>
      </w:pPr>
      <w:r>
        <w:rPr>
          <w:lang w:val="en-CA"/>
        </w:rPr>
        <w:lastRenderedPageBreak/>
        <w:t>Resources</w:t>
      </w:r>
    </w:p>
    <w:p w14:paraId="0F359E7A" w14:textId="410155EB" w:rsidR="003B79F8" w:rsidRDefault="008517F1" w:rsidP="003C3A6F">
      <w:pPr>
        <w:rPr>
          <w:szCs w:val="22"/>
          <w:lang w:val="en-CA"/>
        </w:rPr>
      </w:pPr>
      <w:r>
        <w:rPr>
          <w:szCs w:val="22"/>
          <w:lang w:val="en-CA"/>
        </w:rPr>
        <w:t>MIP currently requires the following storage for the matrices:</w:t>
      </w:r>
    </w:p>
    <w:tbl>
      <w:tblPr>
        <w:tblStyle w:val="GridTable4-Accent5"/>
        <w:tblW w:w="9298" w:type="dxa"/>
        <w:tblLayout w:type="fixed"/>
        <w:tblLook w:val="0420" w:firstRow="1" w:lastRow="0" w:firstColumn="0" w:lastColumn="0" w:noHBand="0" w:noVBand="1"/>
      </w:tblPr>
      <w:tblGrid>
        <w:gridCol w:w="1134"/>
        <w:gridCol w:w="1247"/>
        <w:gridCol w:w="1247"/>
        <w:gridCol w:w="1701"/>
        <w:gridCol w:w="1701"/>
        <w:gridCol w:w="2268"/>
      </w:tblGrid>
      <w:tr w:rsidR="000018B7" w14:paraId="0CA74277" w14:textId="77777777" w:rsidTr="0069067C">
        <w:trPr>
          <w:cnfStyle w:val="100000000000" w:firstRow="1" w:lastRow="0" w:firstColumn="0" w:lastColumn="0" w:oddVBand="0" w:evenVBand="0" w:oddHBand="0" w:evenHBand="0" w:firstRowFirstColumn="0" w:firstRowLastColumn="0" w:lastRowFirstColumn="0" w:lastRowLastColumn="0"/>
          <w:trHeight w:val="1440"/>
        </w:trPr>
        <w:tc>
          <w:tcPr>
            <w:tcW w:w="1134" w:type="dxa"/>
          </w:tcPr>
          <w:p w14:paraId="60D85A1D" w14:textId="30ECCAC6" w:rsidR="000018B7" w:rsidRDefault="000018B7" w:rsidP="0069067C">
            <w:pPr>
              <w:jc w:val="center"/>
              <w:rPr>
                <w:szCs w:val="22"/>
                <w:lang w:val="en-CA"/>
              </w:rPr>
            </w:pPr>
            <w:r>
              <w:rPr>
                <w:szCs w:val="22"/>
                <w:lang w:val="en-CA"/>
              </w:rPr>
              <w:t>Size</w:t>
            </w:r>
          </w:p>
        </w:tc>
        <w:tc>
          <w:tcPr>
            <w:tcW w:w="1247" w:type="dxa"/>
          </w:tcPr>
          <w:p w14:paraId="6705E246" w14:textId="01FD511B" w:rsidR="000018B7" w:rsidRDefault="000018B7" w:rsidP="0069067C">
            <w:pPr>
              <w:jc w:val="center"/>
              <w:rPr>
                <w:szCs w:val="22"/>
                <w:lang w:val="en-CA"/>
              </w:rPr>
            </w:pPr>
            <w:r>
              <w:rPr>
                <w:szCs w:val="22"/>
                <w:lang w:val="en-CA"/>
              </w:rPr>
              <w:t>MipSizeId</w:t>
            </w:r>
          </w:p>
        </w:tc>
        <w:tc>
          <w:tcPr>
            <w:tcW w:w="1247" w:type="dxa"/>
          </w:tcPr>
          <w:p w14:paraId="67C68C2A" w14:textId="6EC65E28" w:rsidR="000018B7" w:rsidRDefault="000018B7" w:rsidP="0069067C">
            <w:pPr>
              <w:jc w:val="center"/>
              <w:rPr>
                <w:szCs w:val="22"/>
                <w:lang w:val="en-CA"/>
              </w:rPr>
            </w:pPr>
            <w:r>
              <w:rPr>
                <w:szCs w:val="22"/>
                <w:lang w:val="en-CA"/>
              </w:rPr>
              <w:t>Number of dist</w:t>
            </w:r>
            <w:r w:rsidR="00355789">
              <w:rPr>
                <w:szCs w:val="22"/>
                <w:lang w:val="en-CA"/>
              </w:rPr>
              <w:t>in</w:t>
            </w:r>
            <w:r>
              <w:rPr>
                <w:szCs w:val="22"/>
                <w:lang w:val="en-CA"/>
              </w:rPr>
              <w:t>ct matrices</w:t>
            </w:r>
          </w:p>
        </w:tc>
        <w:tc>
          <w:tcPr>
            <w:tcW w:w="1701" w:type="dxa"/>
          </w:tcPr>
          <w:p w14:paraId="0232006B" w14:textId="6C53C430" w:rsidR="000018B7" w:rsidRDefault="000018B7" w:rsidP="000018B7">
            <w:pPr>
              <w:jc w:val="center"/>
              <w:rPr>
                <w:szCs w:val="22"/>
                <w:lang w:val="en-CA"/>
              </w:rPr>
            </w:pPr>
            <w:r>
              <w:rPr>
                <w:szCs w:val="22"/>
                <w:lang w:val="en-CA"/>
              </w:rPr>
              <w:t>Size of multiply matrix</w:t>
            </w:r>
            <w:r>
              <w:rPr>
                <w:szCs w:val="22"/>
                <w:lang w:val="en-CA"/>
              </w:rPr>
              <w:br/>
              <w:t>(in coefficients)</w:t>
            </w:r>
          </w:p>
          <w:p w14:paraId="5F4E2AA0" w14:textId="5346A964" w:rsidR="000018B7" w:rsidRDefault="000018B7" w:rsidP="000018B7">
            <w:pPr>
              <w:jc w:val="center"/>
              <w:rPr>
                <w:szCs w:val="22"/>
                <w:lang w:val="en-CA"/>
              </w:rPr>
            </w:pPr>
            <w:r>
              <w:rPr>
                <w:szCs w:val="22"/>
                <w:lang w:val="en-CA"/>
              </w:rPr>
              <w:t>M</w:t>
            </w:r>
          </w:p>
        </w:tc>
        <w:tc>
          <w:tcPr>
            <w:tcW w:w="1701" w:type="dxa"/>
          </w:tcPr>
          <w:p w14:paraId="58DD34B9" w14:textId="0F93B4D9" w:rsidR="000018B7" w:rsidRDefault="000018B7" w:rsidP="000018B7">
            <w:pPr>
              <w:jc w:val="center"/>
              <w:rPr>
                <w:szCs w:val="22"/>
                <w:lang w:val="en-CA"/>
              </w:rPr>
            </w:pPr>
            <w:r>
              <w:rPr>
                <w:szCs w:val="22"/>
                <w:lang w:val="en-CA"/>
              </w:rPr>
              <w:t>Size of additive matrix</w:t>
            </w:r>
            <w:r>
              <w:rPr>
                <w:szCs w:val="22"/>
                <w:lang w:val="en-CA"/>
              </w:rPr>
              <w:br/>
              <w:t>(in coefficients)</w:t>
            </w:r>
          </w:p>
          <w:p w14:paraId="54C62254" w14:textId="393C946B" w:rsidR="000018B7" w:rsidRDefault="000018B7" w:rsidP="000018B7">
            <w:pPr>
              <w:jc w:val="center"/>
              <w:rPr>
                <w:szCs w:val="22"/>
                <w:lang w:val="en-CA"/>
              </w:rPr>
            </w:pPr>
            <w:r>
              <w:rPr>
                <w:szCs w:val="22"/>
                <w:lang w:val="en-CA"/>
              </w:rPr>
              <w:t>A</w:t>
            </w:r>
          </w:p>
        </w:tc>
        <w:tc>
          <w:tcPr>
            <w:tcW w:w="2268" w:type="dxa"/>
          </w:tcPr>
          <w:p w14:paraId="6416A655" w14:textId="77777777" w:rsidR="000018B7" w:rsidRDefault="000018B7" w:rsidP="00925226">
            <w:pPr>
              <w:jc w:val="center"/>
              <w:rPr>
                <w:szCs w:val="22"/>
                <w:lang w:val="en-CA"/>
              </w:rPr>
            </w:pPr>
            <w:r>
              <w:rPr>
                <w:szCs w:val="22"/>
                <w:lang w:val="en-CA"/>
              </w:rPr>
              <w:t>Total number of coefficients</w:t>
            </w:r>
          </w:p>
          <w:p w14:paraId="1C8497AB" w14:textId="77777777" w:rsidR="00095027" w:rsidRPr="00095027" w:rsidRDefault="00095027" w:rsidP="00925226">
            <w:pPr>
              <w:jc w:val="center"/>
              <w:rPr>
                <w:sz w:val="10"/>
                <w:szCs w:val="22"/>
                <w:lang w:val="en-CA"/>
              </w:rPr>
            </w:pPr>
          </w:p>
          <w:p w14:paraId="3DC21E9B" w14:textId="53F8066F" w:rsidR="000018B7" w:rsidRDefault="000018B7" w:rsidP="00925226">
            <w:pPr>
              <w:jc w:val="center"/>
              <w:rPr>
                <w:szCs w:val="22"/>
                <w:lang w:val="en-CA"/>
              </w:rPr>
            </w:pPr>
            <w:r>
              <w:rPr>
                <w:szCs w:val="22"/>
                <w:lang w:val="en-CA"/>
              </w:rPr>
              <w:t>M+A</w:t>
            </w:r>
          </w:p>
        </w:tc>
      </w:tr>
      <w:tr w:rsidR="000018B7" w14:paraId="3014DA4B" w14:textId="1407B2EF" w:rsidTr="0069067C">
        <w:trPr>
          <w:cnfStyle w:val="000000100000" w:firstRow="0" w:lastRow="0" w:firstColumn="0" w:lastColumn="0" w:oddVBand="0" w:evenVBand="0" w:oddHBand="1" w:evenHBand="0" w:firstRowFirstColumn="0" w:firstRowLastColumn="0" w:lastRowFirstColumn="0" w:lastRowLastColumn="0"/>
        </w:trPr>
        <w:tc>
          <w:tcPr>
            <w:tcW w:w="1134" w:type="dxa"/>
          </w:tcPr>
          <w:p w14:paraId="1E4099CF" w14:textId="1C9A8C14" w:rsidR="000018B7" w:rsidRDefault="000018B7" w:rsidP="0069067C">
            <w:pPr>
              <w:jc w:val="center"/>
              <w:rPr>
                <w:szCs w:val="22"/>
                <w:lang w:val="en-CA"/>
              </w:rPr>
            </w:pPr>
            <w:r>
              <w:rPr>
                <w:szCs w:val="22"/>
                <w:lang w:val="en-CA"/>
              </w:rPr>
              <w:t>4×4</w:t>
            </w:r>
          </w:p>
        </w:tc>
        <w:tc>
          <w:tcPr>
            <w:tcW w:w="1247" w:type="dxa"/>
          </w:tcPr>
          <w:p w14:paraId="2F59529F" w14:textId="53B40280" w:rsidR="000018B7" w:rsidRDefault="000018B7" w:rsidP="0069067C">
            <w:pPr>
              <w:jc w:val="center"/>
              <w:rPr>
                <w:szCs w:val="22"/>
                <w:lang w:val="en-CA"/>
              </w:rPr>
            </w:pPr>
            <w:r>
              <w:rPr>
                <w:szCs w:val="22"/>
                <w:lang w:val="en-CA"/>
              </w:rPr>
              <w:t>0</w:t>
            </w:r>
          </w:p>
        </w:tc>
        <w:tc>
          <w:tcPr>
            <w:tcW w:w="1247" w:type="dxa"/>
          </w:tcPr>
          <w:p w14:paraId="7D3D67ED" w14:textId="4C082AF3" w:rsidR="000018B7" w:rsidRDefault="000018B7" w:rsidP="0069067C">
            <w:pPr>
              <w:jc w:val="center"/>
              <w:rPr>
                <w:szCs w:val="22"/>
                <w:lang w:val="en-CA"/>
              </w:rPr>
            </w:pPr>
            <w:r>
              <w:rPr>
                <w:szCs w:val="22"/>
                <w:lang w:val="en-CA"/>
              </w:rPr>
              <w:t>18</w:t>
            </w:r>
          </w:p>
        </w:tc>
        <w:tc>
          <w:tcPr>
            <w:tcW w:w="1701" w:type="dxa"/>
          </w:tcPr>
          <w:p w14:paraId="10C36EFD" w14:textId="7263B1EF" w:rsidR="000018B7" w:rsidRDefault="000018B7" w:rsidP="0069067C">
            <w:pPr>
              <w:jc w:val="center"/>
              <w:rPr>
                <w:szCs w:val="22"/>
                <w:lang w:val="en-CA"/>
              </w:rPr>
            </w:pPr>
            <w:r>
              <w:rPr>
                <w:szCs w:val="22"/>
                <w:lang w:val="en-CA"/>
              </w:rPr>
              <w:t>18×4</w:t>
            </w:r>
            <w:r w:rsidRPr="0069067C">
              <w:rPr>
                <w:szCs w:val="22"/>
                <w:vertAlign w:val="superscript"/>
                <w:lang w:val="en-CA"/>
              </w:rPr>
              <w:t>2</w:t>
            </w:r>
            <w:r>
              <w:rPr>
                <w:szCs w:val="22"/>
                <w:lang w:val="en-CA"/>
              </w:rPr>
              <w:t>×4</w:t>
            </w:r>
          </w:p>
        </w:tc>
        <w:tc>
          <w:tcPr>
            <w:tcW w:w="1701" w:type="dxa"/>
          </w:tcPr>
          <w:p w14:paraId="34858F7E" w14:textId="2C7645D5" w:rsidR="000018B7" w:rsidRDefault="000018B7" w:rsidP="0069067C">
            <w:pPr>
              <w:jc w:val="center"/>
              <w:rPr>
                <w:szCs w:val="22"/>
                <w:lang w:val="en-CA"/>
              </w:rPr>
            </w:pPr>
            <w:r>
              <w:rPr>
                <w:szCs w:val="22"/>
                <w:lang w:val="en-CA"/>
              </w:rPr>
              <w:t>18×16</w:t>
            </w:r>
          </w:p>
        </w:tc>
        <w:tc>
          <w:tcPr>
            <w:tcW w:w="2268" w:type="dxa"/>
          </w:tcPr>
          <w:p w14:paraId="1E52408F" w14:textId="77777777" w:rsidR="000018B7" w:rsidRDefault="000018B7" w:rsidP="0069067C">
            <w:pPr>
              <w:jc w:val="center"/>
              <w:rPr>
                <w:szCs w:val="22"/>
                <w:lang w:val="en-CA"/>
              </w:rPr>
            </w:pPr>
            <w:r>
              <w:rPr>
                <w:szCs w:val="22"/>
                <w:lang w:val="en-CA"/>
              </w:rPr>
              <w:t>1440</w:t>
            </w:r>
          </w:p>
          <w:p w14:paraId="6EEA0D85" w14:textId="3442DEFD" w:rsidR="000018B7" w:rsidRDefault="000018B7" w:rsidP="0069067C">
            <w:pPr>
              <w:jc w:val="center"/>
              <w:rPr>
                <w:szCs w:val="22"/>
                <w:lang w:val="en-CA"/>
              </w:rPr>
            </w:pPr>
            <w:r>
              <w:rPr>
                <w:szCs w:val="22"/>
                <w:lang w:val="en-CA"/>
              </w:rPr>
              <w:t>(23%)</w:t>
            </w:r>
          </w:p>
        </w:tc>
        <w:bookmarkStart w:id="0" w:name="_GoBack"/>
        <w:bookmarkEnd w:id="0"/>
      </w:tr>
      <w:tr w:rsidR="000018B7" w14:paraId="64D6967B" w14:textId="66ADE72B" w:rsidTr="0069067C">
        <w:tc>
          <w:tcPr>
            <w:tcW w:w="1134" w:type="dxa"/>
          </w:tcPr>
          <w:p w14:paraId="2B0729FE" w14:textId="69BEE397" w:rsidR="000018B7" w:rsidRDefault="000018B7" w:rsidP="0069067C">
            <w:pPr>
              <w:jc w:val="center"/>
              <w:rPr>
                <w:szCs w:val="22"/>
                <w:lang w:val="en-CA"/>
              </w:rPr>
            </w:pPr>
            <w:r>
              <w:rPr>
                <w:szCs w:val="22"/>
                <w:lang w:val="en-CA"/>
              </w:rPr>
              <w:t xml:space="preserve">8×N, </w:t>
            </w:r>
            <w:r w:rsidR="00EB7A79">
              <w:rPr>
                <w:szCs w:val="22"/>
                <w:lang w:val="en-CA"/>
              </w:rPr>
              <w:t>N</w:t>
            </w:r>
            <w:r>
              <w:rPr>
                <w:szCs w:val="22"/>
                <w:lang w:val="en-CA"/>
              </w:rPr>
              <w:t>×</w:t>
            </w:r>
            <w:r w:rsidR="00EB7A79">
              <w:rPr>
                <w:szCs w:val="22"/>
                <w:lang w:val="en-CA"/>
              </w:rPr>
              <w:t>8</w:t>
            </w:r>
            <w:r>
              <w:rPr>
                <w:szCs w:val="22"/>
                <w:lang w:val="en-CA"/>
              </w:rPr>
              <w:t xml:space="preserve"> (N≤8)</w:t>
            </w:r>
          </w:p>
        </w:tc>
        <w:tc>
          <w:tcPr>
            <w:tcW w:w="1247" w:type="dxa"/>
          </w:tcPr>
          <w:p w14:paraId="4CE2CF56" w14:textId="3BD0CBC8" w:rsidR="000018B7" w:rsidRDefault="000018B7" w:rsidP="0069067C">
            <w:pPr>
              <w:jc w:val="center"/>
              <w:rPr>
                <w:szCs w:val="22"/>
                <w:lang w:val="en-CA"/>
              </w:rPr>
            </w:pPr>
            <w:r>
              <w:rPr>
                <w:szCs w:val="22"/>
                <w:lang w:val="en-CA"/>
              </w:rPr>
              <w:t>1</w:t>
            </w:r>
          </w:p>
        </w:tc>
        <w:tc>
          <w:tcPr>
            <w:tcW w:w="1247" w:type="dxa"/>
          </w:tcPr>
          <w:p w14:paraId="30C82335" w14:textId="706481FE" w:rsidR="000018B7" w:rsidRDefault="000018B7" w:rsidP="0069067C">
            <w:pPr>
              <w:jc w:val="center"/>
              <w:rPr>
                <w:szCs w:val="22"/>
                <w:lang w:val="en-CA"/>
              </w:rPr>
            </w:pPr>
            <w:r>
              <w:rPr>
                <w:szCs w:val="22"/>
                <w:lang w:val="en-CA"/>
              </w:rPr>
              <w:t>10</w:t>
            </w:r>
          </w:p>
        </w:tc>
        <w:tc>
          <w:tcPr>
            <w:tcW w:w="1701" w:type="dxa"/>
          </w:tcPr>
          <w:p w14:paraId="3438FCD2" w14:textId="301405A3" w:rsidR="000018B7" w:rsidRDefault="000018B7" w:rsidP="0069067C">
            <w:pPr>
              <w:jc w:val="center"/>
              <w:rPr>
                <w:szCs w:val="22"/>
                <w:lang w:val="en-CA"/>
              </w:rPr>
            </w:pPr>
            <w:r>
              <w:rPr>
                <w:szCs w:val="22"/>
                <w:lang w:val="en-CA"/>
              </w:rPr>
              <w:t>10×4</w:t>
            </w:r>
            <w:r w:rsidRPr="0069067C">
              <w:rPr>
                <w:szCs w:val="22"/>
                <w:vertAlign w:val="superscript"/>
                <w:lang w:val="en-CA"/>
              </w:rPr>
              <w:t>2</w:t>
            </w:r>
            <w:r>
              <w:rPr>
                <w:szCs w:val="22"/>
                <w:lang w:val="en-CA"/>
              </w:rPr>
              <w:t>×8</w:t>
            </w:r>
          </w:p>
        </w:tc>
        <w:tc>
          <w:tcPr>
            <w:tcW w:w="1701" w:type="dxa"/>
          </w:tcPr>
          <w:p w14:paraId="0947D152" w14:textId="6E248337" w:rsidR="000018B7" w:rsidRDefault="000018B7" w:rsidP="0069067C">
            <w:pPr>
              <w:jc w:val="center"/>
              <w:rPr>
                <w:szCs w:val="22"/>
                <w:lang w:val="en-CA"/>
              </w:rPr>
            </w:pPr>
            <w:r>
              <w:rPr>
                <w:szCs w:val="22"/>
                <w:lang w:val="en-CA"/>
              </w:rPr>
              <w:t>10×16</w:t>
            </w:r>
          </w:p>
        </w:tc>
        <w:tc>
          <w:tcPr>
            <w:tcW w:w="2268" w:type="dxa"/>
          </w:tcPr>
          <w:p w14:paraId="0CB08D24" w14:textId="77777777" w:rsidR="000018B7" w:rsidRDefault="000018B7" w:rsidP="0069067C">
            <w:pPr>
              <w:jc w:val="center"/>
              <w:rPr>
                <w:szCs w:val="22"/>
                <w:lang w:val="en-CA"/>
              </w:rPr>
            </w:pPr>
            <w:r>
              <w:rPr>
                <w:szCs w:val="22"/>
                <w:lang w:val="en-CA"/>
              </w:rPr>
              <w:t>1440</w:t>
            </w:r>
          </w:p>
          <w:p w14:paraId="6A6748FE" w14:textId="6C236795" w:rsidR="000018B7" w:rsidRDefault="000018B7" w:rsidP="0069067C">
            <w:pPr>
              <w:jc w:val="center"/>
              <w:rPr>
                <w:szCs w:val="22"/>
                <w:lang w:val="en-CA"/>
              </w:rPr>
            </w:pPr>
            <w:r>
              <w:rPr>
                <w:szCs w:val="22"/>
                <w:lang w:val="en-CA"/>
              </w:rPr>
              <w:t>(23%)</w:t>
            </w:r>
          </w:p>
        </w:tc>
      </w:tr>
      <w:tr w:rsidR="000018B7" w14:paraId="5A14CFD3" w14:textId="2AFEAB88" w:rsidTr="0069067C">
        <w:trPr>
          <w:cnfStyle w:val="000000100000" w:firstRow="0" w:lastRow="0" w:firstColumn="0" w:lastColumn="0" w:oddVBand="0" w:evenVBand="0" w:oddHBand="1" w:evenHBand="0" w:firstRowFirstColumn="0" w:firstRowLastColumn="0" w:lastRowFirstColumn="0" w:lastRowLastColumn="0"/>
        </w:trPr>
        <w:tc>
          <w:tcPr>
            <w:tcW w:w="1134" w:type="dxa"/>
          </w:tcPr>
          <w:p w14:paraId="1757C793" w14:textId="29777234" w:rsidR="000018B7" w:rsidRDefault="000018B7" w:rsidP="0069067C">
            <w:pPr>
              <w:jc w:val="center"/>
              <w:rPr>
                <w:szCs w:val="22"/>
                <w:lang w:val="en-CA"/>
              </w:rPr>
            </w:pPr>
            <w:r>
              <w:rPr>
                <w:szCs w:val="22"/>
                <w:lang w:val="en-CA"/>
              </w:rPr>
              <w:t>16×N, N×16 (N≤16)</w:t>
            </w:r>
          </w:p>
        </w:tc>
        <w:tc>
          <w:tcPr>
            <w:tcW w:w="1247" w:type="dxa"/>
          </w:tcPr>
          <w:p w14:paraId="1D90128B" w14:textId="542684FB" w:rsidR="000018B7" w:rsidRDefault="000018B7" w:rsidP="0069067C">
            <w:pPr>
              <w:jc w:val="center"/>
              <w:rPr>
                <w:szCs w:val="22"/>
                <w:lang w:val="en-CA"/>
              </w:rPr>
            </w:pPr>
            <w:r>
              <w:rPr>
                <w:szCs w:val="22"/>
                <w:lang w:val="en-CA"/>
              </w:rPr>
              <w:t>2</w:t>
            </w:r>
          </w:p>
        </w:tc>
        <w:tc>
          <w:tcPr>
            <w:tcW w:w="1247" w:type="dxa"/>
          </w:tcPr>
          <w:p w14:paraId="341F3FDE" w14:textId="5ADBE5AF" w:rsidR="000018B7" w:rsidRDefault="000018B7" w:rsidP="0069067C">
            <w:pPr>
              <w:jc w:val="center"/>
              <w:rPr>
                <w:szCs w:val="22"/>
                <w:lang w:val="en-CA"/>
              </w:rPr>
            </w:pPr>
            <w:r>
              <w:rPr>
                <w:szCs w:val="22"/>
                <w:lang w:val="en-CA"/>
              </w:rPr>
              <w:t>6</w:t>
            </w:r>
          </w:p>
        </w:tc>
        <w:tc>
          <w:tcPr>
            <w:tcW w:w="1701" w:type="dxa"/>
          </w:tcPr>
          <w:p w14:paraId="3B24248E" w14:textId="12A64A86" w:rsidR="000018B7" w:rsidRDefault="000018B7" w:rsidP="0069067C">
            <w:pPr>
              <w:jc w:val="center"/>
              <w:rPr>
                <w:szCs w:val="22"/>
                <w:lang w:val="en-CA"/>
              </w:rPr>
            </w:pPr>
            <w:r>
              <w:rPr>
                <w:szCs w:val="22"/>
                <w:lang w:val="en-CA"/>
              </w:rPr>
              <w:t>6×8</w:t>
            </w:r>
            <w:r w:rsidRPr="0069067C">
              <w:rPr>
                <w:szCs w:val="22"/>
                <w:vertAlign w:val="superscript"/>
                <w:lang w:val="en-CA"/>
              </w:rPr>
              <w:t>2</w:t>
            </w:r>
            <w:r>
              <w:rPr>
                <w:szCs w:val="22"/>
                <w:lang w:val="en-CA"/>
              </w:rPr>
              <w:t>×8</w:t>
            </w:r>
          </w:p>
        </w:tc>
        <w:tc>
          <w:tcPr>
            <w:tcW w:w="1701" w:type="dxa"/>
          </w:tcPr>
          <w:p w14:paraId="749B2F0E" w14:textId="408311B5" w:rsidR="000018B7" w:rsidRDefault="000018B7" w:rsidP="0069067C">
            <w:pPr>
              <w:jc w:val="center"/>
              <w:rPr>
                <w:szCs w:val="22"/>
                <w:lang w:val="en-CA"/>
              </w:rPr>
            </w:pPr>
            <w:r>
              <w:rPr>
                <w:szCs w:val="22"/>
                <w:lang w:val="en-CA"/>
              </w:rPr>
              <w:t>6×8</w:t>
            </w:r>
            <w:r w:rsidRPr="0069067C">
              <w:rPr>
                <w:szCs w:val="22"/>
                <w:vertAlign w:val="superscript"/>
                <w:lang w:val="en-CA"/>
              </w:rPr>
              <w:t>2</w:t>
            </w:r>
          </w:p>
        </w:tc>
        <w:tc>
          <w:tcPr>
            <w:tcW w:w="2268" w:type="dxa"/>
          </w:tcPr>
          <w:p w14:paraId="20A3000B" w14:textId="77777777" w:rsidR="000018B7" w:rsidRDefault="000018B7" w:rsidP="0069067C">
            <w:pPr>
              <w:jc w:val="center"/>
              <w:rPr>
                <w:szCs w:val="22"/>
                <w:lang w:val="en-CA"/>
              </w:rPr>
            </w:pPr>
            <w:r>
              <w:rPr>
                <w:szCs w:val="22"/>
                <w:lang w:val="en-CA"/>
              </w:rPr>
              <w:t>3456</w:t>
            </w:r>
          </w:p>
          <w:p w14:paraId="1015827E" w14:textId="28457BF1" w:rsidR="000018B7" w:rsidRDefault="000018B7" w:rsidP="0069067C">
            <w:pPr>
              <w:jc w:val="center"/>
              <w:rPr>
                <w:szCs w:val="22"/>
                <w:lang w:val="en-CA"/>
              </w:rPr>
            </w:pPr>
            <w:r>
              <w:rPr>
                <w:szCs w:val="22"/>
                <w:lang w:val="en-CA"/>
              </w:rPr>
              <w:t>(55%)</w:t>
            </w:r>
          </w:p>
        </w:tc>
      </w:tr>
      <w:tr w:rsidR="000018B7" w14:paraId="0934056F" w14:textId="77777777" w:rsidTr="0069067C">
        <w:tc>
          <w:tcPr>
            <w:tcW w:w="1134" w:type="dxa"/>
          </w:tcPr>
          <w:p w14:paraId="1E44E4F7" w14:textId="77777777" w:rsidR="000018B7" w:rsidRDefault="000018B7" w:rsidP="00925226">
            <w:pPr>
              <w:jc w:val="center"/>
              <w:rPr>
                <w:szCs w:val="22"/>
                <w:lang w:val="en-CA"/>
              </w:rPr>
            </w:pPr>
            <w:r>
              <w:rPr>
                <w:szCs w:val="22"/>
                <w:lang w:val="en-CA"/>
              </w:rPr>
              <w:t>All</w:t>
            </w:r>
          </w:p>
        </w:tc>
        <w:tc>
          <w:tcPr>
            <w:tcW w:w="1247" w:type="dxa"/>
          </w:tcPr>
          <w:p w14:paraId="5410A462" w14:textId="77777777" w:rsidR="000018B7" w:rsidRDefault="000018B7" w:rsidP="00925226">
            <w:pPr>
              <w:jc w:val="center"/>
              <w:rPr>
                <w:szCs w:val="22"/>
                <w:lang w:val="en-CA"/>
              </w:rPr>
            </w:pPr>
          </w:p>
        </w:tc>
        <w:tc>
          <w:tcPr>
            <w:tcW w:w="1247" w:type="dxa"/>
          </w:tcPr>
          <w:p w14:paraId="5A34396A" w14:textId="69633714" w:rsidR="000018B7" w:rsidRDefault="000018B7" w:rsidP="00925226">
            <w:pPr>
              <w:jc w:val="center"/>
              <w:rPr>
                <w:szCs w:val="22"/>
                <w:lang w:val="en-CA"/>
              </w:rPr>
            </w:pPr>
          </w:p>
        </w:tc>
        <w:tc>
          <w:tcPr>
            <w:tcW w:w="1701" w:type="dxa"/>
          </w:tcPr>
          <w:p w14:paraId="208B7EB0" w14:textId="77777777" w:rsidR="000018B7" w:rsidRDefault="000018B7" w:rsidP="00925226">
            <w:pPr>
              <w:jc w:val="center"/>
              <w:rPr>
                <w:szCs w:val="22"/>
                <w:lang w:val="en-CA"/>
              </w:rPr>
            </w:pPr>
          </w:p>
        </w:tc>
        <w:tc>
          <w:tcPr>
            <w:tcW w:w="1701" w:type="dxa"/>
          </w:tcPr>
          <w:p w14:paraId="2287DDFC" w14:textId="77777777" w:rsidR="000018B7" w:rsidRDefault="000018B7" w:rsidP="00925226">
            <w:pPr>
              <w:jc w:val="center"/>
              <w:rPr>
                <w:szCs w:val="22"/>
                <w:lang w:val="en-CA"/>
              </w:rPr>
            </w:pPr>
          </w:p>
        </w:tc>
        <w:tc>
          <w:tcPr>
            <w:tcW w:w="2268" w:type="dxa"/>
          </w:tcPr>
          <w:p w14:paraId="515BE14A" w14:textId="3BB818FA" w:rsidR="000018B7" w:rsidRDefault="000018B7" w:rsidP="00925226">
            <w:pPr>
              <w:jc w:val="center"/>
              <w:rPr>
                <w:szCs w:val="22"/>
                <w:lang w:val="en-CA"/>
              </w:rPr>
            </w:pPr>
            <w:r>
              <w:rPr>
                <w:szCs w:val="22"/>
                <w:lang w:val="en-CA"/>
              </w:rPr>
              <w:t>6336</w:t>
            </w:r>
          </w:p>
        </w:tc>
      </w:tr>
    </w:tbl>
    <w:p w14:paraId="3112AB1F" w14:textId="5B2E1788" w:rsidR="00515559" w:rsidRDefault="000018B7" w:rsidP="003C3A6F">
      <w:pPr>
        <w:rPr>
          <w:szCs w:val="22"/>
          <w:lang w:val="en-CA"/>
        </w:rPr>
      </w:pPr>
      <w:r>
        <w:rPr>
          <w:szCs w:val="22"/>
          <w:lang w:val="en-CA"/>
        </w:rPr>
        <w:t>In addition, there is some storage to apply a variable shift following each matrix multipl</w:t>
      </w:r>
      <w:r w:rsidR="00EB7A79">
        <w:rPr>
          <w:szCs w:val="22"/>
          <w:lang w:val="en-CA"/>
        </w:rPr>
        <w:t>y</w:t>
      </w:r>
      <w:r>
        <w:rPr>
          <w:szCs w:val="22"/>
          <w:lang w:val="en-CA"/>
        </w:rPr>
        <w:t xml:space="preserve"> / matrix add stage. However, the values have little variance, and are in comparison, negligible.</w:t>
      </w:r>
    </w:p>
    <w:p w14:paraId="7CC814E3" w14:textId="3FAEC9A8" w:rsidR="005C5E78" w:rsidRDefault="005C5E78" w:rsidP="003C3A6F">
      <w:pPr>
        <w:rPr>
          <w:szCs w:val="22"/>
          <w:lang w:val="en-CA"/>
        </w:rPr>
      </w:pPr>
      <w:r>
        <w:rPr>
          <w:szCs w:val="22"/>
          <w:lang w:val="en-CA"/>
        </w:rPr>
        <w:t>There is also some storage for the maps used to convert between MIP modes and conventional modes for the MPM lists:</w:t>
      </w:r>
    </w:p>
    <w:p w14:paraId="269866DC" w14:textId="01CB64AD" w:rsidR="005C5E78" w:rsidRDefault="008E63D4" w:rsidP="003C3A6F">
      <w:pPr>
        <w:rPr>
          <w:szCs w:val="22"/>
          <w:lang w:val="en-CA"/>
        </w:rPr>
      </w:pPr>
      <w:r>
        <w:rPr>
          <w:szCs w:val="22"/>
          <w:lang w:val="en-CA"/>
        </w:rPr>
        <w:t xml:space="preserve">3x35 + 3x35 = 210 </w:t>
      </w:r>
      <w:r w:rsidR="00925226">
        <w:rPr>
          <w:szCs w:val="22"/>
          <w:lang w:val="en-CA"/>
        </w:rPr>
        <w:t>entries</w:t>
      </w:r>
    </w:p>
    <w:p w14:paraId="0AF656F2" w14:textId="77777777" w:rsidR="008E63D4" w:rsidRDefault="008E63D4" w:rsidP="003C3A6F">
      <w:pPr>
        <w:rPr>
          <w:szCs w:val="22"/>
          <w:lang w:val="en-CA"/>
        </w:rPr>
      </w:pPr>
    </w:p>
    <w:p w14:paraId="58B22B69" w14:textId="266D76F1" w:rsidR="004A3A88" w:rsidRDefault="004A3A88" w:rsidP="003C3A6F">
      <w:pPr>
        <w:rPr>
          <w:szCs w:val="22"/>
          <w:lang w:val="en-CA"/>
        </w:rPr>
      </w:pPr>
      <w:r>
        <w:rPr>
          <w:szCs w:val="22"/>
          <w:lang w:val="en-CA"/>
        </w:rPr>
        <w:t>In order to assess the contribution from each of the different size matrices</w:t>
      </w:r>
      <w:r w:rsidR="0091561E">
        <w:rPr>
          <w:szCs w:val="22"/>
          <w:lang w:val="en-CA"/>
        </w:rPr>
        <w:t xml:space="preserve"> some</w:t>
      </w:r>
      <w:r>
        <w:rPr>
          <w:szCs w:val="22"/>
          <w:lang w:val="en-CA"/>
        </w:rPr>
        <w:t xml:space="preserve"> experiments were done to disable MIP for various blocks sizes.</w:t>
      </w:r>
      <w:r w:rsidR="0091561E">
        <w:rPr>
          <w:szCs w:val="22"/>
          <w:lang w:val="en-CA"/>
        </w:rPr>
        <w:t xml:space="preserve">  Note that these were simple encoder-only changes so the MIP flag was still encoded in the bit-stream even if MIP could not be selected for that block size.  The results are shown below compared to the VTM5.0 anchor and to VTM5.0 with MIP disabled in the config</w:t>
      </w:r>
      <w:r w:rsidR="000018B7">
        <w:rPr>
          <w:szCs w:val="22"/>
          <w:lang w:val="en-CA"/>
        </w:rPr>
        <w:t>uration</w:t>
      </w:r>
      <w:r w:rsidR="0091561E">
        <w:rPr>
          <w:szCs w:val="22"/>
          <w:lang w:val="en-CA"/>
        </w:rPr>
        <w:t>:</w:t>
      </w:r>
    </w:p>
    <w:p w14:paraId="204CEB4E" w14:textId="1A2DF225" w:rsidR="001F0FDC" w:rsidRDefault="00F138FF" w:rsidP="003C3A6F">
      <w:pPr>
        <w:rPr>
          <w:szCs w:val="22"/>
          <w:lang w:val="en-CA"/>
        </w:rPr>
      </w:pPr>
      <w:r w:rsidRPr="00F138FF">
        <w:rPr>
          <w:noProof/>
          <w:lang w:val="en-GB" w:eastAsia="en-GB"/>
        </w:rPr>
        <w:drawing>
          <wp:inline distT="0" distB="0" distL="0" distR="0" wp14:anchorId="6C1ADBDB" wp14:editId="05DA66F1">
            <wp:extent cx="5943600" cy="1468493"/>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468493"/>
                    </a:xfrm>
                    <a:prstGeom prst="rect">
                      <a:avLst/>
                    </a:prstGeom>
                    <a:noFill/>
                    <a:ln>
                      <a:noFill/>
                    </a:ln>
                  </pic:spPr>
                </pic:pic>
              </a:graphicData>
            </a:graphic>
          </wp:inline>
        </w:drawing>
      </w:r>
    </w:p>
    <w:p w14:paraId="46383B5A" w14:textId="16ADDCAA" w:rsidR="004A3A88" w:rsidRDefault="0091561E" w:rsidP="0091561E">
      <w:pPr>
        <w:pStyle w:val="Caption"/>
        <w:rPr>
          <w:lang w:val="en-CA"/>
        </w:rPr>
      </w:pPr>
      <w:r>
        <w:rPr>
          <w:lang w:val="en-CA"/>
        </w:rPr>
        <w:t>Disabling MIP</w:t>
      </w:r>
      <w:r w:rsidR="00095027">
        <w:rPr>
          <w:lang w:val="en-CA"/>
        </w:rPr>
        <w:t xml:space="preserve"> (encoder-only)</w:t>
      </w:r>
      <w:r>
        <w:rPr>
          <w:lang w:val="en-CA"/>
        </w:rPr>
        <w:t xml:space="preserve"> for MipSizeId</w:t>
      </w:r>
      <w:r w:rsidR="005B7DD3">
        <w:rPr>
          <w:lang w:val="en-CA"/>
        </w:rPr>
        <w:t>=</w:t>
      </w:r>
      <w:r>
        <w:rPr>
          <w:lang w:val="en-CA"/>
        </w:rPr>
        <w:t>2</w:t>
      </w:r>
    </w:p>
    <w:p w14:paraId="1F02C51A" w14:textId="7AB7AA33" w:rsidR="0091561E" w:rsidRDefault="0091561E" w:rsidP="003C3A6F">
      <w:pPr>
        <w:rPr>
          <w:szCs w:val="22"/>
          <w:lang w:val="en-CA"/>
        </w:rPr>
      </w:pPr>
    </w:p>
    <w:p w14:paraId="6E04BAE3" w14:textId="77777777" w:rsidR="00F138FF" w:rsidRDefault="00F138FF" w:rsidP="003C3A6F">
      <w:pPr>
        <w:rPr>
          <w:szCs w:val="22"/>
          <w:lang w:val="en-CA"/>
        </w:rPr>
      </w:pPr>
    </w:p>
    <w:p w14:paraId="289DF7FA" w14:textId="65358144" w:rsidR="00F138FF" w:rsidRDefault="00F138FF" w:rsidP="003C3A6F">
      <w:pPr>
        <w:rPr>
          <w:szCs w:val="22"/>
          <w:lang w:val="en-CA"/>
        </w:rPr>
      </w:pPr>
      <w:r w:rsidRPr="00F138FF">
        <w:rPr>
          <w:noProof/>
          <w:lang w:val="en-GB" w:eastAsia="en-GB"/>
        </w:rPr>
        <w:lastRenderedPageBreak/>
        <w:drawing>
          <wp:inline distT="0" distB="0" distL="0" distR="0" wp14:anchorId="4942F2B8" wp14:editId="5A18D27E">
            <wp:extent cx="5943600" cy="146849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468493"/>
                    </a:xfrm>
                    <a:prstGeom prst="rect">
                      <a:avLst/>
                    </a:prstGeom>
                    <a:noFill/>
                    <a:ln>
                      <a:noFill/>
                    </a:ln>
                  </pic:spPr>
                </pic:pic>
              </a:graphicData>
            </a:graphic>
          </wp:inline>
        </w:drawing>
      </w:r>
    </w:p>
    <w:p w14:paraId="65597874" w14:textId="40F1EFAD" w:rsidR="0091561E" w:rsidRDefault="0091561E" w:rsidP="0091561E">
      <w:pPr>
        <w:pStyle w:val="Caption"/>
        <w:rPr>
          <w:lang w:val="en-CA"/>
        </w:rPr>
      </w:pPr>
      <w:r>
        <w:rPr>
          <w:lang w:val="en-CA"/>
        </w:rPr>
        <w:t xml:space="preserve">Disabling MIP </w:t>
      </w:r>
      <w:r w:rsidR="00095027">
        <w:rPr>
          <w:lang w:val="en-CA"/>
        </w:rPr>
        <w:t xml:space="preserve">(encoder-only) </w:t>
      </w:r>
      <w:r>
        <w:rPr>
          <w:lang w:val="en-CA"/>
        </w:rPr>
        <w:t>for MipSizeId</w:t>
      </w:r>
      <w:r w:rsidR="005B7DD3">
        <w:rPr>
          <w:lang w:val="en-CA"/>
        </w:rPr>
        <w:t>&lt;2</w:t>
      </w:r>
    </w:p>
    <w:p w14:paraId="346EF03B" w14:textId="77777777" w:rsidR="0091561E" w:rsidRDefault="0091561E" w:rsidP="003C3A6F">
      <w:pPr>
        <w:rPr>
          <w:szCs w:val="22"/>
          <w:lang w:val="en-CA"/>
        </w:rPr>
      </w:pPr>
    </w:p>
    <w:p w14:paraId="444F209A" w14:textId="6167EC82" w:rsidR="00CA5085" w:rsidRDefault="00CA5085" w:rsidP="003C3A6F">
      <w:pPr>
        <w:rPr>
          <w:szCs w:val="22"/>
          <w:lang w:val="en-CA"/>
        </w:rPr>
      </w:pPr>
      <w:r>
        <w:rPr>
          <w:szCs w:val="22"/>
          <w:lang w:val="en-CA"/>
        </w:rPr>
        <w:t>From these results it can be seen that the MipSizeId=2 case (&gt;8x8 blocks)</w:t>
      </w:r>
      <w:r w:rsidR="00E948DF">
        <w:rPr>
          <w:szCs w:val="22"/>
          <w:lang w:val="en-CA"/>
        </w:rPr>
        <w:t xml:space="preserve"> seems to be responsible for much of the overall gain.  Another experiment tested the contribution for MipSizeId=0 (4x4 blocks):</w:t>
      </w:r>
    </w:p>
    <w:p w14:paraId="03A061DF" w14:textId="7E319370" w:rsidR="00E948DF" w:rsidRDefault="00AD066D" w:rsidP="003C3A6F">
      <w:pPr>
        <w:rPr>
          <w:szCs w:val="22"/>
          <w:lang w:val="en-CA"/>
        </w:rPr>
      </w:pPr>
      <w:r w:rsidRPr="00AD066D">
        <w:rPr>
          <w:noProof/>
          <w:lang w:val="en-GB" w:eastAsia="en-GB"/>
        </w:rPr>
        <w:drawing>
          <wp:inline distT="0" distB="0" distL="0" distR="0" wp14:anchorId="03CD9F50" wp14:editId="0098C1ED">
            <wp:extent cx="5943600" cy="1533832"/>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1533832"/>
                    </a:xfrm>
                    <a:prstGeom prst="rect">
                      <a:avLst/>
                    </a:prstGeom>
                    <a:noFill/>
                    <a:ln>
                      <a:noFill/>
                    </a:ln>
                  </pic:spPr>
                </pic:pic>
              </a:graphicData>
            </a:graphic>
          </wp:inline>
        </w:drawing>
      </w:r>
    </w:p>
    <w:p w14:paraId="726AA141" w14:textId="5E9CD05A" w:rsidR="00E948DF" w:rsidRDefault="00E948DF" w:rsidP="00E948DF">
      <w:pPr>
        <w:pStyle w:val="Caption"/>
        <w:rPr>
          <w:lang w:val="en-CA"/>
        </w:rPr>
      </w:pPr>
      <w:r>
        <w:rPr>
          <w:lang w:val="en-CA"/>
        </w:rPr>
        <w:t>Disabling MIP</w:t>
      </w:r>
      <w:r w:rsidR="00095027">
        <w:rPr>
          <w:lang w:val="en-CA"/>
        </w:rPr>
        <w:t xml:space="preserve"> </w:t>
      </w:r>
      <w:r w:rsidR="00095027">
        <w:rPr>
          <w:lang w:val="en-CA"/>
        </w:rPr>
        <w:t xml:space="preserve">(encoder-only) </w:t>
      </w:r>
      <w:r>
        <w:rPr>
          <w:lang w:val="en-CA"/>
        </w:rPr>
        <w:t>for MipSizeId=0</w:t>
      </w:r>
    </w:p>
    <w:p w14:paraId="7885CCDB" w14:textId="77777777" w:rsidR="00CA5085" w:rsidRDefault="00CA5085" w:rsidP="003C3A6F">
      <w:pPr>
        <w:rPr>
          <w:szCs w:val="22"/>
          <w:lang w:val="en-CA"/>
        </w:rPr>
      </w:pPr>
    </w:p>
    <w:p w14:paraId="18B4DCEF" w14:textId="3FEDE972" w:rsidR="00897273" w:rsidRDefault="00897273" w:rsidP="00897273">
      <w:pPr>
        <w:pStyle w:val="Heading1"/>
        <w:rPr>
          <w:lang w:val="en-CA"/>
        </w:rPr>
      </w:pPr>
      <w:r>
        <w:rPr>
          <w:lang w:val="en-CA"/>
        </w:rPr>
        <w:t>Conclusion</w:t>
      </w:r>
    </w:p>
    <w:p w14:paraId="3F098103" w14:textId="2B0EF870" w:rsidR="00ED5F84" w:rsidRDefault="00BF07DF" w:rsidP="003C3A6F">
      <w:pPr>
        <w:rPr>
          <w:szCs w:val="22"/>
          <w:lang w:val="en-CA"/>
        </w:rPr>
      </w:pPr>
      <w:r>
        <w:rPr>
          <w:szCs w:val="22"/>
          <w:lang w:val="en-CA"/>
        </w:rPr>
        <w:t>A brief analysis of Matrix-based Intra Prediction has been done including comparison with conventional angular prediction.</w:t>
      </w:r>
    </w:p>
    <w:p w14:paraId="2EAFD86F" w14:textId="77777777" w:rsidR="00BF07DF" w:rsidRPr="005B217D" w:rsidRDefault="00BF07DF" w:rsidP="003C3A6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8BE31A8" w:rsidR="00342FF4" w:rsidRPr="005B217D" w:rsidRDefault="00C13B82" w:rsidP="009234A5">
      <w:pPr>
        <w:rPr>
          <w:szCs w:val="22"/>
          <w:lang w:val="en-CA"/>
        </w:rPr>
      </w:pPr>
      <w:r>
        <w:rPr>
          <w:b/>
          <w:szCs w:val="22"/>
          <w:lang w:eastAsia="ja-JP"/>
        </w:rPr>
        <w:t>Sony</w:t>
      </w:r>
      <w:r>
        <w:rPr>
          <w:b/>
          <w:szCs w:val="22"/>
        </w:rPr>
        <w:t xml:space="preserve"> Corporation or Sony Group companies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0A5849F" w14:textId="77777777" w:rsidR="00751F8B" w:rsidRDefault="00751F8B" w:rsidP="009234A5">
      <w:pPr>
        <w:rPr>
          <w:szCs w:val="22"/>
          <w:lang w:val="en-CA"/>
        </w:rPr>
      </w:pPr>
    </w:p>
    <w:p w14:paraId="5899C159" w14:textId="77777777" w:rsidR="004C5C5E" w:rsidRPr="00331727" w:rsidRDefault="004C5C5E" w:rsidP="004C5C5E">
      <w:pPr>
        <w:pStyle w:val="Heading1"/>
        <w:ind w:left="432" w:hanging="432"/>
        <w:rPr>
          <w:lang w:val="en-CA"/>
        </w:rPr>
      </w:pPr>
      <w:r>
        <w:rPr>
          <w:lang w:val="en-CA"/>
        </w:rPr>
        <w:t>References</w:t>
      </w:r>
    </w:p>
    <w:p w14:paraId="1D9B4C33" w14:textId="61A0D8E4" w:rsidR="004C5C5E" w:rsidRDefault="004C5C5E" w:rsidP="004C5C5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C4734B">
        <w:rPr>
          <w:lang w:val="en-CA"/>
        </w:rPr>
        <w:t>“</w:t>
      </w:r>
      <w:r w:rsidR="00C4734B" w:rsidRPr="00C4734B">
        <w:rPr>
          <w:szCs w:val="22"/>
          <w:lang w:val="en-CA"/>
        </w:rPr>
        <w:t>CE3: Affine linear weighted intra prediction (CE3-4.1, CE3-4.2)</w:t>
      </w:r>
      <w:r w:rsidRPr="00C4734B">
        <w:rPr>
          <w:lang w:val="en-CA"/>
        </w:rPr>
        <w:t>”, JVET</w:t>
      </w:r>
      <w:r w:rsidRPr="004F00FF">
        <w:rPr>
          <w:lang w:val="en-CA"/>
        </w:rPr>
        <w:t>-</w:t>
      </w:r>
      <w:r w:rsidR="00C4734B">
        <w:rPr>
          <w:lang w:val="en-CA"/>
        </w:rPr>
        <w:t>N0217</w:t>
      </w:r>
      <w:r w:rsidRPr="004F00FF">
        <w:rPr>
          <w:lang w:val="en-CA"/>
        </w:rPr>
        <w:t xml:space="preserve">, </w:t>
      </w:r>
      <w:r w:rsidR="00C4734B">
        <w:rPr>
          <w:lang w:val="en-CA"/>
        </w:rPr>
        <w:t>J</w:t>
      </w:r>
      <w:r w:rsidRPr="004F00FF">
        <w:rPr>
          <w:lang w:val="en-CA"/>
        </w:rPr>
        <w:t xml:space="preserve">. </w:t>
      </w:r>
      <w:r w:rsidR="00C4734B">
        <w:rPr>
          <w:lang w:val="en-CA"/>
        </w:rPr>
        <w:t xml:space="preserve">Pfaff, B. Stallenberger, M. </w:t>
      </w:r>
      <w:r w:rsidR="00C4734B">
        <w:rPr>
          <w:szCs w:val="22"/>
          <w:lang w:val="de-DE"/>
        </w:rPr>
        <w:t>Schäfer, P. Merkle, P. Helle, T. Hinz, H. Schwarz, D. Marpe, T. Wiegand</w:t>
      </w:r>
    </w:p>
    <w:p w14:paraId="2B59D3CB" w14:textId="77777777" w:rsidR="009C2DCE" w:rsidRDefault="004C5C5E" w:rsidP="009C2DC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w:t>
      </w:r>
      <w:r w:rsidRPr="00DC5F91">
        <w:rPr>
          <w:lang w:val="en-CA"/>
        </w:rPr>
        <w:t>Versatile Video Coding (Draft 5)</w:t>
      </w:r>
      <w:r>
        <w:rPr>
          <w:lang w:val="en-CA"/>
        </w:rPr>
        <w:t>”, JVET-N1001-v8, B. Bross, J. Chen, and S. Liu</w:t>
      </w:r>
    </w:p>
    <w:p w14:paraId="12FE3FD8" w14:textId="2FBB4AEB" w:rsidR="004C5C5E" w:rsidRPr="009C2DCE" w:rsidRDefault="009C2DCE" w:rsidP="009C2DC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E36CD">
        <w:rPr>
          <w:lang w:val="en-CA"/>
        </w:rPr>
        <w:t>“</w:t>
      </w:r>
      <w:r w:rsidRPr="00DE36CD">
        <w:rPr>
          <w:szCs w:val="22"/>
          <w:lang w:val="en-CA"/>
        </w:rPr>
        <w:t>CE3 Related: No MPM Derivation for Matrix Based Intra Prediction (MIP)”, JVET-O0169, Salehifar,</w:t>
      </w:r>
      <w:r>
        <w:rPr>
          <w:szCs w:val="22"/>
          <w:lang w:val="en-CA"/>
        </w:rPr>
        <w:t xml:space="preserve"> </w:t>
      </w:r>
      <w:r w:rsidRPr="00DE36CD">
        <w:rPr>
          <w:szCs w:val="22"/>
          <w:lang w:val="en-CA"/>
        </w:rPr>
        <w:t>M., Seung-Hwan Kim</w:t>
      </w:r>
    </w:p>
    <w:p w14:paraId="5AB12308" w14:textId="77777777" w:rsidR="004C5C5E" w:rsidRPr="005B217D" w:rsidRDefault="004C5C5E" w:rsidP="009234A5">
      <w:pPr>
        <w:rPr>
          <w:szCs w:val="22"/>
          <w:lang w:val="en-CA"/>
        </w:rPr>
      </w:pPr>
    </w:p>
    <w:sectPr w:rsidR="004C5C5E"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1BAF7" w14:textId="77777777" w:rsidR="005059E6" w:rsidRDefault="005059E6">
      <w:r>
        <w:separator/>
      </w:r>
    </w:p>
  </w:endnote>
  <w:endnote w:type="continuationSeparator" w:id="0">
    <w:p w14:paraId="455C6A4B" w14:textId="77777777" w:rsidR="005059E6" w:rsidRDefault="00505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95027">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95027">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84F79" w14:textId="77777777" w:rsidR="005059E6" w:rsidRDefault="005059E6">
      <w:r>
        <w:separator/>
      </w:r>
    </w:p>
  </w:footnote>
  <w:footnote w:type="continuationSeparator" w:id="0">
    <w:p w14:paraId="1A25C960" w14:textId="77777777" w:rsidR="005059E6" w:rsidRDefault="005059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8B7"/>
    <w:rsid w:val="000172D8"/>
    <w:rsid w:val="000308A3"/>
    <w:rsid w:val="000458BC"/>
    <w:rsid w:val="00045C41"/>
    <w:rsid w:val="00046C03"/>
    <w:rsid w:val="00064E18"/>
    <w:rsid w:val="00065039"/>
    <w:rsid w:val="00073715"/>
    <w:rsid w:val="0007614F"/>
    <w:rsid w:val="00077441"/>
    <w:rsid w:val="00081398"/>
    <w:rsid w:val="00094479"/>
    <w:rsid w:val="00095027"/>
    <w:rsid w:val="000962AC"/>
    <w:rsid w:val="00096BFB"/>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965C0"/>
    <w:rsid w:val="001A297E"/>
    <w:rsid w:val="001A368E"/>
    <w:rsid w:val="001A7329"/>
    <w:rsid w:val="001A792F"/>
    <w:rsid w:val="001B4E28"/>
    <w:rsid w:val="001C3525"/>
    <w:rsid w:val="001C3AFB"/>
    <w:rsid w:val="001D1BD2"/>
    <w:rsid w:val="001E0248"/>
    <w:rsid w:val="001E02BE"/>
    <w:rsid w:val="001E3B37"/>
    <w:rsid w:val="001E6037"/>
    <w:rsid w:val="001E7677"/>
    <w:rsid w:val="001F0FDC"/>
    <w:rsid w:val="001F2594"/>
    <w:rsid w:val="001F32EC"/>
    <w:rsid w:val="002055A6"/>
    <w:rsid w:val="00206460"/>
    <w:rsid w:val="002069B4"/>
    <w:rsid w:val="00215DFC"/>
    <w:rsid w:val="002212DF"/>
    <w:rsid w:val="00222CD4"/>
    <w:rsid w:val="00225016"/>
    <w:rsid w:val="002253CA"/>
    <w:rsid w:val="002264A6"/>
    <w:rsid w:val="00227BA7"/>
    <w:rsid w:val="0023011C"/>
    <w:rsid w:val="00232582"/>
    <w:rsid w:val="002375C1"/>
    <w:rsid w:val="00263398"/>
    <w:rsid w:val="00263B99"/>
    <w:rsid w:val="00266F06"/>
    <w:rsid w:val="00275BCF"/>
    <w:rsid w:val="00291E36"/>
    <w:rsid w:val="00292257"/>
    <w:rsid w:val="002A54E0"/>
    <w:rsid w:val="002B1595"/>
    <w:rsid w:val="002B191D"/>
    <w:rsid w:val="002B2E83"/>
    <w:rsid w:val="002D0AF6"/>
    <w:rsid w:val="002F164D"/>
    <w:rsid w:val="002F5887"/>
    <w:rsid w:val="002F7AE9"/>
    <w:rsid w:val="003021BC"/>
    <w:rsid w:val="00306206"/>
    <w:rsid w:val="00317D85"/>
    <w:rsid w:val="00327C56"/>
    <w:rsid w:val="003315A1"/>
    <w:rsid w:val="003373EC"/>
    <w:rsid w:val="00342FF4"/>
    <w:rsid w:val="00344E5A"/>
    <w:rsid w:val="00346148"/>
    <w:rsid w:val="00355789"/>
    <w:rsid w:val="003669EA"/>
    <w:rsid w:val="003706CC"/>
    <w:rsid w:val="00377710"/>
    <w:rsid w:val="00381476"/>
    <w:rsid w:val="003A2D8E"/>
    <w:rsid w:val="003A7CE6"/>
    <w:rsid w:val="003B79F8"/>
    <w:rsid w:val="003C20E4"/>
    <w:rsid w:val="003C3A6F"/>
    <w:rsid w:val="003D6342"/>
    <w:rsid w:val="003E6F90"/>
    <w:rsid w:val="003E73ED"/>
    <w:rsid w:val="003F5D0F"/>
    <w:rsid w:val="003F6D0D"/>
    <w:rsid w:val="00414101"/>
    <w:rsid w:val="004156A2"/>
    <w:rsid w:val="004219CF"/>
    <w:rsid w:val="004234F0"/>
    <w:rsid w:val="00433DDB"/>
    <w:rsid w:val="00435A29"/>
    <w:rsid w:val="00437619"/>
    <w:rsid w:val="00465A1E"/>
    <w:rsid w:val="00466C41"/>
    <w:rsid w:val="004930F6"/>
    <w:rsid w:val="0049445A"/>
    <w:rsid w:val="004A2A63"/>
    <w:rsid w:val="004A3A88"/>
    <w:rsid w:val="004B210C"/>
    <w:rsid w:val="004C5C5E"/>
    <w:rsid w:val="004D405F"/>
    <w:rsid w:val="004E4F4F"/>
    <w:rsid w:val="004E6789"/>
    <w:rsid w:val="004F61E3"/>
    <w:rsid w:val="00502E10"/>
    <w:rsid w:val="005059E6"/>
    <w:rsid w:val="0051015C"/>
    <w:rsid w:val="00515559"/>
    <w:rsid w:val="00516CF1"/>
    <w:rsid w:val="005240F9"/>
    <w:rsid w:val="00531AE9"/>
    <w:rsid w:val="00550A66"/>
    <w:rsid w:val="00561085"/>
    <w:rsid w:val="00567EC7"/>
    <w:rsid w:val="00570013"/>
    <w:rsid w:val="005753EC"/>
    <w:rsid w:val="005801A2"/>
    <w:rsid w:val="005952A5"/>
    <w:rsid w:val="005A33A1"/>
    <w:rsid w:val="005B217D"/>
    <w:rsid w:val="005B7DD3"/>
    <w:rsid w:val="005C019A"/>
    <w:rsid w:val="005C385F"/>
    <w:rsid w:val="005C5E78"/>
    <w:rsid w:val="005E1AC6"/>
    <w:rsid w:val="005F6F1B"/>
    <w:rsid w:val="006039D6"/>
    <w:rsid w:val="00615995"/>
    <w:rsid w:val="00616155"/>
    <w:rsid w:val="00624B33"/>
    <w:rsid w:val="0063041A"/>
    <w:rsid w:val="00630AA2"/>
    <w:rsid w:val="00646707"/>
    <w:rsid w:val="00657F7E"/>
    <w:rsid w:val="00662E58"/>
    <w:rsid w:val="006637F2"/>
    <w:rsid w:val="006642A5"/>
    <w:rsid w:val="00664DCF"/>
    <w:rsid w:val="006762E8"/>
    <w:rsid w:val="0069067C"/>
    <w:rsid w:val="006C5D39"/>
    <w:rsid w:val="006D6D9B"/>
    <w:rsid w:val="006E0A4C"/>
    <w:rsid w:val="006E2810"/>
    <w:rsid w:val="006E5417"/>
    <w:rsid w:val="006F0794"/>
    <w:rsid w:val="006F7528"/>
    <w:rsid w:val="007023DE"/>
    <w:rsid w:val="00712F60"/>
    <w:rsid w:val="00720E3B"/>
    <w:rsid w:val="0074393F"/>
    <w:rsid w:val="00745F6B"/>
    <w:rsid w:val="00751F8B"/>
    <w:rsid w:val="0075585E"/>
    <w:rsid w:val="00770571"/>
    <w:rsid w:val="007768FF"/>
    <w:rsid w:val="007824D3"/>
    <w:rsid w:val="00796120"/>
    <w:rsid w:val="00796EE3"/>
    <w:rsid w:val="007A7D29"/>
    <w:rsid w:val="007B4AB8"/>
    <w:rsid w:val="007C244D"/>
    <w:rsid w:val="007D1181"/>
    <w:rsid w:val="007D4581"/>
    <w:rsid w:val="007E01A3"/>
    <w:rsid w:val="007E1D0C"/>
    <w:rsid w:val="007F1F8B"/>
    <w:rsid w:val="007F67A1"/>
    <w:rsid w:val="00810527"/>
    <w:rsid w:val="00811C05"/>
    <w:rsid w:val="008206C8"/>
    <w:rsid w:val="0082275C"/>
    <w:rsid w:val="008517F1"/>
    <w:rsid w:val="0085359C"/>
    <w:rsid w:val="0086387C"/>
    <w:rsid w:val="00874A6C"/>
    <w:rsid w:val="00876C65"/>
    <w:rsid w:val="0089444E"/>
    <w:rsid w:val="00897273"/>
    <w:rsid w:val="008A4B4C"/>
    <w:rsid w:val="008C239F"/>
    <w:rsid w:val="008E480C"/>
    <w:rsid w:val="008E63D4"/>
    <w:rsid w:val="00907757"/>
    <w:rsid w:val="0091561E"/>
    <w:rsid w:val="009212B0"/>
    <w:rsid w:val="00921FA1"/>
    <w:rsid w:val="009234A5"/>
    <w:rsid w:val="00925226"/>
    <w:rsid w:val="00933453"/>
    <w:rsid w:val="009336F7"/>
    <w:rsid w:val="0093636C"/>
    <w:rsid w:val="009374A7"/>
    <w:rsid w:val="009459D9"/>
    <w:rsid w:val="00955F6D"/>
    <w:rsid w:val="0096575C"/>
    <w:rsid w:val="00977A48"/>
    <w:rsid w:val="00977C16"/>
    <w:rsid w:val="0098551D"/>
    <w:rsid w:val="00990AD8"/>
    <w:rsid w:val="0099518F"/>
    <w:rsid w:val="009978F9"/>
    <w:rsid w:val="009A523D"/>
    <w:rsid w:val="009B02A1"/>
    <w:rsid w:val="009B3361"/>
    <w:rsid w:val="009C2DCE"/>
    <w:rsid w:val="009C42EB"/>
    <w:rsid w:val="009D7CE6"/>
    <w:rsid w:val="009F1330"/>
    <w:rsid w:val="009F2146"/>
    <w:rsid w:val="009F496B"/>
    <w:rsid w:val="00A01439"/>
    <w:rsid w:val="00A02E61"/>
    <w:rsid w:val="00A05CFF"/>
    <w:rsid w:val="00A13048"/>
    <w:rsid w:val="00A14D98"/>
    <w:rsid w:val="00A46843"/>
    <w:rsid w:val="00A56B97"/>
    <w:rsid w:val="00A6093D"/>
    <w:rsid w:val="00A767DC"/>
    <w:rsid w:val="00A76A6D"/>
    <w:rsid w:val="00A83253"/>
    <w:rsid w:val="00AA6E84"/>
    <w:rsid w:val="00AB1A1C"/>
    <w:rsid w:val="00AD05A8"/>
    <w:rsid w:val="00AD066D"/>
    <w:rsid w:val="00AE341B"/>
    <w:rsid w:val="00AE5A5C"/>
    <w:rsid w:val="00B01905"/>
    <w:rsid w:val="00B07CA7"/>
    <w:rsid w:val="00B1279A"/>
    <w:rsid w:val="00B3747C"/>
    <w:rsid w:val="00B4194A"/>
    <w:rsid w:val="00B437E8"/>
    <w:rsid w:val="00B5222E"/>
    <w:rsid w:val="00B53179"/>
    <w:rsid w:val="00B57A23"/>
    <w:rsid w:val="00B600CD"/>
    <w:rsid w:val="00B61C96"/>
    <w:rsid w:val="00B73A2A"/>
    <w:rsid w:val="00B75A51"/>
    <w:rsid w:val="00B827C6"/>
    <w:rsid w:val="00B94B06"/>
    <w:rsid w:val="00B94C28"/>
    <w:rsid w:val="00BB150E"/>
    <w:rsid w:val="00BC10BA"/>
    <w:rsid w:val="00BC5AFD"/>
    <w:rsid w:val="00BF07DF"/>
    <w:rsid w:val="00C00DDE"/>
    <w:rsid w:val="00C04F43"/>
    <w:rsid w:val="00C0609D"/>
    <w:rsid w:val="00C115AB"/>
    <w:rsid w:val="00C13B82"/>
    <w:rsid w:val="00C26CCB"/>
    <w:rsid w:val="00C30249"/>
    <w:rsid w:val="00C3723B"/>
    <w:rsid w:val="00C42466"/>
    <w:rsid w:val="00C4734B"/>
    <w:rsid w:val="00C523D6"/>
    <w:rsid w:val="00C5476C"/>
    <w:rsid w:val="00C606C9"/>
    <w:rsid w:val="00C80288"/>
    <w:rsid w:val="00C84003"/>
    <w:rsid w:val="00C90650"/>
    <w:rsid w:val="00C97D78"/>
    <w:rsid w:val="00CA5085"/>
    <w:rsid w:val="00CC2AAE"/>
    <w:rsid w:val="00CC5A42"/>
    <w:rsid w:val="00CD0EAB"/>
    <w:rsid w:val="00CE10F2"/>
    <w:rsid w:val="00CE5E02"/>
    <w:rsid w:val="00CF34DB"/>
    <w:rsid w:val="00CF3917"/>
    <w:rsid w:val="00CF558F"/>
    <w:rsid w:val="00D010C0"/>
    <w:rsid w:val="00D073E2"/>
    <w:rsid w:val="00D14396"/>
    <w:rsid w:val="00D3084D"/>
    <w:rsid w:val="00D446EC"/>
    <w:rsid w:val="00D51BF0"/>
    <w:rsid w:val="00D531DB"/>
    <w:rsid w:val="00D55942"/>
    <w:rsid w:val="00D807BF"/>
    <w:rsid w:val="00D82FCC"/>
    <w:rsid w:val="00DA17FC"/>
    <w:rsid w:val="00DA7887"/>
    <w:rsid w:val="00DB2C26"/>
    <w:rsid w:val="00DD02F4"/>
    <w:rsid w:val="00DD6622"/>
    <w:rsid w:val="00DE1C7C"/>
    <w:rsid w:val="00DE2375"/>
    <w:rsid w:val="00DE6B43"/>
    <w:rsid w:val="00E108F7"/>
    <w:rsid w:val="00E11923"/>
    <w:rsid w:val="00E262D4"/>
    <w:rsid w:val="00E276BE"/>
    <w:rsid w:val="00E36250"/>
    <w:rsid w:val="00E47F2D"/>
    <w:rsid w:val="00E54511"/>
    <w:rsid w:val="00E61DAC"/>
    <w:rsid w:val="00E66AE0"/>
    <w:rsid w:val="00E72B80"/>
    <w:rsid w:val="00E75FE3"/>
    <w:rsid w:val="00E86C4C"/>
    <w:rsid w:val="00E907A3"/>
    <w:rsid w:val="00E948DF"/>
    <w:rsid w:val="00EA5AE0"/>
    <w:rsid w:val="00EB56E1"/>
    <w:rsid w:val="00EB7A79"/>
    <w:rsid w:val="00EB7AB1"/>
    <w:rsid w:val="00ED5F84"/>
    <w:rsid w:val="00EE7CD8"/>
    <w:rsid w:val="00EF1D62"/>
    <w:rsid w:val="00EF37F6"/>
    <w:rsid w:val="00EF48CC"/>
    <w:rsid w:val="00F00801"/>
    <w:rsid w:val="00F138FF"/>
    <w:rsid w:val="00F2488D"/>
    <w:rsid w:val="00F601A0"/>
    <w:rsid w:val="00F712E9"/>
    <w:rsid w:val="00F73032"/>
    <w:rsid w:val="00F76507"/>
    <w:rsid w:val="00F848FC"/>
    <w:rsid w:val="00F906F6"/>
    <w:rsid w:val="00F9282A"/>
    <w:rsid w:val="00F96BAD"/>
    <w:rsid w:val="00FA139D"/>
    <w:rsid w:val="00FA60F5"/>
    <w:rsid w:val="00FB0E84"/>
    <w:rsid w:val="00FC2405"/>
    <w:rsid w:val="00FD01C2"/>
    <w:rsid w:val="00FD77B6"/>
    <w:rsid w:val="00FE595C"/>
    <w:rsid w:val="00FE6DD9"/>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C5C5E"/>
    <w:pPr>
      <w:ind w:left="720"/>
      <w:contextualSpacing/>
    </w:pPr>
  </w:style>
  <w:style w:type="character" w:customStyle="1" w:styleId="ListParagraphChar">
    <w:name w:val="List Paragraph Char"/>
    <w:link w:val="ListParagraph"/>
    <w:uiPriority w:val="34"/>
    <w:rsid w:val="004C5C5E"/>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51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51F8B"/>
    <w:rPr>
      <w:rFonts w:eastAsia="Malgun Gothic"/>
      <w:b/>
      <w:bCs/>
    </w:rPr>
  </w:style>
  <w:style w:type="paragraph" w:customStyle="1" w:styleId="AppendixHeading2">
    <w:name w:val="Appendix Heading 2"/>
    <w:basedOn w:val="Heading2"/>
    <w:uiPriority w:val="99"/>
    <w:rsid w:val="00751F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51F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51F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51F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89444E"/>
    <w:rPr>
      <w:sz w:val="16"/>
      <w:szCs w:val="16"/>
    </w:rPr>
  </w:style>
  <w:style w:type="paragraph" w:styleId="CommentText">
    <w:name w:val="annotation text"/>
    <w:basedOn w:val="Normal"/>
    <w:link w:val="CommentTextChar"/>
    <w:rsid w:val="0089444E"/>
    <w:rPr>
      <w:sz w:val="20"/>
    </w:rPr>
  </w:style>
  <w:style w:type="character" w:customStyle="1" w:styleId="CommentTextChar">
    <w:name w:val="Comment Text Char"/>
    <w:basedOn w:val="DefaultParagraphFont"/>
    <w:link w:val="CommentText"/>
    <w:rsid w:val="0089444E"/>
  </w:style>
  <w:style w:type="paragraph" w:styleId="CommentSubject">
    <w:name w:val="annotation subject"/>
    <w:basedOn w:val="CommentText"/>
    <w:next w:val="CommentText"/>
    <w:link w:val="CommentSubjectChar"/>
    <w:rsid w:val="0089444E"/>
    <w:rPr>
      <w:b/>
      <w:bCs/>
    </w:rPr>
  </w:style>
  <w:style w:type="character" w:customStyle="1" w:styleId="CommentSubjectChar">
    <w:name w:val="Comment Subject Char"/>
    <w:basedOn w:val="CommentTextChar"/>
    <w:link w:val="CommentSubject"/>
    <w:rsid w:val="0089444E"/>
    <w:rPr>
      <w:b/>
      <w:bCs/>
    </w:rPr>
  </w:style>
  <w:style w:type="table" w:styleId="TableGrid">
    <w:name w:val="Table Grid"/>
    <w:basedOn w:val="TableNormal"/>
    <w:rsid w:val="00515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0018B7"/>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0018B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
    <w:name w:val="Grid Table 3"/>
    <w:basedOn w:val="TableNormal"/>
    <w:uiPriority w:val="48"/>
    <w:rsid w:val="000018B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Accent5">
    <w:name w:val="Grid Table 4 Accent 5"/>
    <w:basedOn w:val="TableNormal"/>
    <w:uiPriority w:val="49"/>
    <w:rsid w:val="000018B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Revision">
    <w:name w:val="Revision"/>
    <w:hidden/>
    <w:uiPriority w:val="99"/>
    <w:semiHidden/>
    <w:rsid w:val="0069067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137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hyperlink" Target="mailto:steve.keating@sony.com" TargetMode="External"/><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DCADD-5208-410C-BCDB-84A7C1E9B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1666</TotalTime>
  <Pages>5</Pages>
  <Words>1132</Words>
  <Characters>6096</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Karl Sharman</cp:lastModifiedBy>
  <cp:revision>29</cp:revision>
  <cp:lastPrinted>1900-01-01T08:00:00Z</cp:lastPrinted>
  <dcterms:created xsi:type="dcterms:W3CDTF">2019-06-18T13:58:00Z</dcterms:created>
  <dcterms:modified xsi:type="dcterms:W3CDTF">2019-06-25T16:27:00Z</dcterms:modified>
</cp:coreProperties>
</file>