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6ADDC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A3B8D1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E516D">
              <w:rPr>
                <w:lang w:val="en-CA"/>
              </w:rPr>
              <w:t>0066</w:t>
            </w:r>
            <w:bookmarkStart w:id="0" w:name="_GoBack"/>
            <w:bookmarkEnd w:id="0"/>
            <w:r w:rsidR="00AC1280">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92FE39" w:rsidR="00E61DAC" w:rsidRPr="005B217D" w:rsidRDefault="008E4D01" w:rsidP="008E4D01">
            <w:pPr>
              <w:spacing w:before="60" w:after="60"/>
              <w:rPr>
                <w:b/>
                <w:szCs w:val="22"/>
                <w:lang w:val="en-CA"/>
              </w:rPr>
            </w:pPr>
            <w:r>
              <w:rPr>
                <w:b/>
                <w:szCs w:val="22"/>
                <w:lang w:val="en-CA"/>
              </w:rPr>
              <w:t>CE4-3.1a and CE4-3.1b</w:t>
            </w:r>
            <w:r w:rsidR="00FC3342">
              <w:rPr>
                <w:b/>
                <w:szCs w:val="22"/>
                <w:lang w:val="en-CA"/>
              </w:rPr>
              <w:t>: Unidirectional</w:t>
            </w:r>
            <w:r w:rsidR="00D55DCF">
              <w:rPr>
                <w:b/>
                <w:szCs w:val="22"/>
                <w:lang w:val="en-CA"/>
              </w:rPr>
              <w:t xml:space="preserve"> local</w:t>
            </w:r>
            <w:r w:rsidR="00FC3342">
              <w:rPr>
                <w:b/>
                <w:szCs w:val="22"/>
                <w:lang w:val="en-CA"/>
              </w:rPr>
              <w:t xml:space="preserve"> illumination compensation with affine</w:t>
            </w:r>
            <w:r w:rsidR="00B9512A">
              <w:rPr>
                <w:b/>
                <w:szCs w:val="22"/>
                <w:lang w:val="en-CA"/>
              </w:rPr>
              <w:t xml:space="preserve">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061D952" w:rsidR="00E61DAC" w:rsidRPr="005B217D" w:rsidRDefault="00FC3342"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0C1691" w:rsidR="00E61DAC" w:rsidRPr="005B217D" w:rsidRDefault="00FC3342"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5533DAD" w14:textId="77777777" w:rsidR="00E61DAC" w:rsidRDefault="00FC3342">
            <w:pPr>
              <w:spacing w:before="60" w:after="60"/>
              <w:rPr>
                <w:szCs w:val="22"/>
                <w:lang w:val="en-CA"/>
              </w:rPr>
            </w:pPr>
            <w:r>
              <w:rPr>
                <w:szCs w:val="22"/>
                <w:lang w:val="en-CA"/>
              </w:rPr>
              <w:t>Vadim Seregin, Wei-Jung Chien, Ted Hsieh, Nan Hu, Marta Karczewicz</w:t>
            </w:r>
          </w:p>
          <w:p w14:paraId="44BB0CC1" w14:textId="77777777" w:rsidR="005549EE" w:rsidRDefault="005549EE">
            <w:pPr>
              <w:spacing w:before="60" w:after="60"/>
              <w:rPr>
                <w:szCs w:val="22"/>
                <w:lang w:val="en-CA" w:eastAsia="zh-TW"/>
              </w:rPr>
            </w:pPr>
            <w:r>
              <w:rPr>
                <w:rFonts w:eastAsia="PMingLiU"/>
                <w:szCs w:val="22"/>
                <w:lang w:val="en-CA" w:eastAsia="zh-TW"/>
              </w:rPr>
              <w:t>Chia-Ming Tsai</w:t>
            </w:r>
            <w:r>
              <w:rPr>
                <w:szCs w:val="22"/>
                <w:lang w:val="en-CA" w:eastAsia="zh-TW"/>
              </w:rPr>
              <w:t xml:space="preserve">, </w:t>
            </w:r>
            <w:r>
              <w:rPr>
                <w:szCs w:val="24"/>
              </w:rPr>
              <w:t>Chun-Chia Chen,</w:t>
            </w:r>
            <w:r>
              <w:rPr>
                <w:szCs w:val="24"/>
              </w:rPr>
              <w:br/>
            </w:r>
            <w:r>
              <w:rPr>
                <w:szCs w:val="22"/>
                <w:lang w:val="en-CA" w:eastAsia="zh-TW"/>
              </w:rPr>
              <w:t>Chih-Wei Hsu, Yu-Wen Huang,</w:t>
            </w:r>
            <w:r>
              <w:rPr>
                <w:szCs w:val="22"/>
                <w:lang w:val="en-CA" w:eastAsia="zh-TW"/>
              </w:rPr>
              <w:br/>
              <w:t>Shaw-Min Lei</w:t>
            </w:r>
          </w:p>
          <w:p w14:paraId="49D81240" w14:textId="59083B1E" w:rsidR="00FC3342" w:rsidRPr="005B217D" w:rsidRDefault="005549EE" w:rsidP="0000694B">
            <w:pPr>
              <w:spacing w:before="60" w:after="60"/>
              <w:rPr>
                <w:szCs w:val="22"/>
                <w:lang w:val="en-CA"/>
              </w:rPr>
            </w:pPr>
            <w:r>
              <w:rPr>
                <w:szCs w:val="22"/>
                <w:lang w:val="de-DE" w:eastAsia="zh-TW"/>
              </w:rPr>
              <w:t>Huanbang Chen, Xiang Ma, Haitao Yang</w:t>
            </w:r>
          </w:p>
        </w:tc>
        <w:tc>
          <w:tcPr>
            <w:tcW w:w="900" w:type="dxa"/>
          </w:tcPr>
          <w:p w14:paraId="0140ECA2" w14:textId="4AB659D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645E48B4" w14:textId="024397AA" w:rsidR="00E61DAC" w:rsidRDefault="006E73B7" w:rsidP="005952A5">
            <w:pPr>
              <w:spacing w:before="60" w:after="60"/>
              <w:rPr>
                <w:szCs w:val="22"/>
                <w:lang w:val="en-CA"/>
              </w:rPr>
            </w:pPr>
            <w:hyperlink r:id="rId9" w:history="1">
              <w:r w:rsidR="00FC3342" w:rsidRPr="00CD3D58">
                <w:rPr>
                  <w:rStyle w:val="Hyperlink"/>
                  <w:szCs w:val="22"/>
                  <w:lang w:val="en-CA"/>
                </w:rPr>
                <w:t>vseregin@qti.qualcomm.com</w:t>
              </w:r>
            </w:hyperlink>
          </w:p>
          <w:p w14:paraId="76999537" w14:textId="77777777" w:rsidR="00FC3342" w:rsidRDefault="00FC3342" w:rsidP="005952A5">
            <w:pPr>
              <w:spacing w:before="60" w:after="60"/>
              <w:rPr>
                <w:szCs w:val="22"/>
                <w:lang w:val="en-CA"/>
              </w:rPr>
            </w:pPr>
          </w:p>
          <w:p w14:paraId="3DD1A8D8" w14:textId="6C824FBC" w:rsidR="00FC3342" w:rsidRDefault="005549EE" w:rsidP="00CD145A">
            <w:pPr>
              <w:spacing w:before="60" w:after="60"/>
              <w:jc w:val="left"/>
              <w:rPr>
                <w:szCs w:val="22"/>
                <w:lang w:val="en-CA"/>
              </w:rPr>
            </w:pPr>
            <w:r>
              <w:rPr>
                <w:szCs w:val="22"/>
                <w:lang w:val="en-CA"/>
              </w:rPr>
              <w:t>{</w:t>
            </w:r>
            <w:r>
              <w:rPr>
                <w:rFonts w:eastAsia="PMingLiU"/>
                <w:szCs w:val="22"/>
                <w:lang w:val="en-CA" w:eastAsia="zh-TW"/>
              </w:rPr>
              <w:t>chia-ming.tsai</w:t>
            </w:r>
            <w:r>
              <w:rPr>
                <w:szCs w:val="22"/>
                <w:lang w:val="en-GB" w:eastAsia="zh-TW"/>
              </w:rPr>
              <w:t>,</w:t>
            </w:r>
            <w:r>
              <w:rPr>
                <w:szCs w:val="22"/>
                <w:lang w:val="en-CA"/>
              </w:rPr>
              <w:t xml:space="preserve"> chunchia.chen, cw.hsu, yuwen.huang, shawmin.lei}@mediatek.com</w:t>
            </w:r>
          </w:p>
          <w:p w14:paraId="32C2ABFD" w14:textId="15AAE1CD" w:rsidR="00FC3342" w:rsidRPr="005B217D" w:rsidRDefault="006E73B7" w:rsidP="005952A5">
            <w:pPr>
              <w:spacing w:before="60" w:after="60"/>
              <w:rPr>
                <w:szCs w:val="22"/>
                <w:lang w:val="en-CA"/>
              </w:rPr>
            </w:pPr>
            <w:hyperlink r:id="rId10" w:history="1">
              <w:r w:rsidR="005549EE" w:rsidRPr="00E54D44">
                <w:rPr>
                  <w:rStyle w:val="Hyperlink"/>
                  <w:szCs w:val="22"/>
                  <w:lang w:val="en-CA"/>
                </w:rPr>
                <w:t>chenhuanbang@huawei.com</w:t>
              </w:r>
            </w:hyperlink>
            <w:r w:rsidR="005549EE">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C8EEE0" w:rsidR="00E61DAC" w:rsidRPr="005B217D" w:rsidRDefault="00FC3342" w:rsidP="00FC3342">
            <w:pPr>
              <w:spacing w:before="60" w:after="60"/>
              <w:rPr>
                <w:szCs w:val="22"/>
                <w:lang w:val="en-CA"/>
              </w:rPr>
            </w:pPr>
            <w:r>
              <w:rPr>
                <w:szCs w:val="22"/>
                <w:lang w:val="en-CA"/>
              </w:rPr>
              <w:t>Qualcomm Incorporated, MediaTek</w:t>
            </w:r>
            <w:r w:rsidR="005549EE">
              <w:rPr>
                <w:szCs w:val="22"/>
                <w:lang w:val="en-CA"/>
              </w:rPr>
              <w:t xml:space="preserve"> Inc</w:t>
            </w:r>
            <w:r>
              <w:rPr>
                <w:szCs w:val="22"/>
                <w:lang w:val="en-CA"/>
              </w:rPr>
              <w:t xml:space="preserve">, </w:t>
            </w:r>
            <w:r w:rsidR="005549EE" w:rsidRPr="00345B71">
              <w:rPr>
                <w:szCs w:val="22"/>
                <w:lang w:val="en-CA"/>
              </w:rPr>
              <w:t>Huawei</w:t>
            </w:r>
            <w:r w:rsidR="005549EE">
              <w:rPr>
                <w:szCs w:val="22"/>
                <w:lang w:val="en-CA"/>
              </w:rPr>
              <w:t xml:space="preserve"> Technologies.</w:t>
            </w:r>
            <w:r w:rsidR="005549EE" w:rsidRPr="00345B71">
              <w:rPr>
                <w:szCs w:val="22"/>
                <w:lang w:val="en-CA"/>
              </w:rPr>
              <w:t xml:space="preserve"> </w:t>
            </w:r>
            <w:r w:rsidR="005549EE" w:rsidRPr="00345B71">
              <w:rPr>
                <w:rFonts w:hint="eastAsia"/>
                <w:szCs w:val="22"/>
                <w:lang w:val="en-CA" w:eastAsia="zh-CN"/>
              </w:rPr>
              <w:t>Co.,</w:t>
            </w:r>
            <w:r w:rsidR="005549EE">
              <w:rPr>
                <w:szCs w:val="22"/>
                <w:lang w:val="en-CA" w:eastAsia="zh-CN"/>
              </w:rPr>
              <w:t xml:space="preserve"> </w:t>
            </w:r>
            <w:r w:rsidR="005549EE"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0996B40" w14:textId="252B1DF9" w:rsidR="00FC3342" w:rsidRDefault="00FC3342" w:rsidP="00FC3342">
      <w:pPr>
        <w:rPr>
          <w:lang w:val="en-CA"/>
        </w:rPr>
      </w:pPr>
      <w:r>
        <w:rPr>
          <w:lang w:val="en-CA"/>
        </w:rPr>
        <w:t xml:space="preserve">This contribution presents test results for the </w:t>
      </w:r>
      <w:r w:rsidR="00D55DCF">
        <w:rPr>
          <w:lang w:val="en-CA"/>
        </w:rPr>
        <w:t xml:space="preserve">unidirectional </w:t>
      </w:r>
      <w:r>
        <w:rPr>
          <w:lang w:val="en-CA"/>
        </w:rPr>
        <w:t xml:space="preserve">local illumination compensation (LIC) tool, which is tested in CE4. In </w:t>
      </w:r>
      <w:r w:rsidR="003D4C4A">
        <w:rPr>
          <w:lang w:val="en-CA"/>
        </w:rPr>
        <w:t>CE4-3.1a and CE4-3.1b</w:t>
      </w:r>
      <w:r>
        <w:rPr>
          <w:lang w:val="en-CA"/>
        </w:rPr>
        <w:t xml:space="preserve">, LIC is applied to </w:t>
      </w:r>
      <w:r w:rsidR="000832F4">
        <w:rPr>
          <w:lang w:val="en-CA"/>
        </w:rPr>
        <w:t>regular inter mode</w:t>
      </w:r>
      <w:r>
        <w:rPr>
          <w:lang w:val="en-CA"/>
        </w:rPr>
        <w:t xml:space="preserve">, </w:t>
      </w:r>
      <w:r w:rsidR="008E4D01">
        <w:rPr>
          <w:lang w:val="en-CA"/>
        </w:rPr>
        <w:t xml:space="preserve">regular </w:t>
      </w:r>
      <w:r>
        <w:rPr>
          <w:lang w:val="en-CA"/>
        </w:rPr>
        <w:t xml:space="preserve">merge, </w:t>
      </w:r>
      <w:r w:rsidR="00F2779C">
        <w:rPr>
          <w:lang w:val="en-CA"/>
        </w:rPr>
        <w:t>merge with motion vector difference (</w:t>
      </w:r>
      <w:r>
        <w:rPr>
          <w:lang w:val="en-CA"/>
        </w:rPr>
        <w:t>MMVD</w:t>
      </w:r>
      <w:r w:rsidR="00F2779C">
        <w:rPr>
          <w:lang w:val="en-CA"/>
        </w:rPr>
        <w:t>)</w:t>
      </w:r>
      <w:r>
        <w:rPr>
          <w:lang w:val="en-CA"/>
        </w:rPr>
        <w:t xml:space="preserve"> and affine modes, and it is disabled for other inter tools and bi-directional prediction. LIC is applied using 16x16 processing units and is not applied for the block with less than 64 luma samples.</w:t>
      </w:r>
      <w:r w:rsidR="00015EAA">
        <w:rPr>
          <w:lang w:val="en-CA"/>
        </w:rPr>
        <w:t xml:space="preserve"> In </w:t>
      </w:r>
      <w:r w:rsidR="003D4C4A">
        <w:rPr>
          <w:lang w:val="en-CA"/>
        </w:rPr>
        <w:t>CE4-3.1b, encoder-</w:t>
      </w:r>
      <w:r w:rsidR="00015EAA">
        <w:rPr>
          <w:lang w:val="en-CA"/>
        </w:rPr>
        <w:t>only optimization is applied</w:t>
      </w:r>
      <w:r w:rsidR="00AC1280" w:rsidRPr="00AC1280">
        <w:rPr>
          <w:lang w:val="en-CA"/>
        </w:rPr>
        <w:t xml:space="preserve"> </w:t>
      </w:r>
      <w:r w:rsidR="00AC1280">
        <w:rPr>
          <w:lang w:val="en-CA"/>
        </w:rPr>
        <w:t>to further reduce encoding time</w:t>
      </w:r>
      <w:r w:rsidR="00015EAA">
        <w:rPr>
          <w:lang w:val="en-CA"/>
        </w:rPr>
        <w:t>.</w:t>
      </w:r>
    </w:p>
    <w:p w14:paraId="4A205D0C" w14:textId="146BA0D0" w:rsidR="00015EAA" w:rsidRDefault="00FC3342" w:rsidP="009234A5">
      <w:pPr>
        <w:rPr>
          <w:lang w:val="en-CA"/>
        </w:rPr>
      </w:pPr>
      <w:r>
        <w:rPr>
          <w:lang w:val="en-CA"/>
        </w:rPr>
        <w:t xml:space="preserve">Test results </w:t>
      </w:r>
      <w:r w:rsidR="00015EAA">
        <w:rPr>
          <w:lang w:val="en-CA"/>
        </w:rPr>
        <w:t xml:space="preserve">reportedly </w:t>
      </w:r>
      <w:r>
        <w:rPr>
          <w:lang w:val="en-CA"/>
        </w:rPr>
        <w:t xml:space="preserve">show </w:t>
      </w:r>
      <w:r w:rsidR="00015EAA">
        <w:rPr>
          <w:lang w:val="en-CA"/>
        </w:rPr>
        <w:t xml:space="preserve">the following </w:t>
      </w:r>
      <w:r>
        <w:rPr>
          <w:lang w:val="en-CA"/>
        </w:rPr>
        <w:t>BD rate reduction</w:t>
      </w:r>
      <w:r w:rsidR="00E44DEE">
        <w:rPr>
          <w:lang w:val="en-CA"/>
        </w:rPr>
        <w:t xml:space="preserve"> compared </w:t>
      </w:r>
      <w:r w:rsidR="00445332">
        <w:rPr>
          <w:lang w:val="en-CA"/>
        </w:rPr>
        <w:t>to</w:t>
      </w:r>
      <w:r w:rsidR="00E44DEE">
        <w:rPr>
          <w:lang w:val="en-CA"/>
        </w:rPr>
        <w:t xml:space="preserve"> VTM</w:t>
      </w:r>
      <w:r w:rsidR="00445332">
        <w:rPr>
          <w:lang w:val="en-CA"/>
        </w:rPr>
        <w:t>-</w:t>
      </w:r>
      <w:r w:rsidR="00E44DEE">
        <w:rPr>
          <w:lang w:val="en-CA"/>
        </w:rPr>
        <w:t>5.0</w:t>
      </w:r>
      <w:r w:rsidR="00D31BD6">
        <w:rPr>
          <w:lang w:val="en-CA"/>
        </w:rPr>
        <w:t>.</w:t>
      </w:r>
    </w:p>
    <w:p w14:paraId="723883F2" w14:textId="18535E56" w:rsidR="00263398" w:rsidRDefault="00015EAA" w:rsidP="009234A5">
      <w:pPr>
        <w:rPr>
          <w:lang w:val="en-CA"/>
        </w:rPr>
      </w:pPr>
      <w:r>
        <w:rPr>
          <w:lang w:val="en-CA"/>
        </w:rPr>
        <w:t>CE</w:t>
      </w:r>
      <w:r w:rsidR="00FB7019">
        <w:rPr>
          <w:lang w:val="en-CA"/>
        </w:rPr>
        <w:t>4</w:t>
      </w:r>
      <w:r>
        <w:rPr>
          <w:lang w:val="en-CA"/>
        </w:rPr>
        <w:t xml:space="preserve">-3.1a: </w:t>
      </w:r>
      <w:r w:rsidR="00D55DCF" w:rsidRPr="00D55DCF">
        <w:rPr>
          <w:lang w:val="en-CA"/>
        </w:rPr>
        <w:t xml:space="preserve">Unidirectional </w:t>
      </w:r>
      <w:r w:rsidR="00D55DCF">
        <w:rPr>
          <w:lang w:val="en-CA"/>
        </w:rPr>
        <w:t>LIC</w:t>
      </w:r>
      <w:r w:rsidR="00D55DCF" w:rsidRPr="00D55DCF">
        <w:rPr>
          <w:lang w:val="en-CA"/>
        </w:rPr>
        <w:t xml:space="preserve"> with affine</w:t>
      </w:r>
      <w:r w:rsidR="00D55DCF">
        <w:rPr>
          <w:lang w:val="en-CA"/>
        </w:rPr>
        <w:br/>
        <w:t>RA BD-rates</w:t>
      </w:r>
      <w:r w:rsidR="00445332">
        <w:rPr>
          <w:lang w:val="en-CA"/>
        </w:rPr>
        <w:t>:</w:t>
      </w:r>
      <w:r w:rsidR="00D55DCF">
        <w:rPr>
          <w:lang w:val="en-CA"/>
        </w:rPr>
        <w:t xml:space="preserve"> </w:t>
      </w:r>
      <w:r>
        <w:rPr>
          <w:lang w:val="en-CA"/>
        </w:rPr>
        <w:t xml:space="preserve">-0.46% </w:t>
      </w:r>
      <w:r w:rsidR="005549EE">
        <w:rPr>
          <w:lang w:val="en-CA"/>
        </w:rPr>
        <w:t>(Y)</w:t>
      </w:r>
      <w:r w:rsidR="00D55DCF">
        <w:rPr>
          <w:lang w:val="en-CA"/>
        </w:rPr>
        <w:t>,</w:t>
      </w:r>
      <w:r w:rsidR="005549EE">
        <w:rPr>
          <w:lang w:val="en-CA"/>
        </w:rPr>
        <w:t xml:space="preserve"> -0.39% (U)</w:t>
      </w:r>
      <w:r w:rsidR="00D55DCF">
        <w:rPr>
          <w:lang w:val="en-CA"/>
        </w:rPr>
        <w:t>,</w:t>
      </w:r>
      <w:r w:rsidR="005549EE">
        <w:rPr>
          <w:lang w:val="en-CA"/>
        </w:rPr>
        <w:t xml:space="preserve"> -0.50% (V) </w:t>
      </w:r>
      <w:r>
        <w:rPr>
          <w:lang w:val="en-CA"/>
        </w:rPr>
        <w:t>with 11</w:t>
      </w:r>
      <w:r w:rsidR="00576D5A">
        <w:rPr>
          <w:lang w:val="en-CA"/>
        </w:rPr>
        <w:t>6</w:t>
      </w:r>
      <w:r>
        <w:rPr>
          <w:lang w:val="en-CA"/>
        </w:rPr>
        <w:t>% encoder and 100% decoder runtime</w:t>
      </w:r>
      <w:r w:rsidR="00D55DCF">
        <w:rPr>
          <w:lang w:val="en-CA"/>
        </w:rPr>
        <w:br/>
        <w:t>LB BD-rates</w:t>
      </w:r>
      <w:r w:rsidR="00445332">
        <w:rPr>
          <w:lang w:val="en-CA"/>
        </w:rPr>
        <w:t xml:space="preserve">: </w:t>
      </w:r>
      <w:r>
        <w:rPr>
          <w:lang w:val="en-CA"/>
        </w:rPr>
        <w:t xml:space="preserve">-0.37% </w:t>
      </w:r>
      <w:r w:rsidR="005549EE">
        <w:rPr>
          <w:lang w:val="en-CA"/>
        </w:rPr>
        <w:t>(Y)</w:t>
      </w:r>
      <w:r w:rsidR="00D55DCF">
        <w:rPr>
          <w:lang w:val="en-CA"/>
        </w:rPr>
        <w:t>,</w:t>
      </w:r>
      <w:r w:rsidR="005549EE">
        <w:rPr>
          <w:lang w:val="en-CA"/>
        </w:rPr>
        <w:t xml:space="preserve"> 0.03% (U)</w:t>
      </w:r>
      <w:r w:rsidR="00D55DCF">
        <w:rPr>
          <w:lang w:val="en-CA"/>
        </w:rPr>
        <w:t>,</w:t>
      </w:r>
      <w:r w:rsidR="005549EE">
        <w:rPr>
          <w:lang w:val="en-CA"/>
        </w:rPr>
        <w:t xml:space="preserve"> -0.30 (V) </w:t>
      </w:r>
      <w:r>
        <w:rPr>
          <w:lang w:val="en-CA"/>
        </w:rPr>
        <w:t>with 1</w:t>
      </w:r>
      <w:r w:rsidR="00576D5A">
        <w:rPr>
          <w:lang w:val="en-CA"/>
        </w:rPr>
        <w:t>19</w:t>
      </w:r>
      <w:r>
        <w:rPr>
          <w:lang w:val="en-CA"/>
        </w:rPr>
        <w:t>% encoder and 10</w:t>
      </w:r>
      <w:r w:rsidR="00576D5A">
        <w:rPr>
          <w:lang w:val="en-CA"/>
        </w:rPr>
        <w:t>1</w:t>
      </w:r>
      <w:r>
        <w:rPr>
          <w:lang w:val="en-CA"/>
        </w:rPr>
        <w:t>% decoder runtime</w:t>
      </w:r>
    </w:p>
    <w:p w14:paraId="36AF270F" w14:textId="723BB9EE" w:rsidR="00D31BD6" w:rsidRDefault="00D31BD6" w:rsidP="00D31BD6">
      <w:pPr>
        <w:rPr>
          <w:lang w:val="en-CA"/>
        </w:rPr>
      </w:pPr>
      <w:r>
        <w:rPr>
          <w:lang w:val="en-CA"/>
        </w:rPr>
        <w:t>CE</w:t>
      </w:r>
      <w:r w:rsidR="00FB7019">
        <w:rPr>
          <w:lang w:val="en-CA"/>
        </w:rPr>
        <w:t>4</w:t>
      </w:r>
      <w:r>
        <w:rPr>
          <w:lang w:val="en-CA"/>
        </w:rPr>
        <w:t xml:space="preserve">-3.1b: </w:t>
      </w:r>
      <w:r w:rsidR="00D55DCF">
        <w:rPr>
          <w:lang w:val="en-CA"/>
        </w:rPr>
        <w:t>CE4-3.1a + LIC encoder-only optimization</w:t>
      </w:r>
      <w:r w:rsidR="00D55DCF">
        <w:rPr>
          <w:lang w:val="en-CA"/>
        </w:rPr>
        <w:br/>
        <w:t>RA BD-rates</w:t>
      </w:r>
      <w:r w:rsidR="00445332">
        <w:rPr>
          <w:lang w:val="en-CA"/>
        </w:rPr>
        <w:t>:</w:t>
      </w:r>
      <w:r w:rsidR="00D55DCF">
        <w:rPr>
          <w:lang w:val="en-CA"/>
        </w:rPr>
        <w:t xml:space="preserve"> </w:t>
      </w:r>
      <w:r>
        <w:rPr>
          <w:lang w:val="en-CA"/>
        </w:rPr>
        <w:t>-0.32%</w:t>
      </w:r>
      <w:r w:rsidR="0055095E">
        <w:rPr>
          <w:lang w:val="en-CA"/>
        </w:rPr>
        <w:t xml:space="preserve"> (Y)</w:t>
      </w:r>
      <w:r w:rsidR="00D55DCF">
        <w:rPr>
          <w:lang w:val="en-CA"/>
        </w:rPr>
        <w:t>,</w:t>
      </w:r>
      <w:r w:rsidR="0055095E">
        <w:rPr>
          <w:lang w:val="en-CA"/>
        </w:rPr>
        <w:t xml:space="preserve"> -0.22% (U)</w:t>
      </w:r>
      <w:r w:rsidR="00D55DCF">
        <w:rPr>
          <w:lang w:val="en-CA"/>
        </w:rPr>
        <w:t>,</w:t>
      </w:r>
      <w:r w:rsidR="0055095E">
        <w:rPr>
          <w:lang w:val="en-CA"/>
        </w:rPr>
        <w:t xml:space="preserve"> -0.40% (V)</w:t>
      </w:r>
      <w:r>
        <w:rPr>
          <w:lang w:val="en-CA"/>
        </w:rPr>
        <w:t xml:space="preserve"> with 10</w:t>
      </w:r>
      <w:r w:rsidR="00C67500">
        <w:rPr>
          <w:lang w:val="en-CA"/>
        </w:rPr>
        <w:t>5</w:t>
      </w:r>
      <w:r>
        <w:rPr>
          <w:lang w:val="en-CA"/>
        </w:rPr>
        <w:t xml:space="preserve">% encoder and </w:t>
      </w:r>
      <w:r w:rsidR="00C67500">
        <w:rPr>
          <w:lang w:val="en-CA"/>
        </w:rPr>
        <w:t>99</w:t>
      </w:r>
      <w:r>
        <w:rPr>
          <w:lang w:val="en-CA"/>
        </w:rPr>
        <w:t>% decoder runtime</w:t>
      </w:r>
      <w:r w:rsidR="00D55DCF">
        <w:rPr>
          <w:lang w:val="en-CA"/>
        </w:rPr>
        <w:br/>
        <w:t>LB BD-rates</w:t>
      </w:r>
      <w:r w:rsidR="00445332">
        <w:rPr>
          <w:lang w:val="en-CA"/>
        </w:rPr>
        <w:t>:</w:t>
      </w:r>
      <w:r w:rsidR="00D55DCF">
        <w:rPr>
          <w:lang w:val="en-CA"/>
        </w:rPr>
        <w:t xml:space="preserve"> </w:t>
      </w:r>
      <w:r>
        <w:rPr>
          <w:lang w:val="en-CA"/>
        </w:rPr>
        <w:t xml:space="preserve">-0.24% </w:t>
      </w:r>
      <w:r w:rsidR="0055095E">
        <w:rPr>
          <w:lang w:val="en-CA"/>
        </w:rPr>
        <w:t>(Y)</w:t>
      </w:r>
      <w:r w:rsidR="00D55DCF">
        <w:rPr>
          <w:lang w:val="en-CA"/>
        </w:rPr>
        <w:t>,</w:t>
      </w:r>
      <w:r w:rsidR="0055095E">
        <w:rPr>
          <w:lang w:val="en-CA"/>
        </w:rPr>
        <w:t xml:space="preserve"> -0.02% (U)</w:t>
      </w:r>
      <w:r w:rsidR="00D55DCF">
        <w:rPr>
          <w:lang w:val="en-CA"/>
        </w:rPr>
        <w:t>,</w:t>
      </w:r>
      <w:r w:rsidR="0055095E">
        <w:rPr>
          <w:lang w:val="en-CA"/>
        </w:rPr>
        <w:t xml:space="preserve"> -0.43% (V) </w:t>
      </w:r>
      <w:r>
        <w:rPr>
          <w:lang w:val="en-CA"/>
        </w:rPr>
        <w:t>with 10</w:t>
      </w:r>
      <w:r w:rsidR="00C67500">
        <w:rPr>
          <w:lang w:val="en-CA"/>
        </w:rPr>
        <w:t>8</w:t>
      </w:r>
      <w:r>
        <w:rPr>
          <w:lang w:val="en-CA"/>
        </w:rPr>
        <w:t>% encoder and 10</w:t>
      </w:r>
      <w:r w:rsidR="00C67500">
        <w:rPr>
          <w:lang w:val="en-CA"/>
        </w:rPr>
        <w:t>2</w:t>
      </w:r>
      <w:r>
        <w:rPr>
          <w:lang w:val="en-CA"/>
        </w:rPr>
        <w:t>% decoder runtime</w:t>
      </w:r>
    </w:p>
    <w:p w14:paraId="2C439861" w14:textId="77777777" w:rsidR="00B552C3" w:rsidRDefault="00B552C3" w:rsidP="00D31BD6">
      <w:pPr>
        <w:rPr>
          <w:lang w:val="en-CA"/>
        </w:rPr>
      </w:pPr>
    </w:p>
    <w:p w14:paraId="7D2AC1F0" w14:textId="6F975B82" w:rsidR="00745F6B" w:rsidRPr="005B217D" w:rsidRDefault="00745F6B" w:rsidP="00E11923">
      <w:pPr>
        <w:pStyle w:val="Heading1"/>
        <w:rPr>
          <w:lang w:val="en-CA"/>
        </w:rPr>
      </w:pPr>
      <w:r w:rsidRPr="005B217D">
        <w:rPr>
          <w:lang w:val="en-CA"/>
        </w:rPr>
        <w:t>Introduction</w:t>
      </w:r>
    </w:p>
    <w:p w14:paraId="1539A21D" w14:textId="677DA50C" w:rsidR="001F2594" w:rsidRDefault="003C6834" w:rsidP="009234A5">
      <w:pPr>
        <w:rPr>
          <w:szCs w:val="22"/>
          <w:lang w:val="en-CA"/>
        </w:rPr>
      </w:pPr>
      <w:r>
        <w:rPr>
          <w:szCs w:val="22"/>
          <w:lang w:val="en-CA"/>
        </w:rPr>
        <w:t xml:space="preserve">Unidirectional LIC method with 16x16 processing units and extension to affine mode was proposed in JVET-N0343, JVET-N0205, </w:t>
      </w:r>
      <w:r w:rsidR="003D4C4A">
        <w:rPr>
          <w:szCs w:val="22"/>
          <w:lang w:val="en-CA"/>
        </w:rPr>
        <w:t xml:space="preserve">and </w:t>
      </w:r>
      <w:r>
        <w:rPr>
          <w:szCs w:val="22"/>
          <w:lang w:val="en-CA"/>
        </w:rPr>
        <w:t>JVET-N0171. The encoder optimization was proposed in JVET-N0074.</w:t>
      </w:r>
    </w:p>
    <w:p w14:paraId="0799800C" w14:textId="5A31A0B7" w:rsidR="003C6834" w:rsidRDefault="003C6834" w:rsidP="009234A5">
      <w:pPr>
        <w:rPr>
          <w:szCs w:val="22"/>
          <w:lang w:val="en-CA"/>
        </w:rPr>
      </w:pPr>
      <w:r>
        <w:rPr>
          <w:szCs w:val="22"/>
          <w:lang w:val="en-CA"/>
        </w:rPr>
        <w:t>LIC is applied to both luma and chroma components and in the following configuration:</w:t>
      </w:r>
    </w:p>
    <w:p w14:paraId="37BA0378" w14:textId="4791EBF3" w:rsidR="003C6834" w:rsidRDefault="003C6834" w:rsidP="003C6834">
      <w:pPr>
        <w:numPr>
          <w:ilvl w:val="0"/>
          <w:numId w:val="12"/>
        </w:numPr>
        <w:jc w:val="left"/>
        <w:textAlignment w:val="auto"/>
        <w:rPr>
          <w:lang w:eastAsia="de-DE"/>
        </w:rPr>
      </w:pPr>
      <w:r>
        <w:rPr>
          <w:lang w:eastAsia="de-DE"/>
        </w:rPr>
        <w:t>Intra neighbor samples are not used in LIC parameter derivation</w:t>
      </w:r>
      <w:r w:rsidR="00D0495C">
        <w:rPr>
          <w:lang w:eastAsia="de-DE"/>
        </w:rPr>
        <w:t xml:space="preserve"> and are replaced by the reference neighbor samples</w:t>
      </w:r>
    </w:p>
    <w:p w14:paraId="7623EF47" w14:textId="618336AF" w:rsidR="003C6834" w:rsidRDefault="003C6834" w:rsidP="003C6834">
      <w:pPr>
        <w:numPr>
          <w:ilvl w:val="0"/>
          <w:numId w:val="12"/>
        </w:numPr>
        <w:jc w:val="left"/>
        <w:textAlignment w:val="auto"/>
        <w:rPr>
          <w:lang w:eastAsia="de-DE"/>
        </w:rPr>
      </w:pPr>
      <w:r>
        <w:rPr>
          <w:lang w:eastAsia="de-DE"/>
        </w:rPr>
        <w:t xml:space="preserve">Disable for </w:t>
      </w:r>
      <w:r w:rsidR="00F2779C">
        <w:rPr>
          <w:lang w:eastAsia="de-DE"/>
        </w:rPr>
        <w:t>combine</w:t>
      </w:r>
      <w:r w:rsidR="00AC160B">
        <w:rPr>
          <w:lang w:eastAsia="de-DE"/>
        </w:rPr>
        <w:t>d</w:t>
      </w:r>
      <w:r w:rsidR="00F2779C">
        <w:rPr>
          <w:lang w:eastAsia="de-DE"/>
        </w:rPr>
        <w:t xml:space="preserve"> inter/intra prediction (</w:t>
      </w:r>
      <w:r>
        <w:rPr>
          <w:lang w:eastAsia="de-DE"/>
        </w:rPr>
        <w:t>CIIP</w:t>
      </w:r>
      <w:r w:rsidR="00F2779C">
        <w:rPr>
          <w:lang w:eastAsia="de-DE"/>
        </w:rPr>
        <w:t>)</w:t>
      </w:r>
      <w:r>
        <w:rPr>
          <w:lang w:eastAsia="de-DE"/>
        </w:rPr>
        <w:t xml:space="preserve"> and </w:t>
      </w:r>
      <w:r w:rsidR="00F2779C">
        <w:rPr>
          <w:lang w:eastAsia="de-DE"/>
        </w:rPr>
        <w:t>intra block copy (</w:t>
      </w:r>
      <w:r>
        <w:rPr>
          <w:lang w:eastAsia="de-DE"/>
        </w:rPr>
        <w:t>IBC</w:t>
      </w:r>
      <w:r w:rsidR="00F2779C">
        <w:rPr>
          <w:lang w:eastAsia="de-DE"/>
        </w:rPr>
        <w:t>)</w:t>
      </w:r>
      <w:r>
        <w:rPr>
          <w:lang w:eastAsia="de-DE"/>
        </w:rPr>
        <w:t xml:space="preserve"> blocks</w:t>
      </w:r>
    </w:p>
    <w:p w14:paraId="5B9F6B15" w14:textId="77777777" w:rsidR="003C6834" w:rsidRDefault="003C6834" w:rsidP="003C6834">
      <w:pPr>
        <w:numPr>
          <w:ilvl w:val="0"/>
          <w:numId w:val="12"/>
        </w:numPr>
        <w:jc w:val="left"/>
        <w:textAlignment w:val="auto"/>
        <w:rPr>
          <w:lang w:eastAsia="de-DE"/>
        </w:rPr>
      </w:pPr>
      <w:r>
        <w:rPr>
          <w:lang w:eastAsia="de-DE"/>
        </w:rPr>
        <w:t>Disable LIC for the blocks with less than 64 luma samples.</w:t>
      </w:r>
    </w:p>
    <w:p w14:paraId="0DDBDAE0" w14:textId="77777777" w:rsidR="003C6834" w:rsidRDefault="003C6834" w:rsidP="003C6834">
      <w:pPr>
        <w:numPr>
          <w:ilvl w:val="0"/>
          <w:numId w:val="12"/>
        </w:numPr>
        <w:jc w:val="left"/>
        <w:textAlignment w:val="auto"/>
        <w:rPr>
          <w:lang w:eastAsia="de-DE"/>
        </w:rPr>
      </w:pPr>
      <w:r>
        <w:rPr>
          <w:lang w:eastAsia="de-DE"/>
        </w:rPr>
        <w:t>No temporal inheritance of LIC flag</w:t>
      </w:r>
    </w:p>
    <w:p w14:paraId="46687979" w14:textId="77777777" w:rsidR="003C6834" w:rsidRDefault="003C6834" w:rsidP="003C6834">
      <w:pPr>
        <w:numPr>
          <w:ilvl w:val="0"/>
          <w:numId w:val="12"/>
        </w:numPr>
        <w:jc w:val="left"/>
        <w:textAlignment w:val="auto"/>
        <w:rPr>
          <w:lang w:eastAsia="de-DE"/>
        </w:rPr>
      </w:pPr>
      <w:r>
        <w:rPr>
          <w:lang w:eastAsia="de-DE"/>
        </w:rPr>
        <w:t>No pruning based on LIC flag in merging candidate list generation</w:t>
      </w:r>
    </w:p>
    <w:p w14:paraId="742ED4F4" w14:textId="485674C6" w:rsidR="003C6834" w:rsidRDefault="003C6834" w:rsidP="003C6834">
      <w:pPr>
        <w:numPr>
          <w:ilvl w:val="0"/>
          <w:numId w:val="12"/>
        </w:numPr>
        <w:jc w:val="left"/>
        <w:textAlignment w:val="auto"/>
        <w:rPr>
          <w:lang w:eastAsia="de-DE"/>
        </w:rPr>
      </w:pPr>
      <w:r>
        <w:rPr>
          <w:lang w:eastAsia="de-DE"/>
        </w:rPr>
        <w:lastRenderedPageBreak/>
        <w:t>It is not applied to bi-prediction</w:t>
      </w:r>
    </w:p>
    <w:p w14:paraId="37CAADE4" w14:textId="5421E292" w:rsidR="003C6834" w:rsidRDefault="003C6834" w:rsidP="003C6834">
      <w:pPr>
        <w:numPr>
          <w:ilvl w:val="0"/>
          <w:numId w:val="12"/>
        </w:numPr>
        <w:jc w:val="left"/>
        <w:textAlignment w:val="auto"/>
        <w:rPr>
          <w:lang w:eastAsia="de-DE"/>
        </w:rPr>
      </w:pPr>
      <w:r>
        <w:rPr>
          <w:lang w:eastAsia="de-DE"/>
        </w:rPr>
        <w:t xml:space="preserve">LIC is applied on 16x16 processing units, where LIC parameters are estimated for the first top left 16x16 unit and are used for other units within the </w:t>
      </w:r>
      <w:r w:rsidR="00F2779C">
        <w:rPr>
          <w:lang w:eastAsia="de-DE"/>
        </w:rPr>
        <w:t>coding unit (</w:t>
      </w:r>
      <w:r>
        <w:rPr>
          <w:lang w:eastAsia="de-DE"/>
        </w:rPr>
        <w:t>CU</w:t>
      </w:r>
      <w:r w:rsidR="00F2779C">
        <w:rPr>
          <w:lang w:eastAsia="de-DE"/>
        </w:rPr>
        <w:t>)</w:t>
      </w:r>
      <w:r>
        <w:rPr>
          <w:lang w:eastAsia="de-DE"/>
        </w:rPr>
        <w:t xml:space="preserve"> as shown on the </w:t>
      </w:r>
      <w:r w:rsidR="00CD145A">
        <w:rPr>
          <w:lang w:eastAsia="de-DE"/>
        </w:rPr>
        <w:t>F</w:t>
      </w:r>
      <w:r>
        <w:rPr>
          <w:lang w:eastAsia="de-DE"/>
        </w:rPr>
        <w:t>igure</w:t>
      </w:r>
      <w:r w:rsidR="00CD145A">
        <w:rPr>
          <w:lang w:eastAsia="de-DE"/>
        </w:rPr>
        <w:t xml:space="preserve"> 1</w:t>
      </w:r>
      <w:r>
        <w:rPr>
          <w:lang w:eastAsia="de-DE"/>
        </w:rPr>
        <w:t>.</w:t>
      </w:r>
    </w:p>
    <w:p w14:paraId="7D14AAF8" w14:textId="3FFC40CE" w:rsidR="00CD145A" w:rsidRDefault="00CD145A" w:rsidP="003C6834">
      <w:pPr>
        <w:numPr>
          <w:ilvl w:val="0"/>
          <w:numId w:val="12"/>
        </w:numPr>
        <w:jc w:val="left"/>
        <w:textAlignment w:val="auto"/>
        <w:rPr>
          <w:lang w:eastAsia="de-DE"/>
        </w:rPr>
      </w:pPr>
      <w:r>
        <w:rPr>
          <w:lang w:eastAsia="de-DE"/>
        </w:rPr>
        <w:t>LIC is applied to sub-block mode, where LIC parameters are derived based on the samples derived on a sub-block basis as depicted on the Figure 2, but it is limited to the first top-left 16x16 processing unit.</w:t>
      </w:r>
    </w:p>
    <w:p w14:paraId="5BB567C0" w14:textId="53D5420D" w:rsidR="003C6834" w:rsidRDefault="003C6834" w:rsidP="009234A5">
      <w:pPr>
        <w:rPr>
          <w:szCs w:val="22"/>
        </w:rPr>
      </w:pPr>
    </w:p>
    <w:p w14:paraId="6B0B1F5D" w14:textId="3E2ED06F" w:rsidR="003C6834" w:rsidRDefault="003C6834" w:rsidP="003C6834">
      <w:pPr>
        <w:pStyle w:val="ListParagraph"/>
        <w:tabs>
          <w:tab w:val="left" w:pos="360"/>
          <w:tab w:val="left" w:pos="720"/>
          <w:tab w:val="left" w:pos="1080"/>
          <w:tab w:val="left" w:pos="1440"/>
        </w:tabs>
        <w:overflowPunct w:val="0"/>
        <w:autoSpaceDE w:val="0"/>
        <w:autoSpaceDN w:val="0"/>
        <w:adjustRightInd w:val="0"/>
        <w:spacing w:before="136" w:after="0" w:line="240" w:lineRule="auto"/>
        <w:ind w:left="0"/>
        <w:contextualSpacing w:val="0"/>
        <w:jc w:val="center"/>
        <w:textAlignment w:val="baseline"/>
        <w:rPr>
          <w:rFonts w:ascii="Times New Roman" w:eastAsia="Yu Mincho" w:hAnsi="Times New Roman" w:cs="Times New Roman"/>
          <w:lang w:val="en-CA" w:eastAsia="ja-JP"/>
        </w:rPr>
      </w:pPr>
      <w:r>
        <w:rPr>
          <w:rFonts w:ascii="Times New Roman" w:eastAsia="Yu Mincho" w:hAnsi="Times New Roman" w:cs="Times New Roman"/>
          <w:noProof/>
          <w:lang w:eastAsia="zh-TW"/>
        </w:rPr>
        <w:drawing>
          <wp:inline distT="0" distB="0" distL="0" distR="0" wp14:anchorId="6B414177" wp14:editId="1EEB2673">
            <wp:extent cx="3341370" cy="191198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41370" cy="1911985"/>
                    </a:xfrm>
                    <a:prstGeom prst="rect">
                      <a:avLst/>
                    </a:prstGeom>
                    <a:noFill/>
                    <a:ln>
                      <a:noFill/>
                    </a:ln>
                  </pic:spPr>
                </pic:pic>
              </a:graphicData>
            </a:graphic>
          </wp:inline>
        </w:drawing>
      </w:r>
    </w:p>
    <w:p w14:paraId="24BF15FE" w14:textId="0A091CE5" w:rsidR="003C6834" w:rsidRDefault="003C6834" w:rsidP="003C6834">
      <w:pPr>
        <w:spacing w:before="120"/>
        <w:jc w:val="center"/>
        <w:rPr>
          <w:b/>
          <w:sz w:val="20"/>
          <w:szCs w:val="18"/>
          <w:lang w:val="en-CA"/>
        </w:rPr>
      </w:pPr>
      <w:r w:rsidRPr="00CD145A">
        <w:rPr>
          <w:b/>
          <w:sz w:val="20"/>
          <w:szCs w:val="18"/>
          <w:lang w:val="en-CA"/>
        </w:rPr>
        <w:t>Figure1</w:t>
      </w:r>
      <w:r w:rsidR="00CD145A">
        <w:rPr>
          <w:b/>
          <w:sz w:val="20"/>
          <w:szCs w:val="18"/>
          <w:lang w:val="en-CA"/>
        </w:rPr>
        <w:t>.</w:t>
      </w:r>
      <w:r w:rsidRPr="00CD145A">
        <w:rPr>
          <w:b/>
          <w:sz w:val="20"/>
          <w:szCs w:val="18"/>
          <w:lang w:val="en-CA"/>
        </w:rPr>
        <w:t xml:space="preserve"> LIC with 16x16 processing units.</w:t>
      </w:r>
    </w:p>
    <w:p w14:paraId="2FDDEB31" w14:textId="77777777" w:rsidR="003D4C4A" w:rsidRPr="00CD145A" w:rsidRDefault="003D4C4A" w:rsidP="003C6834">
      <w:pPr>
        <w:spacing w:before="120"/>
        <w:jc w:val="center"/>
        <w:rPr>
          <w:b/>
          <w:sz w:val="20"/>
          <w:szCs w:val="18"/>
          <w:lang w:val="en-CA"/>
        </w:rPr>
      </w:pPr>
    </w:p>
    <w:p w14:paraId="4868E4D9" w14:textId="77777777" w:rsidR="00CD145A" w:rsidRDefault="00CD145A" w:rsidP="00CD145A">
      <w:pPr>
        <w:jc w:val="center"/>
        <w:rPr>
          <w:rFonts w:eastAsia="DengXian"/>
          <w:lang w:val="en-CA" w:eastAsia="zh-CN"/>
        </w:rPr>
      </w:pPr>
      <w:r>
        <w:object w:dxaOrig="9316" w:dyaOrig="3916" w14:anchorId="50437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5pt;height:144.85pt" o:ole="">
            <v:imagedata r:id="rId12" o:title=""/>
          </v:shape>
          <o:OLEObject Type="Embed" ProgID="Visio.Drawing.15" ShapeID="_x0000_i1025" DrawAspect="Content" ObjectID="_1622275132" r:id="rId13"/>
        </w:object>
      </w:r>
    </w:p>
    <w:p w14:paraId="7B202CC0" w14:textId="15D78B3E" w:rsidR="00CD145A" w:rsidRPr="00CD145A" w:rsidRDefault="00CD145A" w:rsidP="00CD145A">
      <w:pPr>
        <w:spacing w:before="120"/>
        <w:jc w:val="center"/>
        <w:rPr>
          <w:b/>
          <w:sz w:val="20"/>
          <w:szCs w:val="18"/>
          <w:lang w:val="en-CA"/>
        </w:rPr>
      </w:pPr>
      <w:bookmarkStart w:id="1" w:name="_Ref3283376"/>
      <w:r w:rsidRPr="00CD145A">
        <w:rPr>
          <w:b/>
          <w:sz w:val="20"/>
          <w:szCs w:val="18"/>
          <w:lang w:val="en-CA"/>
        </w:rPr>
        <w:t xml:space="preserve">Figure </w:t>
      </w:r>
      <w:bookmarkEnd w:id="1"/>
      <w:r>
        <w:rPr>
          <w:b/>
          <w:sz w:val="20"/>
          <w:szCs w:val="18"/>
          <w:lang w:val="en-CA"/>
        </w:rPr>
        <w:t>2.</w:t>
      </w:r>
      <w:r w:rsidRPr="00CD145A">
        <w:rPr>
          <w:b/>
          <w:sz w:val="20"/>
          <w:szCs w:val="18"/>
          <w:lang w:val="en-CA"/>
        </w:rPr>
        <w:t xml:space="preserve"> Reference samples </w:t>
      </w:r>
      <w:r>
        <w:rPr>
          <w:b/>
          <w:sz w:val="20"/>
          <w:szCs w:val="18"/>
          <w:lang w:val="en-CA"/>
        </w:rPr>
        <w:t>in sub-block mode.</w:t>
      </w:r>
    </w:p>
    <w:p w14:paraId="250F1FCB" w14:textId="21F95A9D" w:rsidR="00CD145A" w:rsidRDefault="00CD145A" w:rsidP="003C6834">
      <w:pPr>
        <w:spacing w:before="120"/>
        <w:jc w:val="center"/>
        <w:rPr>
          <w:b/>
          <w:lang w:val="en-CA"/>
        </w:rPr>
      </w:pPr>
    </w:p>
    <w:p w14:paraId="62E3A827" w14:textId="6C847DED" w:rsidR="00735923" w:rsidRDefault="00735923" w:rsidP="00735923">
      <w:pPr>
        <w:rPr>
          <w:szCs w:val="22"/>
          <w:lang w:val="en-CA"/>
        </w:rPr>
      </w:pPr>
      <w:r>
        <w:rPr>
          <w:szCs w:val="22"/>
          <w:lang w:val="en-CA"/>
        </w:rPr>
        <w:t xml:space="preserve">LIC flag is included as a part of motion information in addition to </w:t>
      </w:r>
      <w:r w:rsidR="00F2779C">
        <w:rPr>
          <w:szCs w:val="22"/>
          <w:lang w:val="en-CA"/>
        </w:rPr>
        <w:t>motion vectors (</w:t>
      </w:r>
      <w:r>
        <w:rPr>
          <w:szCs w:val="22"/>
          <w:lang w:val="en-CA"/>
        </w:rPr>
        <w:t>MVs</w:t>
      </w:r>
      <w:r w:rsidR="00F2779C">
        <w:rPr>
          <w:szCs w:val="22"/>
          <w:lang w:val="en-CA"/>
        </w:rPr>
        <w:t>)</w:t>
      </w:r>
      <w:r>
        <w:rPr>
          <w:szCs w:val="22"/>
          <w:lang w:val="en-CA"/>
        </w:rPr>
        <w:t xml:space="preserve"> and reference indices. When merge candidate list is constructed, LIC flag is inherited from the neighbor blocks for merge candidates, but LIC flag is not used for motion vector pruning for simplification purpose.</w:t>
      </w:r>
    </w:p>
    <w:p w14:paraId="52B6D0A2" w14:textId="7D29D158" w:rsidR="00735923" w:rsidRDefault="00735923" w:rsidP="00735923">
      <w:pPr>
        <w:rPr>
          <w:szCs w:val="22"/>
          <w:lang w:val="en-CA"/>
        </w:rPr>
      </w:pPr>
      <w:r>
        <w:rPr>
          <w:szCs w:val="22"/>
          <w:lang w:val="en-CA"/>
        </w:rPr>
        <w:t xml:space="preserve">LIC flag is not stored in the motion vector buffer of </w:t>
      </w:r>
      <w:r w:rsidR="00445332">
        <w:rPr>
          <w:szCs w:val="22"/>
          <w:lang w:val="en-CA"/>
        </w:rPr>
        <w:t xml:space="preserve">a </w:t>
      </w:r>
      <w:r>
        <w:rPr>
          <w:szCs w:val="22"/>
          <w:lang w:val="en-CA"/>
        </w:rPr>
        <w:t xml:space="preserve">reference picture, so LIC flag is always set to false for </w:t>
      </w:r>
      <w:r w:rsidR="00F2779C">
        <w:rPr>
          <w:szCs w:val="22"/>
          <w:lang w:val="en-CA"/>
        </w:rPr>
        <w:t>temporal motion vector predictor (</w:t>
      </w:r>
      <w:r>
        <w:rPr>
          <w:szCs w:val="22"/>
          <w:lang w:val="en-CA"/>
        </w:rPr>
        <w:t>TMVP</w:t>
      </w:r>
      <w:r w:rsidR="00F2779C">
        <w:rPr>
          <w:szCs w:val="22"/>
          <w:lang w:val="en-CA"/>
        </w:rPr>
        <w:t>)</w:t>
      </w:r>
      <w:r>
        <w:rPr>
          <w:szCs w:val="22"/>
          <w:lang w:val="en-CA"/>
        </w:rPr>
        <w:t>. LIC flag is also set to false for bi-directional merge candidates, such as pair-wise average candidate, and zero motion candidates.</w:t>
      </w:r>
    </w:p>
    <w:p w14:paraId="4A6EC957" w14:textId="77777777" w:rsidR="00735923" w:rsidRDefault="00735923" w:rsidP="00735923">
      <w:pPr>
        <w:rPr>
          <w:szCs w:val="22"/>
          <w:lang w:val="en-CA"/>
        </w:rPr>
      </w:pPr>
      <w:r>
        <w:rPr>
          <w:szCs w:val="22"/>
          <w:lang w:val="en-CA"/>
        </w:rPr>
        <w:t>LIC flag is context coded with a single context, when LIC tool is not applicable, LIC flag is not signaled.</w:t>
      </w:r>
    </w:p>
    <w:p w14:paraId="172EFD6D" w14:textId="77777777" w:rsidR="00735923" w:rsidRDefault="00735923" w:rsidP="00735923">
      <w:pPr>
        <w:rPr>
          <w:lang w:val="en-CA"/>
        </w:rPr>
      </w:pPr>
      <w:r>
        <w:rPr>
          <w:lang w:val="en-CA"/>
        </w:rPr>
        <w:t>When in-loop luma reshaping is used, the inverse reshaping is applied to the neighbor samples of the current CU prior to LIC parameter derivation, since the current CU neighbors are in the reshaped domain, but the reference picture samples are in the original (non-reshaped) domain.</w:t>
      </w:r>
    </w:p>
    <w:p w14:paraId="00BD0AE1" w14:textId="53677029" w:rsidR="00735923" w:rsidRDefault="00735923" w:rsidP="00735923">
      <w:pPr>
        <w:rPr>
          <w:lang w:val="en-CA"/>
        </w:rPr>
      </w:pPr>
      <w:r>
        <w:rPr>
          <w:lang w:val="en-CA"/>
        </w:rPr>
        <w:t>To derive LIC linear model parameters, linear least square method is utilized, it requires the following operations per CU:</w:t>
      </w:r>
    </w:p>
    <w:p w14:paraId="6F5709C4" w14:textId="77777777" w:rsidR="00735923" w:rsidRPr="009143A6" w:rsidRDefault="00735923" w:rsidP="00735923">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9143A6">
        <w:rPr>
          <w:rFonts w:ascii="Times New Roman" w:hAnsi="Times New Roman" w:cs="Times New Roman"/>
          <w:lang w:val="en-CA"/>
        </w:rPr>
        <w:t>Multiplications: 2 * min(width, height) + 4</w:t>
      </w:r>
    </w:p>
    <w:p w14:paraId="791E8E99" w14:textId="77777777" w:rsidR="00735923" w:rsidRPr="009143A6" w:rsidRDefault="00735923" w:rsidP="00735923">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9143A6">
        <w:rPr>
          <w:rFonts w:ascii="Times New Roman" w:hAnsi="Times New Roman" w:cs="Times New Roman"/>
          <w:lang w:val="en-CA"/>
        </w:rPr>
        <w:lastRenderedPageBreak/>
        <w:t>Additions: 4 * min(width, height) + 4</w:t>
      </w:r>
    </w:p>
    <w:p w14:paraId="24518CA1" w14:textId="77777777" w:rsidR="00735923" w:rsidRPr="009143A6" w:rsidRDefault="00735923" w:rsidP="00735923">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sidRPr="009143A6">
        <w:rPr>
          <w:rFonts w:ascii="Times New Roman" w:hAnsi="Times New Roman" w:cs="Times New Roman"/>
          <w:lang w:val="en-CA"/>
        </w:rPr>
        <w:t>Shifts: 12</w:t>
      </w:r>
    </w:p>
    <w:p w14:paraId="678CB881" w14:textId="77777777" w:rsidR="00735923" w:rsidRDefault="00735923" w:rsidP="00735923">
      <w:pPr>
        <w:rPr>
          <w:lang w:val="en-CA"/>
        </w:rPr>
      </w:pPr>
      <w:r>
        <w:rPr>
          <w:lang w:val="en-CA"/>
        </w:rPr>
        <w:t>To apply linear model 1 multiplication and 1 addition are used per sample, which can be done at the reconstruction stage when prediction is added to the residual.</w:t>
      </w:r>
    </w:p>
    <w:p w14:paraId="770ED817" w14:textId="7292799A" w:rsidR="00735923" w:rsidRPr="00735923" w:rsidRDefault="00735923" w:rsidP="00D0495C">
      <w:pPr>
        <w:spacing w:before="120"/>
        <w:jc w:val="left"/>
        <w:rPr>
          <w:bCs/>
          <w:lang w:val="en-CA"/>
        </w:rPr>
      </w:pPr>
      <w:r w:rsidRPr="00735923">
        <w:rPr>
          <w:bCs/>
          <w:lang w:val="en-CA"/>
        </w:rPr>
        <w:t xml:space="preserve">In </w:t>
      </w:r>
      <w:r>
        <w:rPr>
          <w:bCs/>
          <w:lang w:val="en-CA"/>
        </w:rPr>
        <w:t xml:space="preserve">the </w:t>
      </w:r>
      <w:r w:rsidRPr="00735923">
        <w:rPr>
          <w:bCs/>
          <w:lang w:val="en-CA"/>
        </w:rPr>
        <w:t>worst case</w:t>
      </w:r>
      <w:r>
        <w:rPr>
          <w:bCs/>
          <w:lang w:val="en-CA"/>
        </w:rPr>
        <w:t>, such as 8x8 block, it requires 1.3 multiplications and 1.6 additions per sample in a block. LIC has smaller complexity comparing to other tools already existed in VVC.</w:t>
      </w:r>
    </w:p>
    <w:p w14:paraId="7EF57AB3" w14:textId="77777777" w:rsidR="00D40DA7" w:rsidRDefault="00D40DA7" w:rsidP="009143A6">
      <w:pPr>
        <w:spacing w:before="120"/>
        <w:jc w:val="left"/>
        <w:rPr>
          <w:bCs/>
          <w:highlight w:val="yellow"/>
          <w:lang w:val="en-CA"/>
        </w:rPr>
      </w:pPr>
    </w:p>
    <w:p w14:paraId="607C9A4C" w14:textId="48511C32" w:rsidR="00D40DA7" w:rsidRDefault="00D40DA7" w:rsidP="009143A6">
      <w:pPr>
        <w:spacing w:before="120"/>
        <w:jc w:val="left"/>
        <w:rPr>
          <w:lang w:eastAsia="zh-TW"/>
        </w:rPr>
      </w:pPr>
      <w:r>
        <w:rPr>
          <w:lang w:eastAsia="zh-TW"/>
        </w:rPr>
        <w:t xml:space="preserve">In CE4-3.1b, to further reduce encoding time, following </w:t>
      </w:r>
      <w:r w:rsidR="00496169">
        <w:rPr>
          <w:lang w:eastAsia="zh-TW"/>
        </w:rPr>
        <w:t>two</w:t>
      </w:r>
      <w:r>
        <w:rPr>
          <w:lang w:eastAsia="zh-TW"/>
        </w:rPr>
        <w:t xml:space="preserve"> encoder-only changes are applied:</w:t>
      </w:r>
    </w:p>
    <w:p w14:paraId="27385092" w14:textId="6B7DEE9A" w:rsidR="00D40DA7" w:rsidRPr="009143A6" w:rsidRDefault="00D40DA7" w:rsidP="00D40DA7">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rPr>
          <w:rFonts w:ascii="Times New Roman" w:hAnsi="Times New Roman" w:cs="Times New Roman"/>
          <w:lang w:eastAsia="zh-TW"/>
        </w:rPr>
      </w:pPr>
      <w:r w:rsidRPr="009143A6">
        <w:rPr>
          <w:rFonts w:ascii="Times New Roman" w:hAnsi="Times New Roman" w:cs="Times New Roman"/>
          <w:lang w:eastAsia="zh-TW"/>
        </w:rPr>
        <w:t>The motion search results of LIC-off is reused to test LIC-on as proposed in JVET-M0182.</w:t>
      </w:r>
    </w:p>
    <w:p w14:paraId="3677A74A" w14:textId="04A32926" w:rsidR="00D40DA7" w:rsidRPr="009143A6" w:rsidRDefault="00D40DA7" w:rsidP="00D40DA7">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rPr>
          <w:rFonts w:ascii="Times New Roman" w:hAnsi="Times New Roman" w:cs="Times New Roman"/>
          <w:lang w:eastAsia="zh-TW"/>
        </w:rPr>
      </w:pPr>
      <w:r w:rsidRPr="009143A6">
        <w:rPr>
          <w:rFonts w:ascii="Times New Roman" w:hAnsi="Times New Roman" w:cs="Times New Roman"/>
          <w:lang w:eastAsia="zh-TW"/>
        </w:rPr>
        <w:t xml:space="preserve">If the LIC usage ratio of </w:t>
      </w:r>
      <w:r w:rsidRPr="009143A6">
        <w:rPr>
          <w:rFonts w:ascii="Times New Roman" w:hAnsi="Times New Roman" w:cs="Times New Roman"/>
          <w:szCs w:val="24"/>
        </w:rPr>
        <w:t>neighbouring 4x4 subblocks is larger than or equal to a threshold (</w:t>
      </w:r>
      <m:oMath>
        <m:r>
          <w:rPr>
            <w:rFonts w:ascii="Cambria Math" w:hAnsi="Cambria Math" w:cs="Times New Roman"/>
            <w:szCs w:val="24"/>
          </w:rPr>
          <m:t>TH</m:t>
        </m:r>
      </m:oMath>
      <w:r w:rsidRPr="009143A6">
        <w:rPr>
          <w:rFonts w:ascii="Times New Roman" w:hAnsi="Times New Roman" w:cs="Times New Roman"/>
          <w:szCs w:val="24"/>
        </w:rPr>
        <w:t xml:space="preserve">), then the </w:t>
      </w:r>
      <w:r w:rsidR="00B552C3" w:rsidRPr="009143A6">
        <w:rPr>
          <w:rFonts w:ascii="Times New Roman" w:hAnsi="Times New Roman" w:cs="Times New Roman"/>
          <w:lang w:eastAsia="zh-TW"/>
        </w:rPr>
        <w:t>mean removed sum of absolute differences (</w:t>
      </w:r>
      <w:r w:rsidRPr="009143A6">
        <w:rPr>
          <w:rFonts w:ascii="Times New Roman" w:hAnsi="Times New Roman" w:cs="Times New Roman"/>
          <w:lang w:eastAsia="zh-TW"/>
        </w:rPr>
        <w:t>MR-SAD</w:t>
      </w:r>
      <w:r w:rsidR="00B552C3" w:rsidRPr="008D183C">
        <w:rPr>
          <w:rFonts w:ascii="Times New Roman" w:hAnsi="Times New Roman" w:cs="Times New Roman"/>
          <w:lang w:eastAsia="zh-TW"/>
        </w:rPr>
        <w:t>)</w:t>
      </w:r>
      <w:r w:rsidRPr="009143A6">
        <w:rPr>
          <w:rFonts w:ascii="Times New Roman" w:hAnsi="Times New Roman" w:cs="Times New Roman"/>
          <w:lang w:eastAsia="zh-TW"/>
        </w:rPr>
        <w:t xml:space="preserve"> motion search with LIC-on is further tested. As illustrated in Figure </w:t>
      </w:r>
      <w:r w:rsidR="00496169">
        <w:rPr>
          <w:rFonts w:ascii="Times New Roman" w:hAnsi="Times New Roman" w:cs="Times New Roman"/>
          <w:lang w:eastAsia="zh-TW"/>
        </w:rPr>
        <w:t>3</w:t>
      </w:r>
      <w:r w:rsidRPr="009143A6">
        <w:rPr>
          <w:rFonts w:ascii="Times New Roman" w:hAnsi="Times New Roman" w:cs="Times New Roman"/>
          <w:lang w:eastAsia="zh-TW"/>
        </w:rPr>
        <w:t xml:space="preserve">, assuming the current CU size is </w:t>
      </w:r>
      <m:oMath>
        <m:r>
          <w:rPr>
            <w:rFonts w:ascii="Cambria Math" w:hAnsi="Cambria Math" w:cs="Times New Roman"/>
            <w:lang w:eastAsia="zh-TW"/>
          </w:rPr>
          <m:t>W</m:t>
        </m:r>
        <m:r>
          <m:rPr>
            <m:sty m:val="p"/>
          </m:rPr>
          <w:rPr>
            <w:rFonts w:ascii="Cambria Math" w:hAnsi="Cambria Math" w:cs="Times New Roman"/>
            <w:lang w:eastAsia="zh-TW"/>
          </w:rPr>
          <m:t>×</m:t>
        </m:r>
        <m:r>
          <w:rPr>
            <w:rFonts w:ascii="Cambria Math" w:hAnsi="Cambria Math" w:cs="Times New Roman"/>
            <w:lang w:eastAsia="zh-TW"/>
          </w:rPr>
          <m:t>H</m:t>
        </m:r>
      </m:oMath>
      <w:r w:rsidRPr="009143A6">
        <w:rPr>
          <w:rFonts w:ascii="Times New Roman" w:hAnsi="Times New Roman" w:cs="Times New Roman"/>
          <w:lang w:eastAsia="zh-TW"/>
        </w:rPr>
        <w:t xml:space="preserve">, the number of neighbouring 4x4 subblocks inside the region marked in red is </w:t>
      </w:r>
      <w:r w:rsidRPr="009143A6">
        <w:rPr>
          <w:rFonts w:ascii="Times New Roman" w:hAnsi="Times New Roman" w:cs="Times New Roman"/>
          <w:i/>
          <w:lang w:eastAsia="zh-TW"/>
        </w:rPr>
        <w:t>n</w:t>
      </w:r>
      <w:r w:rsidRPr="009143A6">
        <w:rPr>
          <w:rFonts w:ascii="Times New Roman" w:hAnsi="Times New Roman" w:cs="Times New Roman"/>
          <w:lang w:eastAsia="zh-TW"/>
        </w:rPr>
        <w:t xml:space="preserve">, and LIC is applied to </w:t>
      </w:r>
      <w:r w:rsidRPr="009143A6">
        <w:rPr>
          <w:rFonts w:ascii="Times New Roman" w:hAnsi="Times New Roman" w:cs="Times New Roman"/>
          <w:i/>
          <w:lang w:eastAsia="zh-TW"/>
        </w:rPr>
        <w:t>m</w:t>
      </w:r>
      <w:r w:rsidRPr="009143A6">
        <w:rPr>
          <w:rFonts w:ascii="Times New Roman" w:hAnsi="Times New Roman" w:cs="Times New Roman"/>
          <w:lang w:eastAsia="zh-TW"/>
        </w:rPr>
        <w:t xml:space="preserve"> out of </w:t>
      </w:r>
      <w:r w:rsidRPr="009143A6">
        <w:rPr>
          <w:rFonts w:ascii="Times New Roman" w:hAnsi="Times New Roman" w:cs="Times New Roman"/>
          <w:i/>
          <w:lang w:eastAsia="zh-TW"/>
        </w:rPr>
        <w:t>n</w:t>
      </w:r>
      <w:r w:rsidRPr="009143A6">
        <w:rPr>
          <w:rFonts w:ascii="Times New Roman" w:hAnsi="Times New Roman" w:cs="Times New Roman"/>
          <w:lang w:eastAsia="zh-TW"/>
        </w:rPr>
        <w:t xml:space="preserve"> subblocks. If </w:t>
      </w:r>
      <m:oMath>
        <m:f>
          <m:fPr>
            <m:type m:val="lin"/>
            <m:ctrlPr>
              <w:rPr>
                <w:rFonts w:ascii="Cambria Math" w:eastAsiaTheme="minorEastAsia" w:hAnsi="Cambria Math" w:cs="Times New Roman"/>
              </w:rPr>
            </m:ctrlPr>
          </m:fPr>
          <m:num>
            <m:r>
              <w:rPr>
                <w:rFonts w:ascii="Cambria Math" w:hAnsi="Cambria Math" w:cs="Times New Roman"/>
                <w:lang w:eastAsia="zh-TW"/>
              </w:rPr>
              <m:t>m</m:t>
            </m:r>
          </m:num>
          <m:den>
            <m:r>
              <w:rPr>
                <w:rFonts w:ascii="Cambria Math" w:hAnsi="Cambria Math" w:cs="Times New Roman"/>
                <w:lang w:eastAsia="zh-TW"/>
              </w:rPr>
              <m:t>n</m:t>
            </m:r>
          </m:den>
        </m:f>
        <m:r>
          <w:rPr>
            <w:rFonts w:ascii="Cambria Math" w:hAnsi="Cambria Math" w:cs="Times New Roman"/>
            <w:lang w:eastAsia="zh-TW"/>
          </w:rPr>
          <m:t>≥TH</m:t>
        </m:r>
      </m:oMath>
      <w:r w:rsidRPr="009143A6">
        <w:rPr>
          <w:rFonts w:ascii="Times New Roman" w:hAnsi="Times New Roman" w:cs="Times New Roman"/>
          <w:lang w:eastAsia="zh-TW"/>
        </w:rPr>
        <w:t xml:space="preserve">, then MR-SAD motion search with LIC-on is further tested. </w:t>
      </w:r>
      <m:oMath>
        <m:r>
          <w:rPr>
            <w:rFonts w:ascii="Cambria Math" w:hAnsi="Cambria Math" w:cs="Times New Roman"/>
            <w:szCs w:val="24"/>
          </w:rPr>
          <m:t>TH</m:t>
        </m:r>
      </m:oMath>
      <w:r w:rsidRPr="009143A6">
        <w:rPr>
          <w:rFonts w:ascii="Times New Roman" w:hAnsi="Times New Roman" w:cs="Times New Roman"/>
          <w:lang w:eastAsia="zh-TW"/>
        </w:rPr>
        <w:t xml:space="preserve"> is set to 0.10.</w:t>
      </w:r>
    </w:p>
    <w:p w14:paraId="21DE29AF" w14:textId="77777777" w:rsidR="00D40DA7" w:rsidRDefault="00D40DA7" w:rsidP="00D40DA7">
      <w:pPr>
        <w:rPr>
          <w:lang w:eastAsia="zh-TW"/>
        </w:rPr>
      </w:pPr>
    </w:p>
    <w:p w14:paraId="62F1DB1D" w14:textId="00494E5B" w:rsidR="00D40DA7" w:rsidRDefault="00D40DA7" w:rsidP="00D40DA7">
      <w:pPr>
        <w:jc w:val="center"/>
        <w:rPr>
          <w:lang w:eastAsia="zh-TW"/>
        </w:rPr>
      </w:pPr>
      <w:r>
        <w:rPr>
          <w:noProof/>
          <w:lang w:eastAsia="zh-TW"/>
        </w:rPr>
        <w:drawing>
          <wp:inline distT="0" distB="0" distL="0" distR="0" wp14:anchorId="3232C356" wp14:editId="34356AA7">
            <wp:extent cx="2894330" cy="1717675"/>
            <wp:effectExtent l="0" t="0" r="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4330" cy="1717675"/>
                    </a:xfrm>
                    <a:prstGeom prst="rect">
                      <a:avLst/>
                    </a:prstGeom>
                    <a:noFill/>
                    <a:ln>
                      <a:noFill/>
                    </a:ln>
                  </pic:spPr>
                </pic:pic>
              </a:graphicData>
            </a:graphic>
          </wp:inline>
        </w:drawing>
      </w:r>
    </w:p>
    <w:p w14:paraId="736FDEBE" w14:textId="705C78C5" w:rsidR="00D40DA7" w:rsidRPr="009143A6" w:rsidRDefault="00D40DA7" w:rsidP="009143A6">
      <w:pPr>
        <w:spacing w:before="120"/>
        <w:rPr>
          <w:b/>
          <w:sz w:val="20"/>
          <w:szCs w:val="18"/>
          <w:lang w:val="en-CA"/>
        </w:rPr>
      </w:pPr>
      <w:r w:rsidRPr="009143A6">
        <w:rPr>
          <w:b/>
          <w:sz w:val="20"/>
          <w:szCs w:val="18"/>
          <w:lang w:val="en-CA"/>
        </w:rPr>
        <w:t xml:space="preserve">Figure </w:t>
      </w:r>
      <w:r w:rsidR="00496169">
        <w:rPr>
          <w:b/>
          <w:sz w:val="20"/>
          <w:szCs w:val="18"/>
          <w:lang w:val="en-CA"/>
        </w:rPr>
        <w:t>3</w:t>
      </w:r>
      <w:r w:rsidRPr="009143A6">
        <w:rPr>
          <w:b/>
          <w:sz w:val="20"/>
          <w:szCs w:val="18"/>
          <w:lang w:val="en-CA"/>
        </w:rPr>
        <w:t>. Calculate the LIC usage ratio of neighbouring 4x4 subblocks to conditionally test MR-SAD motion search with LIC-on. The current CU is marked in blue. The searched neighbouring 4x4 subblocks are marked in red.</w:t>
      </w:r>
    </w:p>
    <w:p w14:paraId="757F40D1" w14:textId="77777777" w:rsidR="00D40DA7" w:rsidRDefault="00D40DA7" w:rsidP="00D0495C">
      <w:pPr>
        <w:spacing w:before="120"/>
        <w:jc w:val="left"/>
        <w:rPr>
          <w:bCs/>
          <w:lang w:val="en-CA"/>
        </w:rPr>
      </w:pPr>
    </w:p>
    <w:p w14:paraId="6079D0E0" w14:textId="77777777" w:rsidR="00CD145A" w:rsidRDefault="00CD145A" w:rsidP="00CD145A">
      <w:pPr>
        <w:pStyle w:val="Heading1"/>
        <w:ind w:left="360" w:hanging="360"/>
        <w:rPr>
          <w:lang w:val="en-CA"/>
        </w:rPr>
      </w:pPr>
      <w:r>
        <w:rPr>
          <w:lang w:val="en-CA"/>
        </w:rPr>
        <w:t>Test results</w:t>
      </w:r>
    </w:p>
    <w:p w14:paraId="428650B2" w14:textId="73801C93" w:rsidR="00CD145A" w:rsidRDefault="00CD145A" w:rsidP="00CD145A">
      <w:pPr>
        <w:rPr>
          <w:lang w:val="en-CA"/>
        </w:rPr>
      </w:pPr>
      <w:r>
        <w:rPr>
          <w:lang w:val="en-CA"/>
        </w:rPr>
        <w:t>The proposed method was implemented on top of VTM</w:t>
      </w:r>
      <w:r w:rsidR="00445332">
        <w:rPr>
          <w:lang w:val="en-CA"/>
        </w:rPr>
        <w:t>-</w:t>
      </w:r>
      <w:r>
        <w:rPr>
          <w:lang w:val="en-CA"/>
        </w:rPr>
        <w:t>5.0 software</w:t>
      </w:r>
      <w:r w:rsidR="003D4C4A">
        <w:rPr>
          <w:lang w:val="en-CA"/>
        </w:rPr>
        <w:t xml:space="preserve"> [6]</w:t>
      </w:r>
      <w:r>
        <w:rPr>
          <w:lang w:val="en-CA"/>
        </w:rPr>
        <w:t>.</w:t>
      </w:r>
      <w:r w:rsidR="00496169">
        <w:rPr>
          <w:lang w:val="en-CA"/>
        </w:rPr>
        <w:t xml:space="preserve"> Table 1 shows the results of CE4-3.1a, and Table 2 shows the results of CE4-3.1b. The simulations were performed following the JVET common test conditions (CTC)</w:t>
      </w:r>
      <w:r w:rsidR="003D4C4A">
        <w:rPr>
          <w:lang w:val="en-CA"/>
        </w:rPr>
        <w:t xml:space="preserve"> [7]</w:t>
      </w:r>
      <w:r w:rsidR="00496169">
        <w:rPr>
          <w:lang w:val="en-CA"/>
        </w:rPr>
        <w:t>.</w:t>
      </w:r>
      <w:r w:rsidR="008D183C">
        <w:rPr>
          <w:lang w:val="en-CA"/>
        </w:rPr>
        <w:t xml:space="preserve"> The gain of the LIC method is much higher for the sequences that have </w:t>
      </w:r>
      <w:r w:rsidR="009D2CD3">
        <w:rPr>
          <w:lang w:val="en-CA"/>
        </w:rPr>
        <w:t xml:space="preserve">rich </w:t>
      </w:r>
      <w:r w:rsidR="00790998">
        <w:rPr>
          <w:lang w:val="en-CA"/>
        </w:rPr>
        <w:t>local illumination change, such as FoodMarket, CatRobot, RitualDance.</w:t>
      </w:r>
    </w:p>
    <w:p w14:paraId="78E6B3AD" w14:textId="77777777" w:rsidR="00D55DCF" w:rsidRDefault="00D55DCF" w:rsidP="00CD145A">
      <w:pPr>
        <w:rPr>
          <w:lang w:val="en-CA"/>
        </w:rPr>
      </w:pPr>
    </w:p>
    <w:p w14:paraId="54E90A49" w14:textId="0BABD1DC" w:rsidR="008D183C" w:rsidRDefault="008D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4354312" w14:textId="4ADD2F58" w:rsidR="00496169" w:rsidRPr="00D0495C" w:rsidRDefault="00496169" w:rsidP="00496169">
      <w:pPr>
        <w:spacing w:before="120"/>
        <w:jc w:val="center"/>
        <w:rPr>
          <w:b/>
          <w:sz w:val="20"/>
          <w:szCs w:val="18"/>
          <w:lang w:val="en-CA"/>
        </w:rPr>
      </w:pPr>
      <w:r w:rsidRPr="00D0495C">
        <w:rPr>
          <w:b/>
          <w:sz w:val="20"/>
          <w:szCs w:val="18"/>
          <w:lang w:val="en-CA"/>
        </w:rPr>
        <w:lastRenderedPageBreak/>
        <w:t xml:space="preserve">Table 1. </w:t>
      </w:r>
      <w:r>
        <w:rPr>
          <w:b/>
          <w:sz w:val="20"/>
          <w:szCs w:val="18"/>
          <w:lang w:val="en-CA"/>
        </w:rPr>
        <w:t xml:space="preserve">Results of </w:t>
      </w:r>
      <w:r w:rsidRPr="00D0495C">
        <w:rPr>
          <w:b/>
          <w:sz w:val="20"/>
          <w:szCs w:val="18"/>
          <w:lang w:val="en-CA"/>
        </w:rPr>
        <w:t>CE4-3.1a</w:t>
      </w:r>
    </w:p>
    <w:tbl>
      <w:tblPr>
        <w:tblW w:w="7621" w:type="dxa"/>
        <w:jc w:val="center"/>
        <w:tblLook w:val="04A0" w:firstRow="1" w:lastRow="0" w:firstColumn="1" w:lastColumn="0" w:noHBand="0" w:noVBand="1"/>
      </w:tblPr>
      <w:tblGrid>
        <w:gridCol w:w="1640"/>
        <w:gridCol w:w="1060"/>
        <w:gridCol w:w="1060"/>
        <w:gridCol w:w="1741"/>
        <w:gridCol w:w="1060"/>
        <w:gridCol w:w="1060"/>
      </w:tblGrid>
      <w:tr w:rsidR="008D183C" w:rsidRPr="00D0495C" w14:paraId="7A5A2598" w14:textId="77777777" w:rsidTr="008D183C">
        <w:trPr>
          <w:trHeight w:val="255"/>
          <w:jc w:val="center"/>
        </w:trPr>
        <w:tc>
          <w:tcPr>
            <w:tcW w:w="1640" w:type="dxa"/>
            <w:tcBorders>
              <w:top w:val="nil"/>
              <w:left w:val="nil"/>
              <w:bottom w:val="nil"/>
              <w:right w:val="nil"/>
            </w:tcBorders>
            <w:shd w:val="clear" w:color="auto" w:fill="auto"/>
            <w:noWrap/>
            <w:vAlign w:val="center"/>
            <w:hideMark/>
          </w:tcPr>
          <w:p w14:paraId="04347C07" w14:textId="77777777" w:rsidR="008D183C" w:rsidRPr="00D0495C" w:rsidRDefault="008D183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7C446F" w14:textId="0B19DD83" w:rsidR="008D183C" w:rsidRPr="00D0495C" w:rsidRDefault="008D183C" w:rsidP="009D2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D0495C" w:rsidRPr="00D0495C" w14:paraId="1DD07127" w14:textId="77777777" w:rsidTr="008D183C">
        <w:trPr>
          <w:trHeight w:val="255"/>
          <w:jc w:val="center"/>
        </w:trPr>
        <w:tc>
          <w:tcPr>
            <w:tcW w:w="1640" w:type="dxa"/>
            <w:tcBorders>
              <w:top w:val="nil"/>
              <w:left w:val="nil"/>
              <w:bottom w:val="nil"/>
              <w:right w:val="nil"/>
            </w:tcBorders>
            <w:shd w:val="clear" w:color="auto" w:fill="auto"/>
            <w:noWrap/>
            <w:vAlign w:val="center"/>
            <w:hideMark/>
          </w:tcPr>
          <w:p w14:paraId="6F613F2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0C10D5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29AFC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1F4931B9" w14:textId="7A539AD7" w:rsidR="00D0495C" w:rsidRPr="00D0495C" w:rsidRDefault="00D0495C" w:rsidP="009D2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6054FA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4CE6A4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D0495C" w:rsidRPr="00D0495C" w14:paraId="74A77E32" w14:textId="77777777" w:rsidTr="008D183C">
        <w:trPr>
          <w:trHeight w:val="255"/>
          <w:jc w:val="center"/>
        </w:trPr>
        <w:tc>
          <w:tcPr>
            <w:tcW w:w="1640" w:type="dxa"/>
            <w:tcBorders>
              <w:top w:val="nil"/>
              <w:left w:val="nil"/>
              <w:bottom w:val="nil"/>
              <w:right w:val="nil"/>
            </w:tcBorders>
            <w:shd w:val="clear" w:color="auto" w:fill="auto"/>
            <w:noWrap/>
            <w:vAlign w:val="center"/>
            <w:hideMark/>
          </w:tcPr>
          <w:p w14:paraId="6091979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C71856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A186CF5"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5618BBF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DF0893E"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FCDC911"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D0495C" w:rsidRPr="00D0495C" w14:paraId="5C2BA2EF" w14:textId="77777777" w:rsidTr="008D18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A1290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9AF6B2D"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19AF6655"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-0.55%</w:t>
            </w:r>
          </w:p>
        </w:tc>
        <w:tc>
          <w:tcPr>
            <w:tcW w:w="1741" w:type="dxa"/>
            <w:tcBorders>
              <w:top w:val="nil"/>
              <w:left w:val="nil"/>
              <w:bottom w:val="nil"/>
              <w:right w:val="single" w:sz="4" w:space="0" w:color="auto"/>
            </w:tcBorders>
            <w:shd w:val="clear" w:color="auto" w:fill="auto"/>
            <w:noWrap/>
            <w:vAlign w:val="center"/>
            <w:hideMark/>
          </w:tcPr>
          <w:p w14:paraId="78F57B3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7C84802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122%</w:t>
            </w:r>
          </w:p>
        </w:tc>
        <w:tc>
          <w:tcPr>
            <w:tcW w:w="1060" w:type="dxa"/>
            <w:tcBorders>
              <w:top w:val="nil"/>
              <w:left w:val="nil"/>
              <w:bottom w:val="nil"/>
              <w:right w:val="single" w:sz="8" w:space="0" w:color="auto"/>
            </w:tcBorders>
            <w:shd w:val="clear" w:color="auto" w:fill="auto"/>
            <w:noWrap/>
            <w:vAlign w:val="center"/>
            <w:hideMark/>
          </w:tcPr>
          <w:p w14:paraId="023591E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100%</w:t>
            </w:r>
          </w:p>
        </w:tc>
      </w:tr>
      <w:tr w:rsidR="00D0495C" w:rsidRPr="00D0495C" w14:paraId="1F1EA1E3"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169E5F"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BC64A1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7114912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-0.37%</w:t>
            </w:r>
          </w:p>
        </w:tc>
        <w:tc>
          <w:tcPr>
            <w:tcW w:w="1741" w:type="dxa"/>
            <w:tcBorders>
              <w:top w:val="nil"/>
              <w:left w:val="nil"/>
              <w:bottom w:val="nil"/>
              <w:right w:val="single" w:sz="4" w:space="0" w:color="auto"/>
            </w:tcBorders>
            <w:shd w:val="clear" w:color="auto" w:fill="auto"/>
            <w:noWrap/>
            <w:vAlign w:val="center"/>
            <w:hideMark/>
          </w:tcPr>
          <w:p w14:paraId="3D1114E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535BC17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0219495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101%</w:t>
            </w:r>
          </w:p>
        </w:tc>
      </w:tr>
      <w:tr w:rsidR="00D0495C" w:rsidRPr="00D0495C" w14:paraId="735ED18C"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3545CD"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7C3AD21"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48D594F1"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-0.21%</w:t>
            </w:r>
          </w:p>
        </w:tc>
        <w:tc>
          <w:tcPr>
            <w:tcW w:w="1741" w:type="dxa"/>
            <w:tcBorders>
              <w:top w:val="nil"/>
              <w:left w:val="nil"/>
              <w:bottom w:val="nil"/>
              <w:right w:val="single" w:sz="4" w:space="0" w:color="auto"/>
            </w:tcBorders>
            <w:shd w:val="clear" w:color="auto" w:fill="auto"/>
            <w:noWrap/>
            <w:vAlign w:val="center"/>
            <w:hideMark/>
          </w:tcPr>
          <w:p w14:paraId="44BFC61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0C1FCA8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3AA8A8C1"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99%</w:t>
            </w:r>
          </w:p>
        </w:tc>
      </w:tr>
      <w:tr w:rsidR="00D0495C" w:rsidRPr="00D0495C" w14:paraId="3248BA6F"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99D51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91405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765EAAD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-0.49%</w:t>
            </w:r>
          </w:p>
        </w:tc>
        <w:tc>
          <w:tcPr>
            <w:tcW w:w="1741" w:type="dxa"/>
            <w:tcBorders>
              <w:top w:val="nil"/>
              <w:left w:val="nil"/>
              <w:bottom w:val="nil"/>
              <w:right w:val="single" w:sz="4" w:space="0" w:color="auto"/>
            </w:tcBorders>
            <w:shd w:val="clear" w:color="auto" w:fill="auto"/>
            <w:noWrap/>
            <w:vAlign w:val="center"/>
            <w:hideMark/>
          </w:tcPr>
          <w:p w14:paraId="28CCD465"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54FCFBE2"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117%</w:t>
            </w:r>
          </w:p>
        </w:tc>
        <w:tc>
          <w:tcPr>
            <w:tcW w:w="1060" w:type="dxa"/>
            <w:tcBorders>
              <w:top w:val="nil"/>
              <w:left w:val="nil"/>
              <w:bottom w:val="nil"/>
              <w:right w:val="single" w:sz="8" w:space="0" w:color="auto"/>
            </w:tcBorders>
            <w:shd w:val="clear" w:color="auto" w:fill="auto"/>
            <w:noWrap/>
            <w:vAlign w:val="center"/>
            <w:hideMark/>
          </w:tcPr>
          <w:p w14:paraId="0857FB1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100%</w:t>
            </w:r>
          </w:p>
        </w:tc>
      </w:tr>
      <w:tr w:rsidR="00D0495C" w:rsidRPr="00D0495C" w14:paraId="6A94D19B"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2511B0"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8244CD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3A51EB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0980BF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40F4F5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63327E"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r>
      <w:tr w:rsidR="00D0495C" w:rsidRPr="00D0495C" w14:paraId="35291BD1" w14:textId="77777777" w:rsidTr="008D18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3A0C3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FF44D5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6A47B98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-0.39%</w:t>
            </w:r>
          </w:p>
        </w:tc>
        <w:tc>
          <w:tcPr>
            <w:tcW w:w="1741" w:type="dxa"/>
            <w:tcBorders>
              <w:top w:val="single" w:sz="8" w:space="0" w:color="auto"/>
              <w:left w:val="nil"/>
              <w:bottom w:val="nil"/>
              <w:right w:val="single" w:sz="4" w:space="0" w:color="auto"/>
            </w:tcBorders>
            <w:shd w:val="clear" w:color="auto" w:fill="auto"/>
            <w:noWrap/>
            <w:vAlign w:val="center"/>
            <w:hideMark/>
          </w:tcPr>
          <w:p w14:paraId="5CA54F5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4CE20B55"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116%</w:t>
            </w:r>
          </w:p>
        </w:tc>
        <w:tc>
          <w:tcPr>
            <w:tcW w:w="1060" w:type="dxa"/>
            <w:tcBorders>
              <w:top w:val="single" w:sz="8" w:space="0" w:color="auto"/>
              <w:left w:val="nil"/>
              <w:bottom w:val="nil"/>
              <w:right w:val="single" w:sz="8" w:space="0" w:color="auto"/>
            </w:tcBorders>
            <w:shd w:val="clear" w:color="auto" w:fill="auto"/>
            <w:noWrap/>
            <w:vAlign w:val="center"/>
            <w:hideMark/>
          </w:tcPr>
          <w:p w14:paraId="16D99B5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100%</w:t>
            </w:r>
          </w:p>
        </w:tc>
      </w:tr>
      <w:tr w:rsidR="00D0495C" w:rsidRPr="00D0495C" w14:paraId="5B647FFB" w14:textId="77777777" w:rsidTr="008D18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1CF825"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368676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1753AA9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-0.25%</w:t>
            </w:r>
          </w:p>
        </w:tc>
        <w:tc>
          <w:tcPr>
            <w:tcW w:w="1741" w:type="dxa"/>
            <w:tcBorders>
              <w:top w:val="single" w:sz="8" w:space="0" w:color="auto"/>
              <w:left w:val="nil"/>
              <w:bottom w:val="nil"/>
              <w:right w:val="single" w:sz="4" w:space="0" w:color="auto"/>
            </w:tcBorders>
            <w:shd w:val="clear" w:color="auto" w:fill="auto"/>
            <w:noWrap/>
            <w:vAlign w:val="center"/>
            <w:hideMark/>
          </w:tcPr>
          <w:p w14:paraId="7FC44A5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286472CD"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116%</w:t>
            </w:r>
          </w:p>
        </w:tc>
        <w:tc>
          <w:tcPr>
            <w:tcW w:w="1060" w:type="dxa"/>
            <w:tcBorders>
              <w:top w:val="single" w:sz="8" w:space="0" w:color="auto"/>
              <w:left w:val="nil"/>
              <w:bottom w:val="nil"/>
              <w:right w:val="single" w:sz="8" w:space="0" w:color="auto"/>
            </w:tcBorders>
            <w:shd w:val="clear" w:color="auto" w:fill="auto"/>
            <w:noWrap/>
            <w:vAlign w:val="center"/>
            <w:hideMark/>
          </w:tcPr>
          <w:p w14:paraId="3094E6B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103%</w:t>
            </w:r>
          </w:p>
        </w:tc>
      </w:tr>
      <w:tr w:rsidR="00D0495C" w:rsidRPr="00D0495C" w14:paraId="0C7B40BF" w14:textId="77777777" w:rsidTr="008D183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8E972D"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E4A6EC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-0.67%</w:t>
            </w:r>
          </w:p>
        </w:tc>
        <w:tc>
          <w:tcPr>
            <w:tcW w:w="1060" w:type="dxa"/>
            <w:tcBorders>
              <w:top w:val="nil"/>
              <w:left w:val="nil"/>
              <w:bottom w:val="single" w:sz="8" w:space="0" w:color="auto"/>
              <w:right w:val="nil"/>
            </w:tcBorders>
            <w:shd w:val="clear" w:color="auto" w:fill="auto"/>
            <w:noWrap/>
            <w:vAlign w:val="center"/>
            <w:hideMark/>
          </w:tcPr>
          <w:p w14:paraId="788831BD"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-0.35%</w:t>
            </w:r>
          </w:p>
        </w:tc>
        <w:tc>
          <w:tcPr>
            <w:tcW w:w="1741" w:type="dxa"/>
            <w:tcBorders>
              <w:top w:val="nil"/>
              <w:left w:val="nil"/>
              <w:bottom w:val="single" w:sz="8" w:space="0" w:color="auto"/>
              <w:right w:val="single" w:sz="4" w:space="0" w:color="auto"/>
            </w:tcBorders>
            <w:shd w:val="clear" w:color="auto" w:fill="auto"/>
            <w:noWrap/>
            <w:vAlign w:val="center"/>
            <w:hideMark/>
          </w:tcPr>
          <w:p w14:paraId="1BE9060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-0.46%</w:t>
            </w:r>
          </w:p>
        </w:tc>
        <w:tc>
          <w:tcPr>
            <w:tcW w:w="1060" w:type="dxa"/>
            <w:tcBorders>
              <w:top w:val="nil"/>
              <w:left w:val="nil"/>
              <w:bottom w:val="single" w:sz="8" w:space="0" w:color="auto"/>
              <w:right w:val="nil"/>
            </w:tcBorders>
            <w:shd w:val="clear" w:color="auto" w:fill="auto"/>
            <w:noWrap/>
            <w:vAlign w:val="center"/>
            <w:hideMark/>
          </w:tcPr>
          <w:p w14:paraId="55987FB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110%</w:t>
            </w:r>
          </w:p>
        </w:tc>
        <w:tc>
          <w:tcPr>
            <w:tcW w:w="1060" w:type="dxa"/>
            <w:tcBorders>
              <w:top w:val="nil"/>
              <w:left w:val="nil"/>
              <w:bottom w:val="single" w:sz="8" w:space="0" w:color="auto"/>
              <w:right w:val="single" w:sz="8" w:space="0" w:color="auto"/>
            </w:tcBorders>
            <w:shd w:val="clear" w:color="auto" w:fill="auto"/>
            <w:noWrap/>
            <w:vAlign w:val="center"/>
            <w:hideMark/>
          </w:tcPr>
          <w:p w14:paraId="5668C5D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99%</w:t>
            </w:r>
          </w:p>
        </w:tc>
      </w:tr>
      <w:tr w:rsidR="00D0495C" w:rsidRPr="00D0495C" w14:paraId="78DDA0AE" w14:textId="77777777" w:rsidTr="008D183C">
        <w:trPr>
          <w:trHeight w:val="255"/>
          <w:jc w:val="center"/>
        </w:trPr>
        <w:tc>
          <w:tcPr>
            <w:tcW w:w="1640" w:type="dxa"/>
            <w:tcBorders>
              <w:top w:val="nil"/>
              <w:left w:val="nil"/>
              <w:bottom w:val="nil"/>
              <w:right w:val="nil"/>
            </w:tcBorders>
            <w:shd w:val="clear" w:color="auto" w:fill="auto"/>
            <w:noWrap/>
            <w:vAlign w:val="center"/>
          </w:tcPr>
          <w:p w14:paraId="6F6F9F39" w14:textId="2F45E373" w:rsidR="00D0495C" w:rsidRPr="00D0495C" w:rsidRDefault="00D0495C" w:rsidP="00D0495C">
            <w:pPr>
              <w:rPr>
                <w:rFonts w:ascii="Arial" w:hAnsi="Arial" w:cs="Arial"/>
                <w:sz w:val="18"/>
                <w:szCs w:val="18"/>
              </w:rPr>
            </w:pPr>
          </w:p>
        </w:tc>
        <w:tc>
          <w:tcPr>
            <w:tcW w:w="1060" w:type="dxa"/>
            <w:tcBorders>
              <w:top w:val="nil"/>
              <w:left w:val="nil"/>
              <w:bottom w:val="nil"/>
              <w:right w:val="nil"/>
            </w:tcBorders>
            <w:shd w:val="clear" w:color="auto" w:fill="auto"/>
            <w:noWrap/>
            <w:vAlign w:val="bottom"/>
          </w:tcPr>
          <w:p w14:paraId="283C449F"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tcPr>
          <w:p w14:paraId="2B21456E"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tcPr>
          <w:p w14:paraId="3671533F"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tcPr>
          <w:p w14:paraId="349359E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tcPr>
          <w:p w14:paraId="13ECA75F"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D183C" w:rsidRPr="00D0495C" w14:paraId="03E5D322" w14:textId="77777777" w:rsidTr="008D183C">
        <w:trPr>
          <w:trHeight w:val="255"/>
          <w:jc w:val="center"/>
        </w:trPr>
        <w:tc>
          <w:tcPr>
            <w:tcW w:w="1640" w:type="dxa"/>
            <w:tcBorders>
              <w:top w:val="nil"/>
              <w:left w:val="nil"/>
              <w:bottom w:val="nil"/>
              <w:right w:val="nil"/>
            </w:tcBorders>
            <w:shd w:val="clear" w:color="auto" w:fill="auto"/>
            <w:noWrap/>
            <w:vAlign w:val="center"/>
            <w:hideMark/>
          </w:tcPr>
          <w:p w14:paraId="696A23C0" w14:textId="77777777" w:rsidR="008D183C" w:rsidRPr="00D0495C" w:rsidRDefault="008D183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40756E" w14:textId="18C8EEDF" w:rsidR="008D183C" w:rsidRPr="00D0495C" w:rsidRDefault="008D183C" w:rsidP="009D2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Low delay B Main10</w:t>
            </w:r>
          </w:p>
        </w:tc>
      </w:tr>
      <w:tr w:rsidR="00D0495C" w:rsidRPr="00D0495C" w14:paraId="5323A9B7" w14:textId="77777777" w:rsidTr="008D183C">
        <w:trPr>
          <w:trHeight w:val="255"/>
          <w:jc w:val="center"/>
        </w:trPr>
        <w:tc>
          <w:tcPr>
            <w:tcW w:w="1640" w:type="dxa"/>
            <w:tcBorders>
              <w:top w:val="nil"/>
              <w:left w:val="nil"/>
              <w:bottom w:val="nil"/>
              <w:right w:val="nil"/>
            </w:tcBorders>
            <w:shd w:val="clear" w:color="auto" w:fill="auto"/>
            <w:noWrap/>
            <w:vAlign w:val="center"/>
            <w:hideMark/>
          </w:tcPr>
          <w:p w14:paraId="22E16E7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D584830"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D63BA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7BBBEDFA" w14:textId="6F80AF9C" w:rsidR="00D0495C" w:rsidRPr="00D0495C" w:rsidRDefault="00D0495C" w:rsidP="009D2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3A58E85"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598A8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D0495C" w:rsidRPr="00D0495C" w14:paraId="147BD0D2" w14:textId="77777777" w:rsidTr="008D183C">
        <w:trPr>
          <w:trHeight w:val="255"/>
          <w:jc w:val="center"/>
        </w:trPr>
        <w:tc>
          <w:tcPr>
            <w:tcW w:w="1640" w:type="dxa"/>
            <w:tcBorders>
              <w:top w:val="nil"/>
              <w:left w:val="nil"/>
              <w:bottom w:val="nil"/>
              <w:right w:val="nil"/>
            </w:tcBorders>
            <w:shd w:val="clear" w:color="auto" w:fill="auto"/>
            <w:noWrap/>
            <w:vAlign w:val="center"/>
            <w:hideMark/>
          </w:tcPr>
          <w:p w14:paraId="1A32C16D"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8333450"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F6AA000"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8891005"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D38587F"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5A7E15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D0495C" w:rsidRPr="00D0495C" w14:paraId="67CE455B" w14:textId="77777777" w:rsidTr="008D18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6CD72"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904815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CE34C1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36EBB60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B2D4B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697C78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r>
      <w:tr w:rsidR="00D0495C" w:rsidRPr="00D0495C" w14:paraId="6B688188"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47A08D"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9E7420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7DCC350"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5B3D937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4E963D"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E69ED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r>
      <w:tr w:rsidR="00D0495C" w:rsidRPr="00D0495C" w14:paraId="3A28AE3A"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3E400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62B560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67907D05"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-0.03%</w:t>
            </w:r>
          </w:p>
        </w:tc>
        <w:tc>
          <w:tcPr>
            <w:tcW w:w="1741" w:type="dxa"/>
            <w:tcBorders>
              <w:top w:val="nil"/>
              <w:left w:val="nil"/>
              <w:bottom w:val="nil"/>
              <w:right w:val="single" w:sz="4" w:space="0" w:color="auto"/>
            </w:tcBorders>
            <w:shd w:val="clear" w:color="auto" w:fill="auto"/>
            <w:noWrap/>
            <w:vAlign w:val="center"/>
            <w:hideMark/>
          </w:tcPr>
          <w:p w14:paraId="2D191C4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375ECC7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121%</w:t>
            </w:r>
          </w:p>
        </w:tc>
        <w:tc>
          <w:tcPr>
            <w:tcW w:w="1060" w:type="dxa"/>
            <w:tcBorders>
              <w:top w:val="nil"/>
              <w:left w:val="nil"/>
              <w:bottom w:val="nil"/>
              <w:right w:val="single" w:sz="8" w:space="0" w:color="auto"/>
            </w:tcBorders>
            <w:shd w:val="clear" w:color="auto" w:fill="auto"/>
            <w:noWrap/>
            <w:vAlign w:val="center"/>
            <w:hideMark/>
          </w:tcPr>
          <w:p w14:paraId="4AD7216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96%</w:t>
            </w:r>
          </w:p>
        </w:tc>
      </w:tr>
      <w:tr w:rsidR="00D0495C" w:rsidRPr="00D0495C" w14:paraId="23C3C1D8"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B0CA0D"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A442C8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146D7F7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-0.15%</w:t>
            </w:r>
          </w:p>
        </w:tc>
        <w:tc>
          <w:tcPr>
            <w:tcW w:w="1741" w:type="dxa"/>
            <w:tcBorders>
              <w:top w:val="nil"/>
              <w:left w:val="nil"/>
              <w:bottom w:val="nil"/>
              <w:right w:val="single" w:sz="4" w:space="0" w:color="auto"/>
            </w:tcBorders>
            <w:shd w:val="clear" w:color="auto" w:fill="auto"/>
            <w:noWrap/>
            <w:vAlign w:val="center"/>
            <w:hideMark/>
          </w:tcPr>
          <w:p w14:paraId="47C040E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35862EF0"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127%</w:t>
            </w:r>
          </w:p>
        </w:tc>
        <w:tc>
          <w:tcPr>
            <w:tcW w:w="1060" w:type="dxa"/>
            <w:tcBorders>
              <w:top w:val="nil"/>
              <w:left w:val="nil"/>
              <w:bottom w:val="nil"/>
              <w:right w:val="single" w:sz="8" w:space="0" w:color="auto"/>
            </w:tcBorders>
            <w:shd w:val="clear" w:color="auto" w:fill="auto"/>
            <w:noWrap/>
            <w:vAlign w:val="center"/>
            <w:hideMark/>
          </w:tcPr>
          <w:p w14:paraId="77C38B4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102%</w:t>
            </w:r>
          </w:p>
        </w:tc>
      </w:tr>
      <w:tr w:rsidR="00D0495C" w:rsidRPr="00D0495C" w14:paraId="6C238274"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F0503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942122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6BFBA5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0.35%</w:t>
            </w:r>
          </w:p>
        </w:tc>
        <w:tc>
          <w:tcPr>
            <w:tcW w:w="1741" w:type="dxa"/>
            <w:tcBorders>
              <w:top w:val="nil"/>
              <w:left w:val="nil"/>
              <w:bottom w:val="nil"/>
              <w:right w:val="single" w:sz="4" w:space="0" w:color="auto"/>
            </w:tcBorders>
            <w:shd w:val="clear" w:color="auto" w:fill="auto"/>
            <w:noWrap/>
            <w:vAlign w:val="center"/>
            <w:hideMark/>
          </w:tcPr>
          <w:p w14:paraId="045C505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6483881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25092D81"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107%</w:t>
            </w:r>
          </w:p>
        </w:tc>
      </w:tr>
      <w:tr w:rsidR="00D0495C" w:rsidRPr="00D0495C" w14:paraId="5771928E" w14:textId="77777777" w:rsidTr="008D18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509F1E"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4F508D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176193ED"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0.03%</w:t>
            </w:r>
          </w:p>
        </w:tc>
        <w:tc>
          <w:tcPr>
            <w:tcW w:w="1741" w:type="dxa"/>
            <w:tcBorders>
              <w:top w:val="single" w:sz="8" w:space="0" w:color="auto"/>
              <w:left w:val="nil"/>
              <w:bottom w:val="nil"/>
              <w:right w:val="single" w:sz="4" w:space="0" w:color="auto"/>
            </w:tcBorders>
            <w:shd w:val="clear" w:color="auto" w:fill="auto"/>
            <w:noWrap/>
            <w:vAlign w:val="center"/>
            <w:hideMark/>
          </w:tcPr>
          <w:p w14:paraId="1574A0D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364A7B32"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119%</w:t>
            </w:r>
          </w:p>
        </w:tc>
        <w:tc>
          <w:tcPr>
            <w:tcW w:w="1060" w:type="dxa"/>
            <w:tcBorders>
              <w:top w:val="single" w:sz="8" w:space="0" w:color="auto"/>
              <w:left w:val="nil"/>
              <w:bottom w:val="nil"/>
              <w:right w:val="single" w:sz="8" w:space="0" w:color="auto"/>
            </w:tcBorders>
            <w:shd w:val="clear" w:color="auto" w:fill="auto"/>
            <w:noWrap/>
            <w:vAlign w:val="center"/>
            <w:hideMark/>
          </w:tcPr>
          <w:p w14:paraId="6264FE0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101%</w:t>
            </w:r>
          </w:p>
        </w:tc>
      </w:tr>
      <w:tr w:rsidR="00D0495C" w:rsidRPr="00D0495C" w14:paraId="21DD0669" w14:textId="77777777" w:rsidTr="008D183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1026C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5AC8E4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77DB793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-0.06%</w:t>
            </w:r>
          </w:p>
        </w:tc>
        <w:tc>
          <w:tcPr>
            <w:tcW w:w="1741" w:type="dxa"/>
            <w:tcBorders>
              <w:top w:val="single" w:sz="8" w:space="0" w:color="auto"/>
              <w:left w:val="nil"/>
              <w:bottom w:val="nil"/>
              <w:right w:val="single" w:sz="4" w:space="0" w:color="auto"/>
            </w:tcBorders>
            <w:shd w:val="clear" w:color="auto" w:fill="auto"/>
            <w:noWrap/>
            <w:vAlign w:val="center"/>
            <w:hideMark/>
          </w:tcPr>
          <w:p w14:paraId="39C6D03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1B2F54C2"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118%</w:t>
            </w:r>
          </w:p>
        </w:tc>
        <w:tc>
          <w:tcPr>
            <w:tcW w:w="1060" w:type="dxa"/>
            <w:tcBorders>
              <w:top w:val="single" w:sz="8" w:space="0" w:color="auto"/>
              <w:left w:val="nil"/>
              <w:bottom w:val="nil"/>
              <w:right w:val="single" w:sz="8" w:space="0" w:color="auto"/>
            </w:tcBorders>
            <w:shd w:val="clear" w:color="auto" w:fill="auto"/>
            <w:noWrap/>
            <w:vAlign w:val="center"/>
            <w:hideMark/>
          </w:tcPr>
          <w:p w14:paraId="01D34A7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100%</w:t>
            </w:r>
          </w:p>
        </w:tc>
      </w:tr>
      <w:tr w:rsidR="00D0495C" w:rsidRPr="00D0495C" w14:paraId="0AE565D6" w14:textId="77777777" w:rsidTr="008D183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4BA6B1"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C4695C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-1.77%</w:t>
            </w:r>
          </w:p>
        </w:tc>
        <w:tc>
          <w:tcPr>
            <w:tcW w:w="1060" w:type="dxa"/>
            <w:tcBorders>
              <w:top w:val="nil"/>
              <w:left w:val="nil"/>
              <w:bottom w:val="single" w:sz="8" w:space="0" w:color="auto"/>
              <w:right w:val="nil"/>
            </w:tcBorders>
            <w:shd w:val="clear" w:color="auto" w:fill="auto"/>
            <w:noWrap/>
            <w:vAlign w:val="center"/>
            <w:hideMark/>
          </w:tcPr>
          <w:p w14:paraId="6AED36C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-1.52%</w:t>
            </w:r>
          </w:p>
        </w:tc>
        <w:tc>
          <w:tcPr>
            <w:tcW w:w="1741" w:type="dxa"/>
            <w:tcBorders>
              <w:top w:val="nil"/>
              <w:left w:val="nil"/>
              <w:bottom w:val="single" w:sz="8" w:space="0" w:color="auto"/>
              <w:right w:val="single" w:sz="4" w:space="0" w:color="auto"/>
            </w:tcBorders>
            <w:shd w:val="clear" w:color="auto" w:fill="auto"/>
            <w:noWrap/>
            <w:vAlign w:val="center"/>
            <w:hideMark/>
          </w:tcPr>
          <w:p w14:paraId="295B6CC0"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-1.48%</w:t>
            </w:r>
          </w:p>
        </w:tc>
        <w:tc>
          <w:tcPr>
            <w:tcW w:w="1060" w:type="dxa"/>
            <w:tcBorders>
              <w:top w:val="nil"/>
              <w:left w:val="nil"/>
              <w:bottom w:val="single" w:sz="8" w:space="0" w:color="auto"/>
              <w:right w:val="nil"/>
            </w:tcBorders>
            <w:shd w:val="clear" w:color="auto" w:fill="auto"/>
            <w:noWrap/>
            <w:vAlign w:val="center"/>
            <w:hideMark/>
          </w:tcPr>
          <w:p w14:paraId="3367D05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116%</w:t>
            </w:r>
          </w:p>
        </w:tc>
        <w:tc>
          <w:tcPr>
            <w:tcW w:w="1060" w:type="dxa"/>
            <w:tcBorders>
              <w:top w:val="nil"/>
              <w:left w:val="nil"/>
              <w:bottom w:val="single" w:sz="8" w:space="0" w:color="auto"/>
              <w:right w:val="single" w:sz="8" w:space="0" w:color="auto"/>
            </w:tcBorders>
            <w:shd w:val="clear" w:color="auto" w:fill="auto"/>
            <w:noWrap/>
            <w:vAlign w:val="center"/>
            <w:hideMark/>
          </w:tcPr>
          <w:p w14:paraId="30B0D4ED"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99%</w:t>
            </w:r>
          </w:p>
        </w:tc>
      </w:tr>
    </w:tbl>
    <w:p w14:paraId="26F163CA" w14:textId="77777777" w:rsidR="008D183C" w:rsidRDefault="008D183C" w:rsidP="00D0495C">
      <w:pPr>
        <w:jc w:val="center"/>
        <w:rPr>
          <w:b/>
          <w:sz w:val="20"/>
          <w:szCs w:val="18"/>
          <w:lang w:val="en-CA"/>
        </w:rPr>
      </w:pPr>
    </w:p>
    <w:p w14:paraId="769AB4FF" w14:textId="793E286F" w:rsidR="00D0495C" w:rsidRDefault="008D183C" w:rsidP="009143A6">
      <w:pPr>
        <w:spacing w:before="120"/>
        <w:jc w:val="center"/>
        <w:rPr>
          <w:szCs w:val="22"/>
          <w:lang w:val="en-CA"/>
        </w:rPr>
      </w:pPr>
      <w:r w:rsidRPr="00D0495C">
        <w:rPr>
          <w:b/>
          <w:sz w:val="20"/>
          <w:szCs w:val="18"/>
          <w:lang w:val="en-CA"/>
        </w:rPr>
        <w:t xml:space="preserve">Table </w:t>
      </w:r>
      <w:r>
        <w:rPr>
          <w:b/>
          <w:sz w:val="20"/>
          <w:szCs w:val="18"/>
          <w:lang w:val="en-CA"/>
        </w:rPr>
        <w:t>2</w:t>
      </w:r>
      <w:r w:rsidRPr="00D0495C">
        <w:rPr>
          <w:b/>
          <w:sz w:val="20"/>
          <w:szCs w:val="18"/>
          <w:lang w:val="en-CA"/>
        </w:rPr>
        <w:t xml:space="preserve">. </w:t>
      </w:r>
      <w:r>
        <w:rPr>
          <w:b/>
          <w:sz w:val="20"/>
          <w:szCs w:val="18"/>
          <w:lang w:val="en-CA"/>
        </w:rPr>
        <w:t xml:space="preserve">Results of </w:t>
      </w:r>
      <w:r w:rsidRPr="00D0495C">
        <w:rPr>
          <w:b/>
          <w:sz w:val="20"/>
          <w:szCs w:val="18"/>
          <w:lang w:val="en-CA"/>
        </w:rPr>
        <w:t>CE4-3.1</w:t>
      </w:r>
      <w:r>
        <w:rPr>
          <w:b/>
          <w:sz w:val="20"/>
          <w:szCs w:val="18"/>
          <w:lang w:val="en-CA"/>
        </w:rPr>
        <w:t>b</w:t>
      </w:r>
    </w:p>
    <w:tbl>
      <w:tblPr>
        <w:tblW w:w="7621" w:type="dxa"/>
        <w:jc w:val="center"/>
        <w:tblLook w:val="04A0" w:firstRow="1" w:lastRow="0" w:firstColumn="1" w:lastColumn="0" w:noHBand="0" w:noVBand="1"/>
      </w:tblPr>
      <w:tblGrid>
        <w:gridCol w:w="1640"/>
        <w:gridCol w:w="1060"/>
        <w:gridCol w:w="1060"/>
        <w:gridCol w:w="1741"/>
        <w:gridCol w:w="1060"/>
        <w:gridCol w:w="1060"/>
      </w:tblGrid>
      <w:tr w:rsidR="008D183C" w:rsidRPr="00D0495C" w14:paraId="4875B0EE" w14:textId="77777777" w:rsidTr="008D183C">
        <w:trPr>
          <w:trHeight w:val="255"/>
          <w:jc w:val="center"/>
        </w:trPr>
        <w:tc>
          <w:tcPr>
            <w:tcW w:w="1640" w:type="dxa"/>
            <w:tcBorders>
              <w:top w:val="nil"/>
              <w:left w:val="nil"/>
              <w:bottom w:val="nil"/>
              <w:right w:val="nil"/>
            </w:tcBorders>
            <w:shd w:val="clear" w:color="auto" w:fill="auto"/>
            <w:noWrap/>
            <w:vAlign w:val="center"/>
            <w:hideMark/>
          </w:tcPr>
          <w:p w14:paraId="46625086" w14:textId="77777777" w:rsidR="008D183C" w:rsidRPr="00D0495C" w:rsidRDefault="008D183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038798" w14:textId="1326971E" w:rsidR="008D183C" w:rsidRPr="00D0495C" w:rsidRDefault="008D183C" w:rsidP="009D2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D0495C">
              <w:rPr>
                <w:rFonts w:ascii="Calibri" w:hAnsi="Calibri" w:cs="Calibri"/>
                <w:color w:val="000000"/>
                <w:sz w:val="24"/>
                <w:szCs w:val="24"/>
              </w:rPr>
              <w:t> </w:t>
            </w:r>
            <w:r w:rsidRPr="00D0495C">
              <w:rPr>
                <w:rFonts w:ascii="Arial" w:hAnsi="Arial" w:cs="Arial"/>
                <w:b/>
                <w:bCs/>
                <w:color w:val="000000"/>
                <w:sz w:val="18"/>
                <w:szCs w:val="18"/>
              </w:rPr>
              <w:t>Random access Main10</w:t>
            </w:r>
            <w:r w:rsidRPr="00D0495C">
              <w:rPr>
                <w:rFonts w:ascii="Calibri" w:hAnsi="Calibri" w:cs="Calibri"/>
                <w:color w:val="000000"/>
                <w:sz w:val="24"/>
                <w:szCs w:val="24"/>
              </w:rPr>
              <w:t> </w:t>
            </w:r>
          </w:p>
        </w:tc>
      </w:tr>
      <w:tr w:rsidR="00D0495C" w:rsidRPr="00D0495C" w14:paraId="192AD3CA" w14:textId="77777777" w:rsidTr="008D183C">
        <w:trPr>
          <w:trHeight w:val="255"/>
          <w:jc w:val="center"/>
        </w:trPr>
        <w:tc>
          <w:tcPr>
            <w:tcW w:w="1640" w:type="dxa"/>
            <w:tcBorders>
              <w:top w:val="nil"/>
              <w:left w:val="nil"/>
              <w:bottom w:val="nil"/>
              <w:right w:val="nil"/>
            </w:tcBorders>
            <w:shd w:val="clear" w:color="auto" w:fill="auto"/>
            <w:noWrap/>
            <w:vAlign w:val="center"/>
            <w:hideMark/>
          </w:tcPr>
          <w:p w14:paraId="661164B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4519A8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A2AD1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40D67EEE" w14:textId="4A8018C3" w:rsidR="00D0495C" w:rsidRPr="00D0495C" w:rsidRDefault="00D0495C" w:rsidP="009D2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FD03FCE"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2CCFBF"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D0495C" w:rsidRPr="00D0495C" w14:paraId="47FF9BB7" w14:textId="77777777" w:rsidTr="008D183C">
        <w:trPr>
          <w:trHeight w:val="255"/>
          <w:jc w:val="center"/>
        </w:trPr>
        <w:tc>
          <w:tcPr>
            <w:tcW w:w="1640" w:type="dxa"/>
            <w:tcBorders>
              <w:top w:val="nil"/>
              <w:left w:val="nil"/>
              <w:bottom w:val="nil"/>
              <w:right w:val="nil"/>
            </w:tcBorders>
            <w:shd w:val="clear" w:color="auto" w:fill="auto"/>
            <w:noWrap/>
            <w:vAlign w:val="center"/>
            <w:hideMark/>
          </w:tcPr>
          <w:p w14:paraId="1B0BBA8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BFFDE8E"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209BDB0"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1ABEC31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34ED4A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2418E5F"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D0495C" w:rsidRPr="00D0495C" w14:paraId="278121F0" w14:textId="77777777" w:rsidTr="008D18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05A71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7E77DCF"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66D25C5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-0.27%</w:t>
            </w:r>
          </w:p>
        </w:tc>
        <w:tc>
          <w:tcPr>
            <w:tcW w:w="1741" w:type="dxa"/>
            <w:tcBorders>
              <w:top w:val="nil"/>
              <w:left w:val="nil"/>
              <w:bottom w:val="nil"/>
              <w:right w:val="single" w:sz="4" w:space="0" w:color="auto"/>
            </w:tcBorders>
            <w:shd w:val="clear" w:color="auto" w:fill="auto"/>
            <w:noWrap/>
            <w:vAlign w:val="center"/>
            <w:hideMark/>
          </w:tcPr>
          <w:p w14:paraId="2F2D7642"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7E1E971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76975ABE"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101%</w:t>
            </w:r>
          </w:p>
        </w:tc>
      </w:tr>
      <w:tr w:rsidR="00D0495C" w:rsidRPr="00D0495C" w14:paraId="7A5C9CDA"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FFB1D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F56E4D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3395F47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-0.14%</w:t>
            </w:r>
          </w:p>
        </w:tc>
        <w:tc>
          <w:tcPr>
            <w:tcW w:w="1741" w:type="dxa"/>
            <w:tcBorders>
              <w:top w:val="nil"/>
              <w:left w:val="nil"/>
              <w:bottom w:val="nil"/>
              <w:right w:val="single" w:sz="4" w:space="0" w:color="auto"/>
            </w:tcBorders>
            <w:shd w:val="clear" w:color="auto" w:fill="auto"/>
            <w:noWrap/>
            <w:vAlign w:val="center"/>
            <w:hideMark/>
          </w:tcPr>
          <w:p w14:paraId="1AD0ED80"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5C3400A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520A90A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101%</w:t>
            </w:r>
          </w:p>
        </w:tc>
      </w:tr>
      <w:tr w:rsidR="00D0495C" w:rsidRPr="00D0495C" w14:paraId="52496EC4"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FA41E5"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4BEBAD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7412C35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-0.18%</w:t>
            </w:r>
          </w:p>
        </w:tc>
        <w:tc>
          <w:tcPr>
            <w:tcW w:w="1741" w:type="dxa"/>
            <w:tcBorders>
              <w:top w:val="nil"/>
              <w:left w:val="nil"/>
              <w:bottom w:val="nil"/>
              <w:right w:val="single" w:sz="4" w:space="0" w:color="auto"/>
            </w:tcBorders>
            <w:shd w:val="clear" w:color="auto" w:fill="auto"/>
            <w:noWrap/>
            <w:vAlign w:val="center"/>
            <w:hideMark/>
          </w:tcPr>
          <w:p w14:paraId="0EDCB66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444E4025"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8FFA42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97%</w:t>
            </w:r>
          </w:p>
        </w:tc>
      </w:tr>
      <w:tr w:rsidR="00D0495C" w:rsidRPr="00D0495C" w14:paraId="792369A0"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B460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52B02F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7E1D97F1"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-0.30%</w:t>
            </w:r>
          </w:p>
        </w:tc>
        <w:tc>
          <w:tcPr>
            <w:tcW w:w="1741" w:type="dxa"/>
            <w:tcBorders>
              <w:top w:val="nil"/>
              <w:left w:val="nil"/>
              <w:bottom w:val="nil"/>
              <w:right w:val="single" w:sz="4" w:space="0" w:color="auto"/>
            </w:tcBorders>
            <w:shd w:val="clear" w:color="auto" w:fill="auto"/>
            <w:noWrap/>
            <w:vAlign w:val="center"/>
            <w:hideMark/>
          </w:tcPr>
          <w:p w14:paraId="505AED10"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4B456A0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4101B25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100%</w:t>
            </w:r>
          </w:p>
        </w:tc>
      </w:tr>
      <w:tr w:rsidR="00D0495C" w:rsidRPr="00D0495C" w14:paraId="163C1484"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981DE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CC00DA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D84DE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0B31846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5B0B245"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6B3AE8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r>
      <w:tr w:rsidR="00D0495C" w:rsidRPr="00D0495C" w14:paraId="21AFC805" w14:textId="77777777" w:rsidTr="008D18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EBD5C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7744A1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134B53A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-0.22%</w:t>
            </w:r>
          </w:p>
        </w:tc>
        <w:tc>
          <w:tcPr>
            <w:tcW w:w="1741" w:type="dxa"/>
            <w:tcBorders>
              <w:top w:val="single" w:sz="8" w:space="0" w:color="auto"/>
              <w:left w:val="nil"/>
              <w:bottom w:val="nil"/>
              <w:right w:val="single" w:sz="4" w:space="0" w:color="auto"/>
            </w:tcBorders>
            <w:shd w:val="clear" w:color="auto" w:fill="auto"/>
            <w:noWrap/>
            <w:vAlign w:val="center"/>
            <w:hideMark/>
          </w:tcPr>
          <w:p w14:paraId="4BD5452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4FCB8D7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EFED7F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99%</w:t>
            </w:r>
          </w:p>
        </w:tc>
      </w:tr>
      <w:tr w:rsidR="00D0495C" w:rsidRPr="00D0495C" w14:paraId="1D07C0BC" w14:textId="77777777" w:rsidTr="008D18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991E8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034785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7FA2322"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0.09%</w:t>
            </w:r>
          </w:p>
        </w:tc>
        <w:tc>
          <w:tcPr>
            <w:tcW w:w="1741" w:type="dxa"/>
            <w:tcBorders>
              <w:top w:val="single" w:sz="8" w:space="0" w:color="auto"/>
              <w:left w:val="nil"/>
              <w:bottom w:val="nil"/>
              <w:right w:val="single" w:sz="4" w:space="0" w:color="auto"/>
            </w:tcBorders>
            <w:shd w:val="clear" w:color="auto" w:fill="auto"/>
            <w:noWrap/>
            <w:vAlign w:val="center"/>
            <w:hideMark/>
          </w:tcPr>
          <w:p w14:paraId="3222B4A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78795AAF"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6298DA9E"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99%</w:t>
            </w:r>
          </w:p>
        </w:tc>
      </w:tr>
      <w:tr w:rsidR="00D0495C" w:rsidRPr="00D0495C" w14:paraId="535BBEB8" w14:textId="77777777" w:rsidTr="008D183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799DE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DAB63D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-0.56%</w:t>
            </w:r>
          </w:p>
        </w:tc>
        <w:tc>
          <w:tcPr>
            <w:tcW w:w="1060" w:type="dxa"/>
            <w:tcBorders>
              <w:top w:val="nil"/>
              <w:left w:val="nil"/>
              <w:bottom w:val="single" w:sz="8" w:space="0" w:color="auto"/>
              <w:right w:val="nil"/>
            </w:tcBorders>
            <w:shd w:val="clear" w:color="auto" w:fill="auto"/>
            <w:noWrap/>
            <w:vAlign w:val="center"/>
            <w:hideMark/>
          </w:tcPr>
          <w:p w14:paraId="4321D611"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-0.26%</w:t>
            </w:r>
          </w:p>
        </w:tc>
        <w:tc>
          <w:tcPr>
            <w:tcW w:w="1741" w:type="dxa"/>
            <w:tcBorders>
              <w:top w:val="nil"/>
              <w:left w:val="nil"/>
              <w:bottom w:val="single" w:sz="8" w:space="0" w:color="auto"/>
              <w:right w:val="single" w:sz="4" w:space="0" w:color="auto"/>
            </w:tcBorders>
            <w:shd w:val="clear" w:color="auto" w:fill="auto"/>
            <w:noWrap/>
            <w:vAlign w:val="center"/>
            <w:hideMark/>
          </w:tcPr>
          <w:p w14:paraId="041E356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hideMark/>
          </w:tcPr>
          <w:p w14:paraId="15F36120"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4E1BEA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97%</w:t>
            </w:r>
          </w:p>
        </w:tc>
      </w:tr>
      <w:tr w:rsidR="00D0495C" w:rsidRPr="00D0495C" w14:paraId="6455F04C" w14:textId="77777777" w:rsidTr="008D183C">
        <w:trPr>
          <w:trHeight w:val="255"/>
          <w:jc w:val="center"/>
        </w:trPr>
        <w:tc>
          <w:tcPr>
            <w:tcW w:w="1640" w:type="dxa"/>
            <w:tcBorders>
              <w:top w:val="nil"/>
              <w:left w:val="nil"/>
              <w:bottom w:val="nil"/>
              <w:right w:val="nil"/>
            </w:tcBorders>
            <w:shd w:val="clear" w:color="auto" w:fill="auto"/>
            <w:noWrap/>
            <w:vAlign w:val="center"/>
            <w:hideMark/>
          </w:tcPr>
          <w:p w14:paraId="01B07F9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B1ADF00"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0E9F07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29BB2AE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C69845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706A0D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D183C" w:rsidRPr="00D0495C" w14:paraId="01DC2354" w14:textId="77777777" w:rsidTr="008D183C">
        <w:trPr>
          <w:trHeight w:val="255"/>
          <w:jc w:val="center"/>
        </w:trPr>
        <w:tc>
          <w:tcPr>
            <w:tcW w:w="1640" w:type="dxa"/>
            <w:tcBorders>
              <w:top w:val="nil"/>
              <w:left w:val="nil"/>
              <w:bottom w:val="nil"/>
              <w:right w:val="nil"/>
            </w:tcBorders>
            <w:shd w:val="clear" w:color="auto" w:fill="auto"/>
            <w:noWrap/>
            <w:vAlign w:val="center"/>
            <w:hideMark/>
          </w:tcPr>
          <w:p w14:paraId="4FF089FF" w14:textId="77777777" w:rsidR="008D183C" w:rsidRPr="00D0495C" w:rsidRDefault="008D183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AD4FD3" w14:textId="1BE09298" w:rsidR="008D183C" w:rsidRPr="00D0495C" w:rsidRDefault="008D183C" w:rsidP="009D2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Low delay B Main10</w:t>
            </w:r>
            <w:r w:rsidRPr="00D0495C">
              <w:rPr>
                <w:rFonts w:ascii="Calibri" w:hAnsi="Calibri" w:cs="Calibri"/>
                <w:color w:val="000000"/>
                <w:sz w:val="24"/>
                <w:szCs w:val="24"/>
              </w:rPr>
              <w:t> </w:t>
            </w:r>
          </w:p>
        </w:tc>
      </w:tr>
      <w:tr w:rsidR="00D0495C" w:rsidRPr="00D0495C" w14:paraId="63421DC6" w14:textId="77777777" w:rsidTr="008D183C">
        <w:trPr>
          <w:trHeight w:val="255"/>
          <w:jc w:val="center"/>
        </w:trPr>
        <w:tc>
          <w:tcPr>
            <w:tcW w:w="1640" w:type="dxa"/>
            <w:tcBorders>
              <w:top w:val="nil"/>
              <w:left w:val="nil"/>
              <w:bottom w:val="nil"/>
              <w:right w:val="nil"/>
            </w:tcBorders>
            <w:shd w:val="clear" w:color="auto" w:fill="auto"/>
            <w:noWrap/>
            <w:vAlign w:val="center"/>
            <w:hideMark/>
          </w:tcPr>
          <w:p w14:paraId="7544008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CD5A2B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AD0760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A4D2783" w14:textId="11649F13" w:rsidR="00D0495C" w:rsidRPr="00D0495C" w:rsidRDefault="00D0495C" w:rsidP="009D2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2CF1AA2D"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1A552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D0495C" w:rsidRPr="00D0495C" w14:paraId="19B6AF87" w14:textId="77777777" w:rsidTr="008D183C">
        <w:trPr>
          <w:trHeight w:val="255"/>
          <w:jc w:val="center"/>
        </w:trPr>
        <w:tc>
          <w:tcPr>
            <w:tcW w:w="1640" w:type="dxa"/>
            <w:tcBorders>
              <w:top w:val="nil"/>
              <w:left w:val="nil"/>
              <w:bottom w:val="nil"/>
              <w:right w:val="nil"/>
            </w:tcBorders>
            <w:shd w:val="clear" w:color="auto" w:fill="auto"/>
            <w:noWrap/>
            <w:vAlign w:val="center"/>
            <w:hideMark/>
          </w:tcPr>
          <w:p w14:paraId="7A7D15E2"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BBD80F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008E23D"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0FDC109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874F67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A2071B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DecT</w:t>
            </w:r>
          </w:p>
        </w:tc>
      </w:tr>
      <w:tr w:rsidR="00D0495C" w:rsidRPr="00D0495C" w14:paraId="54B4C186" w14:textId="77777777" w:rsidTr="008D18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789D2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E324D4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ACB10F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14:paraId="0B56462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CEBE42"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65AD4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r>
      <w:tr w:rsidR="00D0495C" w:rsidRPr="00D0495C" w14:paraId="09B211B9"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7117E2"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EAE09A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5B5094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0D310EA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0C092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C86AB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 </w:t>
            </w:r>
          </w:p>
        </w:tc>
      </w:tr>
      <w:tr w:rsidR="00D0495C" w:rsidRPr="00D0495C" w14:paraId="1032C488"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5E9EA2"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BF857B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4149B70F"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0.01%</w:t>
            </w:r>
          </w:p>
        </w:tc>
        <w:tc>
          <w:tcPr>
            <w:tcW w:w="1741" w:type="dxa"/>
            <w:tcBorders>
              <w:top w:val="nil"/>
              <w:left w:val="nil"/>
              <w:bottom w:val="nil"/>
              <w:right w:val="single" w:sz="4" w:space="0" w:color="auto"/>
            </w:tcBorders>
            <w:shd w:val="clear" w:color="auto" w:fill="auto"/>
            <w:noWrap/>
            <w:vAlign w:val="center"/>
            <w:hideMark/>
          </w:tcPr>
          <w:p w14:paraId="4400A16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673CB5E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1F1BFFD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102%</w:t>
            </w:r>
          </w:p>
        </w:tc>
      </w:tr>
      <w:tr w:rsidR="00D0495C" w:rsidRPr="00D0495C" w14:paraId="79F29D26"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A5EB1"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0FF522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6DFEFE80"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-0.01%</w:t>
            </w:r>
          </w:p>
        </w:tc>
        <w:tc>
          <w:tcPr>
            <w:tcW w:w="1741" w:type="dxa"/>
            <w:tcBorders>
              <w:top w:val="nil"/>
              <w:left w:val="nil"/>
              <w:bottom w:val="nil"/>
              <w:right w:val="single" w:sz="4" w:space="0" w:color="auto"/>
            </w:tcBorders>
            <w:shd w:val="clear" w:color="auto" w:fill="auto"/>
            <w:noWrap/>
            <w:vAlign w:val="center"/>
            <w:hideMark/>
          </w:tcPr>
          <w:p w14:paraId="6A76630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5AC18DA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4E6453E0"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108%</w:t>
            </w:r>
          </w:p>
        </w:tc>
      </w:tr>
      <w:tr w:rsidR="00D0495C" w:rsidRPr="00D0495C" w14:paraId="76069B0F" w14:textId="77777777" w:rsidTr="008D18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3C6C5"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96D591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2FFCC5B"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-0.10%</w:t>
            </w:r>
          </w:p>
        </w:tc>
        <w:tc>
          <w:tcPr>
            <w:tcW w:w="1741" w:type="dxa"/>
            <w:tcBorders>
              <w:top w:val="nil"/>
              <w:left w:val="nil"/>
              <w:bottom w:val="nil"/>
              <w:right w:val="single" w:sz="4" w:space="0" w:color="auto"/>
            </w:tcBorders>
            <w:shd w:val="clear" w:color="auto" w:fill="auto"/>
            <w:noWrap/>
            <w:vAlign w:val="center"/>
            <w:hideMark/>
          </w:tcPr>
          <w:p w14:paraId="1A4F825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7748482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B04E65F"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97%</w:t>
            </w:r>
          </w:p>
        </w:tc>
      </w:tr>
      <w:tr w:rsidR="00D0495C" w:rsidRPr="00D0495C" w14:paraId="680BE973" w14:textId="77777777" w:rsidTr="008D18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77726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F6CBF3E"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69F1A80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-0.02%</w:t>
            </w:r>
          </w:p>
        </w:tc>
        <w:tc>
          <w:tcPr>
            <w:tcW w:w="1741" w:type="dxa"/>
            <w:tcBorders>
              <w:top w:val="single" w:sz="8" w:space="0" w:color="auto"/>
              <w:left w:val="nil"/>
              <w:bottom w:val="nil"/>
              <w:right w:val="single" w:sz="4" w:space="0" w:color="auto"/>
            </w:tcBorders>
            <w:shd w:val="clear" w:color="auto" w:fill="auto"/>
            <w:noWrap/>
            <w:vAlign w:val="center"/>
            <w:hideMark/>
          </w:tcPr>
          <w:p w14:paraId="76C81411"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74B6D63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254520E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102%</w:t>
            </w:r>
          </w:p>
        </w:tc>
      </w:tr>
      <w:tr w:rsidR="00D0495C" w:rsidRPr="00D0495C" w14:paraId="5D6B8BD7" w14:textId="77777777" w:rsidTr="008D183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C07CF13"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9FCDC4"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07A5A515"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-0.31%</w:t>
            </w:r>
          </w:p>
        </w:tc>
        <w:tc>
          <w:tcPr>
            <w:tcW w:w="1741" w:type="dxa"/>
            <w:tcBorders>
              <w:top w:val="single" w:sz="8" w:space="0" w:color="auto"/>
              <w:left w:val="nil"/>
              <w:bottom w:val="nil"/>
              <w:right w:val="single" w:sz="4" w:space="0" w:color="auto"/>
            </w:tcBorders>
            <w:shd w:val="clear" w:color="auto" w:fill="auto"/>
            <w:noWrap/>
            <w:vAlign w:val="center"/>
            <w:hideMark/>
          </w:tcPr>
          <w:p w14:paraId="78BAD80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2FEE76D"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8011ABC"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91%</w:t>
            </w:r>
          </w:p>
        </w:tc>
      </w:tr>
      <w:tr w:rsidR="00D0495C" w:rsidRPr="00D0495C" w14:paraId="621C2A9C" w14:textId="77777777" w:rsidTr="008D183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E0A687"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2614058"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-1.73%</w:t>
            </w:r>
          </w:p>
        </w:tc>
        <w:tc>
          <w:tcPr>
            <w:tcW w:w="1060" w:type="dxa"/>
            <w:tcBorders>
              <w:top w:val="nil"/>
              <w:left w:val="nil"/>
              <w:bottom w:val="single" w:sz="8" w:space="0" w:color="auto"/>
              <w:right w:val="nil"/>
            </w:tcBorders>
            <w:shd w:val="clear" w:color="auto" w:fill="auto"/>
            <w:noWrap/>
            <w:vAlign w:val="center"/>
            <w:hideMark/>
          </w:tcPr>
          <w:p w14:paraId="07EE256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-1.06%</w:t>
            </w:r>
          </w:p>
        </w:tc>
        <w:tc>
          <w:tcPr>
            <w:tcW w:w="1741" w:type="dxa"/>
            <w:tcBorders>
              <w:top w:val="nil"/>
              <w:left w:val="nil"/>
              <w:bottom w:val="single" w:sz="8" w:space="0" w:color="auto"/>
              <w:right w:val="single" w:sz="4" w:space="0" w:color="auto"/>
            </w:tcBorders>
            <w:shd w:val="clear" w:color="auto" w:fill="auto"/>
            <w:noWrap/>
            <w:vAlign w:val="center"/>
            <w:hideMark/>
          </w:tcPr>
          <w:p w14:paraId="561D71BA"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-1.73%</w:t>
            </w:r>
          </w:p>
        </w:tc>
        <w:tc>
          <w:tcPr>
            <w:tcW w:w="1060" w:type="dxa"/>
            <w:tcBorders>
              <w:top w:val="nil"/>
              <w:left w:val="nil"/>
              <w:bottom w:val="single" w:sz="8" w:space="0" w:color="auto"/>
              <w:right w:val="nil"/>
            </w:tcBorders>
            <w:shd w:val="clear" w:color="auto" w:fill="auto"/>
            <w:noWrap/>
            <w:vAlign w:val="center"/>
            <w:hideMark/>
          </w:tcPr>
          <w:p w14:paraId="42A0C4D6"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2CAC1E89" w14:textId="77777777" w:rsidR="00D0495C" w:rsidRPr="00D0495C" w:rsidRDefault="00D0495C" w:rsidP="00D04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95%</w:t>
            </w:r>
          </w:p>
        </w:tc>
      </w:tr>
    </w:tbl>
    <w:p w14:paraId="53FFDB4C" w14:textId="77777777" w:rsidR="00D55DCF" w:rsidRDefault="008D183C" w:rsidP="009143A6">
      <w:pPr>
        <w:rPr>
          <w:lang w:val="en-CA"/>
        </w:rPr>
      </w:pPr>
      <w:r>
        <w:rPr>
          <w:lang w:val="en-CA"/>
        </w:rPr>
        <w:br w:type="page"/>
      </w:r>
    </w:p>
    <w:p w14:paraId="12DBF26D" w14:textId="74732A73" w:rsidR="00496169" w:rsidRDefault="00496169" w:rsidP="009143A6">
      <w:pPr>
        <w:pStyle w:val="Heading1"/>
        <w:rPr>
          <w:lang w:val="en-CA" w:eastAsia="zh-TW"/>
        </w:rPr>
      </w:pPr>
      <w:r>
        <w:rPr>
          <w:rFonts w:hint="eastAsia"/>
          <w:lang w:val="en-CA" w:eastAsia="zh-TW"/>
        </w:rPr>
        <w:lastRenderedPageBreak/>
        <w:t>Reference</w:t>
      </w:r>
    </w:p>
    <w:p w14:paraId="5FDFB615" w14:textId="57F1716B" w:rsidR="00496169" w:rsidRPr="00496169" w:rsidRDefault="00496169" w:rsidP="00496169">
      <w:pPr>
        <w:numPr>
          <w:ilvl w:val="0"/>
          <w:numId w:val="16"/>
        </w:numPr>
        <w:textAlignment w:val="auto"/>
        <w:rPr>
          <w:szCs w:val="22"/>
          <w:lang w:val="en-CA"/>
        </w:rPr>
      </w:pPr>
      <w:r>
        <w:rPr>
          <w:szCs w:val="22"/>
          <w:lang w:val="en-CA"/>
        </w:rPr>
        <w:tab/>
      </w:r>
      <w:bookmarkStart w:id="2" w:name="_Ref517546129"/>
      <w:r w:rsidRPr="00496169">
        <w:rPr>
          <w:szCs w:val="22"/>
          <w:lang w:val="en-CA"/>
        </w:rPr>
        <w:t xml:space="preserve">V. Seregin, W.-J. Chien, T. Hsieh, N. Hu, </w:t>
      </w:r>
      <w:r w:rsidR="009D2CD3">
        <w:rPr>
          <w:szCs w:val="22"/>
          <w:lang w:val="en-CA"/>
        </w:rPr>
        <w:t xml:space="preserve">and </w:t>
      </w:r>
      <w:r w:rsidRPr="00496169">
        <w:rPr>
          <w:szCs w:val="22"/>
          <w:lang w:val="en-CA"/>
        </w:rPr>
        <w:t xml:space="preserve">M. Karczewicz, "CE1: Unidirectional illumination compensation (CE1-5.1)," </w:t>
      </w:r>
      <w:r>
        <w:rPr>
          <w:szCs w:val="22"/>
          <w:lang w:val="en-CA"/>
        </w:rPr>
        <w:t xml:space="preserve">Document of Joint Video Experts Team, </w:t>
      </w:r>
      <w:r w:rsidRPr="00496169">
        <w:rPr>
          <w:szCs w:val="22"/>
          <w:lang w:val="en-CA"/>
        </w:rPr>
        <w:t>JVET-N0343</w:t>
      </w:r>
      <w:r w:rsidR="003D4C4A">
        <w:rPr>
          <w:szCs w:val="22"/>
          <w:lang w:val="en-CA"/>
        </w:rPr>
        <w:t>.</w:t>
      </w:r>
    </w:p>
    <w:p w14:paraId="24592EC7" w14:textId="3A793BA1" w:rsidR="00496169" w:rsidRPr="00496169" w:rsidRDefault="00496169" w:rsidP="00496169">
      <w:pPr>
        <w:numPr>
          <w:ilvl w:val="0"/>
          <w:numId w:val="16"/>
        </w:numPr>
        <w:textAlignment w:val="auto"/>
        <w:rPr>
          <w:szCs w:val="22"/>
          <w:lang w:val="en-CA"/>
        </w:rPr>
      </w:pPr>
      <w:r>
        <w:rPr>
          <w:szCs w:val="22"/>
          <w:lang w:val="en-CA"/>
        </w:rPr>
        <w:t xml:space="preserve"> </w:t>
      </w:r>
      <w:r w:rsidRPr="00496169">
        <w:rPr>
          <w:szCs w:val="22"/>
          <w:lang w:val="en-CA"/>
        </w:rPr>
        <w:t xml:space="preserve">K. Abe, T. Toma, J. Li, C.-W. Kuo, </w:t>
      </w:r>
      <w:r w:rsidR="009D2CD3">
        <w:rPr>
          <w:szCs w:val="22"/>
          <w:lang w:val="en-CA"/>
        </w:rPr>
        <w:t xml:space="preserve">and </w:t>
      </w:r>
      <w:r w:rsidRPr="00496169">
        <w:rPr>
          <w:szCs w:val="22"/>
          <w:lang w:val="en-CA"/>
        </w:rPr>
        <w:t xml:space="preserve">V. Drugeon, "CE1: Pipeline restriction and DBF modification on LIC (test 1.5.6, test 1.5.7)," </w:t>
      </w:r>
      <w:r>
        <w:rPr>
          <w:szCs w:val="22"/>
          <w:lang w:val="en-CA"/>
        </w:rPr>
        <w:t xml:space="preserve">Document of Joint Video Experts Team, </w:t>
      </w:r>
      <w:r w:rsidRPr="00496169">
        <w:rPr>
          <w:szCs w:val="22"/>
          <w:lang w:val="en-CA"/>
        </w:rPr>
        <w:t>JVET-N0205</w:t>
      </w:r>
      <w:r w:rsidR="003D4C4A">
        <w:rPr>
          <w:szCs w:val="22"/>
          <w:lang w:val="en-CA"/>
        </w:rPr>
        <w:t>.</w:t>
      </w:r>
    </w:p>
    <w:p w14:paraId="0C645865" w14:textId="623C32E4" w:rsidR="00496169" w:rsidRPr="00496169" w:rsidRDefault="00496169" w:rsidP="00496169">
      <w:pPr>
        <w:numPr>
          <w:ilvl w:val="0"/>
          <w:numId w:val="16"/>
        </w:numPr>
        <w:textAlignment w:val="auto"/>
        <w:rPr>
          <w:szCs w:val="22"/>
          <w:lang w:val="en-CA"/>
        </w:rPr>
      </w:pPr>
      <w:r>
        <w:rPr>
          <w:szCs w:val="22"/>
          <w:lang w:val="en-CA"/>
        </w:rPr>
        <w:t xml:space="preserve"> </w:t>
      </w:r>
      <w:r w:rsidRPr="00496169">
        <w:rPr>
          <w:szCs w:val="22"/>
          <w:lang w:val="en-CA"/>
        </w:rPr>
        <w:t xml:space="preserve">H. Chen, X. Ma, H. Yang, </w:t>
      </w:r>
      <w:r w:rsidR="009D2CD3">
        <w:rPr>
          <w:szCs w:val="22"/>
          <w:lang w:val="en-CA"/>
        </w:rPr>
        <w:t xml:space="preserve">and </w:t>
      </w:r>
      <w:r w:rsidRPr="00496169">
        <w:rPr>
          <w:szCs w:val="22"/>
          <w:lang w:val="en-CA"/>
        </w:rPr>
        <w:t xml:space="preserve">J. Chen, "CE1-related: Combination of LIC and affine," </w:t>
      </w:r>
      <w:r w:rsidR="009D2CD3">
        <w:rPr>
          <w:szCs w:val="22"/>
          <w:lang w:val="en-CA"/>
        </w:rPr>
        <w:t xml:space="preserve">Document of Joint Video Experts Team, </w:t>
      </w:r>
      <w:r w:rsidRPr="00496169">
        <w:rPr>
          <w:szCs w:val="22"/>
          <w:lang w:val="en-CA"/>
        </w:rPr>
        <w:t>JVET-N0171</w:t>
      </w:r>
      <w:r w:rsidR="009D2CD3">
        <w:rPr>
          <w:szCs w:val="22"/>
          <w:lang w:val="en-CA"/>
        </w:rPr>
        <w:t>.</w:t>
      </w:r>
    </w:p>
    <w:p w14:paraId="5C2BC40E" w14:textId="37D0D9B1" w:rsidR="00496169" w:rsidRDefault="00496169" w:rsidP="00496169">
      <w:pPr>
        <w:numPr>
          <w:ilvl w:val="0"/>
          <w:numId w:val="16"/>
        </w:numPr>
        <w:textAlignment w:val="auto"/>
        <w:rPr>
          <w:szCs w:val="22"/>
          <w:lang w:val="en-CA"/>
        </w:rPr>
      </w:pPr>
      <w:r>
        <w:rPr>
          <w:szCs w:val="22"/>
          <w:lang w:val="en-CA"/>
        </w:rPr>
        <w:t xml:space="preserve"> </w:t>
      </w:r>
      <w:r w:rsidRPr="00496169">
        <w:rPr>
          <w:szCs w:val="22"/>
          <w:lang w:val="en-CA"/>
        </w:rPr>
        <w:t xml:space="preserve">C.-M. Tsai, C.-C. Chen, C.-W. Hsu, Y.-W. Huang, </w:t>
      </w:r>
      <w:r w:rsidR="009D2CD3">
        <w:rPr>
          <w:szCs w:val="22"/>
          <w:lang w:val="en-CA"/>
        </w:rPr>
        <w:t xml:space="preserve">and </w:t>
      </w:r>
      <w:r w:rsidRPr="00496169">
        <w:rPr>
          <w:szCs w:val="22"/>
          <w:lang w:val="en-CA"/>
        </w:rPr>
        <w:t xml:space="preserve">S.-M. Lei, "CE1-5.5: Simplification of local illumination compensation," </w:t>
      </w:r>
      <w:r>
        <w:rPr>
          <w:szCs w:val="22"/>
          <w:lang w:val="en-CA"/>
        </w:rPr>
        <w:t xml:space="preserve">Document of Joint Video Experts Team, </w:t>
      </w:r>
      <w:r w:rsidRPr="00496169">
        <w:rPr>
          <w:szCs w:val="22"/>
          <w:lang w:val="en-CA"/>
        </w:rPr>
        <w:t>JVET-N0074</w:t>
      </w:r>
      <w:r w:rsidR="003D4C4A">
        <w:rPr>
          <w:szCs w:val="22"/>
          <w:lang w:val="en-CA"/>
        </w:rPr>
        <w:t>.</w:t>
      </w:r>
    </w:p>
    <w:p w14:paraId="52AFE92C" w14:textId="77777777" w:rsidR="003D4C4A" w:rsidRDefault="003D4C4A" w:rsidP="008D183C">
      <w:pPr>
        <w:numPr>
          <w:ilvl w:val="0"/>
          <w:numId w:val="16"/>
        </w:numPr>
        <w:textAlignment w:val="auto"/>
        <w:rPr>
          <w:szCs w:val="22"/>
          <w:lang w:val="en-CA"/>
        </w:rPr>
      </w:pPr>
      <w:bookmarkStart w:id="3" w:name="_Ref2968116"/>
      <w:r>
        <w:rPr>
          <w:szCs w:val="22"/>
          <w:lang w:val="en-CA"/>
        </w:rPr>
        <w:t xml:space="preserve"> C.-M. Tsai, C.-C. Chen, C.-W. Hsu, Y.-W. Huang, and S.-M. Lei, “CE10-related: Simplification of local illumination compensation,” Document of Joint Video Experts Team, JVET-M0182.</w:t>
      </w:r>
      <w:bookmarkStart w:id="4" w:name="_Ref533585754"/>
      <w:bookmarkEnd w:id="3"/>
    </w:p>
    <w:p w14:paraId="3EAC9F3E" w14:textId="26938DDF" w:rsidR="00496169" w:rsidRPr="009143A6" w:rsidRDefault="003D4C4A" w:rsidP="008D183C">
      <w:pPr>
        <w:numPr>
          <w:ilvl w:val="0"/>
          <w:numId w:val="16"/>
        </w:numPr>
        <w:textAlignment w:val="auto"/>
        <w:rPr>
          <w:rStyle w:val="Hyperlink"/>
          <w:color w:val="auto"/>
          <w:szCs w:val="22"/>
          <w:u w:val="none"/>
          <w:lang w:val="en-CA"/>
        </w:rPr>
      </w:pPr>
      <w:r>
        <w:rPr>
          <w:szCs w:val="22"/>
          <w:lang w:val="en-CA"/>
        </w:rPr>
        <w:t xml:space="preserve"> </w:t>
      </w:r>
      <w:r w:rsidR="00496169" w:rsidRPr="008D183C">
        <w:rPr>
          <w:szCs w:val="22"/>
          <w:lang w:val="en-CA"/>
        </w:rPr>
        <w:t>VTM</w:t>
      </w:r>
      <w:r w:rsidRPr="008D183C">
        <w:rPr>
          <w:szCs w:val="22"/>
          <w:lang w:val="en-CA"/>
        </w:rPr>
        <w:t>5</w:t>
      </w:r>
      <w:r w:rsidR="00496169" w:rsidRPr="008D183C">
        <w:rPr>
          <w:szCs w:val="22"/>
          <w:lang w:val="en-CA"/>
        </w:rPr>
        <w:t xml:space="preserve">.0, available at </w:t>
      </w:r>
      <w:bookmarkEnd w:id="2"/>
      <w:bookmarkEnd w:id="4"/>
      <w:r w:rsidR="00496169" w:rsidRPr="008D183C">
        <w:rPr>
          <w:szCs w:val="22"/>
          <w:lang w:val="en-CA"/>
        </w:rPr>
        <w:t>https://vcgit.hhi.fraunhofer.de/jvet/VVCSoftware_VTM/tags/VTM-</w:t>
      </w:r>
      <w:r>
        <w:rPr>
          <w:szCs w:val="22"/>
          <w:lang w:val="en-CA"/>
        </w:rPr>
        <w:t>5</w:t>
      </w:r>
      <w:r w:rsidR="00496169" w:rsidRPr="008D183C">
        <w:rPr>
          <w:szCs w:val="22"/>
          <w:lang w:val="en-CA"/>
        </w:rPr>
        <w:t>.0</w:t>
      </w:r>
    </w:p>
    <w:p w14:paraId="7F65DA19" w14:textId="42FE9D46" w:rsidR="00496169" w:rsidRDefault="00496169" w:rsidP="00496169">
      <w:pPr>
        <w:numPr>
          <w:ilvl w:val="0"/>
          <w:numId w:val="16"/>
        </w:numPr>
        <w:textAlignment w:val="auto"/>
      </w:pPr>
      <w:r>
        <w:rPr>
          <w:szCs w:val="22"/>
          <w:lang w:val="en-CA"/>
        </w:rPr>
        <w:tab/>
      </w:r>
      <w:bookmarkStart w:id="5" w:name="_Ref531871856"/>
      <w:bookmarkStart w:id="6" w:name="_Ref517546181"/>
      <w:r>
        <w:rPr>
          <w:szCs w:val="22"/>
          <w:lang w:val="en-CA"/>
        </w:rPr>
        <w:t>F. Bossen, J. Boyce, X. Li, V. Seregin, and K. Sühring, “JVET common test conditions and software reference configurations for SDR video,” Document of Joint Video Experts Team, JVET-</w:t>
      </w:r>
      <w:r w:rsidR="003D4C4A">
        <w:rPr>
          <w:szCs w:val="22"/>
          <w:lang w:val="en-CA"/>
        </w:rPr>
        <w:t>N</w:t>
      </w:r>
      <w:r>
        <w:rPr>
          <w:szCs w:val="22"/>
          <w:lang w:val="en-CA"/>
        </w:rPr>
        <w:t>1010.</w:t>
      </w:r>
      <w:bookmarkEnd w:id="5"/>
      <w:bookmarkEnd w:id="6"/>
    </w:p>
    <w:p w14:paraId="1DDE839A" w14:textId="77777777" w:rsidR="00496169" w:rsidRPr="003C6834" w:rsidRDefault="00496169" w:rsidP="007B68B1">
      <w:pPr>
        <w:jc w:val="left"/>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62728AE" w:rsidR="00342FF4" w:rsidRPr="005B217D" w:rsidRDefault="005549EE" w:rsidP="009234A5">
      <w:pPr>
        <w:rPr>
          <w:szCs w:val="22"/>
          <w:lang w:val="en-CA"/>
        </w:rPr>
      </w:pPr>
      <w:r>
        <w:rPr>
          <w:b/>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4F4E1E8" w14:textId="6EE6A87D" w:rsidR="005549EE" w:rsidRPr="005B217D" w:rsidRDefault="005549EE" w:rsidP="005549EE">
      <w:pPr>
        <w:rPr>
          <w:szCs w:val="22"/>
          <w:lang w:val="en-CA"/>
        </w:rPr>
      </w:pPr>
      <w:r>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DD1DAE0" w14:textId="22DF71E2" w:rsidR="005549EE" w:rsidRPr="005B217D" w:rsidRDefault="00D62ABF" w:rsidP="005549EE">
      <w:pPr>
        <w:rPr>
          <w:szCs w:val="22"/>
          <w:lang w:val="en-CA"/>
        </w:rPr>
      </w:pPr>
      <w:r>
        <w:rPr>
          <w:b/>
          <w:szCs w:val="22"/>
          <w:lang w:val="en-CA"/>
        </w:rPr>
        <w:t>Huawei Technologies Co., Ltd</w:t>
      </w:r>
      <w:r w:rsidRPr="005B217D">
        <w:rPr>
          <w:b/>
          <w:szCs w:val="22"/>
          <w:lang w:val="en-CA"/>
        </w:rPr>
        <w:t xml:space="preserve"> </w:t>
      </w:r>
      <w:r w:rsidR="005549EE"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8E05F" w14:textId="77777777" w:rsidR="006E73B7" w:rsidRDefault="006E73B7">
      <w:r>
        <w:separator/>
      </w:r>
    </w:p>
  </w:endnote>
  <w:endnote w:type="continuationSeparator" w:id="0">
    <w:p w14:paraId="1910DB63" w14:textId="77777777" w:rsidR="006E73B7" w:rsidRDefault="006E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DDC690" w:rsidR="00D55DCF" w:rsidRPr="00C00DDE" w:rsidRDefault="00D55DC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32F4">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43A6">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99A6E" w14:textId="77777777" w:rsidR="006E73B7" w:rsidRDefault="006E73B7">
      <w:r>
        <w:separator/>
      </w:r>
    </w:p>
  </w:footnote>
  <w:footnote w:type="continuationSeparator" w:id="0">
    <w:p w14:paraId="36A6906B" w14:textId="77777777" w:rsidR="006E73B7" w:rsidRDefault="006E7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90944"/>
    <w:multiLevelType w:val="hybridMultilevel"/>
    <w:tmpl w:val="B6A8CC90"/>
    <w:lvl w:ilvl="0" w:tplc="78E6B120">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360D78"/>
    <w:multiLevelType w:val="hybridMultilevel"/>
    <w:tmpl w:val="C8EA5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5"/>
  </w:num>
  <w:num w:numId="14">
    <w:abstractNumId w:val="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94B"/>
    <w:rsid w:val="00015EAA"/>
    <w:rsid w:val="000308A3"/>
    <w:rsid w:val="000458BC"/>
    <w:rsid w:val="00045C41"/>
    <w:rsid w:val="00046C03"/>
    <w:rsid w:val="00065039"/>
    <w:rsid w:val="0007614F"/>
    <w:rsid w:val="00081398"/>
    <w:rsid w:val="000832F4"/>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6834"/>
    <w:rsid w:val="003D4C4A"/>
    <w:rsid w:val="003D6342"/>
    <w:rsid w:val="003E6F90"/>
    <w:rsid w:val="003E73ED"/>
    <w:rsid w:val="003F5D0F"/>
    <w:rsid w:val="00414101"/>
    <w:rsid w:val="004219CF"/>
    <w:rsid w:val="004234F0"/>
    <w:rsid w:val="00433DDB"/>
    <w:rsid w:val="00435A29"/>
    <w:rsid w:val="00437619"/>
    <w:rsid w:val="00445332"/>
    <w:rsid w:val="00465A1E"/>
    <w:rsid w:val="0049445A"/>
    <w:rsid w:val="00496169"/>
    <w:rsid w:val="004A2A63"/>
    <w:rsid w:val="004B210C"/>
    <w:rsid w:val="004D405F"/>
    <w:rsid w:val="004E38E8"/>
    <w:rsid w:val="004E4F4F"/>
    <w:rsid w:val="004E6789"/>
    <w:rsid w:val="004F61E3"/>
    <w:rsid w:val="00502E10"/>
    <w:rsid w:val="0051015C"/>
    <w:rsid w:val="00516CF1"/>
    <w:rsid w:val="00531AE9"/>
    <w:rsid w:val="00536188"/>
    <w:rsid w:val="0055095E"/>
    <w:rsid w:val="00550A66"/>
    <w:rsid w:val="005549EE"/>
    <w:rsid w:val="00567EC7"/>
    <w:rsid w:val="00570013"/>
    <w:rsid w:val="005753EC"/>
    <w:rsid w:val="00576D5A"/>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E73B7"/>
    <w:rsid w:val="006F0794"/>
    <w:rsid w:val="006F7528"/>
    <w:rsid w:val="007023DE"/>
    <w:rsid w:val="00712F60"/>
    <w:rsid w:val="00720E3B"/>
    <w:rsid w:val="00735923"/>
    <w:rsid w:val="0074393F"/>
    <w:rsid w:val="00745F6B"/>
    <w:rsid w:val="0075175B"/>
    <w:rsid w:val="0075585E"/>
    <w:rsid w:val="00770571"/>
    <w:rsid w:val="007768FF"/>
    <w:rsid w:val="007824D3"/>
    <w:rsid w:val="00790998"/>
    <w:rsid w:val="00796EE3"/>
    <w:rsid w:val="007A7D29"/>
    <w:rsid w:val="007B4AB8"/>
    <w:rsid w:val="007B68B1"/>
    <w:rsid w:val="007D1181"/>
    <w:rsid w:val="007E01A3"/>
    <w:rsid w:val="007F1F8B"/>
    <w:rsid w:val="007F67A1"/>
    <w:rsid w:val="00811C05"/>
    <w:rsid w:val="008206C8"/>
    <w:rsid w:val="0086387C"/>
    <w:rsid w:val="00874A6C"/>
    <w:rsid w:val="00876C65"/>
    <w:rsid w:val="00882F72"/>
    <w:rsid w:val="00890197"/>
    <w:rsid w:val="008A4B4C"/>
    <w:rsid w:val="008C239F"/>
    <w:rsid w:val="008D183C"/>
    <w:rsid w:val="008E480C"/>
    <w:rsid w:val="008E4D01"/>
    <w:rsid w:val="008F2F0A"/>
    <w:rsid w:val="00907757"/>
    <w:rsid w:val="009143A6"/>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2CD3"/>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C1280"/>
    <w:rsid w:val="00AC160B"/>
    <w:rsid w:val="00AD05A8"/>
    <w:rsid w:val="00AE341B"/>
    <w:rsid w:val="00B01905"/>
    <w:rsid w:val="00B07CA7"/>
    <w:rsid w:val="00B1279A"/>
    <w:rsid w:val="00B3640F"/>
    <w:rsid w:val="00B4194A"/>
    <w:rsid w:val="00B437E8"/>
    <w:rsid w:val="00B5222E"/>
    <w:rsid w:val="00B53179"/>
    <w:rsid w:val="00B552C3"/>
    <w:rsid w:val="00B57A23"/>
    <w:rsid w:val="00B600CD"/>
    <w:rsid w:val="00B61C96"/>
    <w:rsid w:val="00B73A2A"/>
    <w:rsid w:val="00B75A51"/>
    <w:rsid w:val="00B827C6"/>
    <w:rsid w:val="00B94B06"/>
    <w:rsid w:val="00B94C28"/>
    <w:rsid w:val="00B9512A"/>
    <w:rsid w:val="00BC10BA"/>
    <w:rsid w:val="00BC5AFD"/>
    <w:rsid w:val="00BE516D"/>
    <w:rsid w:val="00C00DDE"/>
    <w:rsid w:val="00C04F43"/>
    <w:rsid w:val="00C0609D"/>
    <w:rsid w:val="00C115AB"/>
    <w:rsid w:val="00C26CCB"/>
    <w:rsid w:val="00C30249"/>
    <w:rsid w:val="00C3723B"/>
    <w:rsid w:val="00C42466"/>
    <w:rsid w:val="00C606C9"/>
    <w:rsid w:val="00C67500"/>
    <w:rsid w:val="00C80288"/>
    <w:rsid w:val="00C84003"/>
    <w:rsid w:val="00C90650"/>
    <w:rsid w:val="00C97D78"/>
    <w:rsid w:val="00CC2AAE"/>
    <w:rsid w:val="00CC5A42"/>
    <w:rsid w:val="00CD0EAB"/>
    <w:rsid w:val="00CD145A"/>
    <w:rsid w:val="00CE5E02"/>
    <w:rsid w:val="00CF34DB"/>
    <w:rsid w:val="00CF3917"/>
    <w:rsid w:val="00CF558F"/>
    <w:rsid w:val="00D010C0"/>
    <w:rsid w:val="00D0495C"/>
    <w:rsid w:val="00D073E2"/>
    <w:rsid w:val="00D31BD6"/>
    <w:rsid w:val="00D40DA7"/>
    <w:rsid w:val="00D446EC"/>
    <w:rsid w:val="00D51BF0"/>
    <w:rsid w:val="00D531DB"/>
    <w:rsid w:val="00D55942"/>
    <w:rsid w:val="00D55DCF"/>
    <w:rsid w:val="00D62ABF"/>
    <w:rsid w:val="00D807BF"/>
    <w:rsid w:val="00D82FCC"/>
    <w:rsid w:val="00DA17FC"/>
    <w:rsid w:val="00DA7887"/>
    <w:rsid w:val="00DB2C26"/>
    <w:rsid w:val="00DD02F4"/>
    <w:rsid w:val="00DD6622"/>
    <w:rsid w:val="00DE1C7C"/>
    <w:rsid w:val="00DE6B43"/>
    <w:rsid w:val="00E11923"/>
    <w:rsid w:val="00E262D4"/>
    <w:rsid w:val="00E36250"/>
    <w:rsid w:val="00E44039"/>
    <w:rsid w:val="00E44DEE"/>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5CF9"/>
    <w:rsid w:val="00F2488D"/>
    <w:rsid w:val="00F2779C"/>
    <w:rsid w:val="00F601A0"/>
    <w:rsid w:val="00F712E9"/>
    <w:rsid w:val="00F73032"/>
    <w:rsid w:val="00F848FC"/>
    <w:rsid w:val="00F906F6"/>
    <w:rsid w:val="00F9282A"/>
    <w:rsid w:val="00F96BAD"/>
    <w:rsid w:val="00FA139D"/>
    <w:rsid w:val="00FA60F5"/>
    <w:rsid w:val="00FB0E84"/>
    <w:rsid w:val="00FB7019"/>
    <w:rsid w:val="00FC2405"/>
    <w:rsid w:val="00FC3342"/>
    <w:rsid w:val="00FD01B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FC3342"/>
    <w:rPr>
      <w:color w:val="605E5C"/>
      <w:shd w:val="clear" w:color="auto" w:fill="E1DFDD"/>
    </w:rPr>
  </w:style>
  <w:style w:type="paragraph" w:styleId="ListParagraph">
    <w:name w:val="List Paragraph"/>
    <w:basedOn w:val="Normal"/>
    <w:link w:val="ListParagraphChar"/>
    <w:uiPriority w:val="34"/>
    <w:qFormat/>
    <w:rsid w:val="003C68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SimSun" w:hAnsi="Calibri" w:cs="Arial"/>
      <w:szCs w:val="22"/>
    </w:rPr>
  </w:style>
  <w:style w:type="character" w:customStyle="1" w:styleId="ListParagraphChar">
    <w:name w:val="List Paragraph Char"/>
    <w:link w:val="ListParagraph"/>
    <w:uiPriority w:val="34"/>
    <w:locked/>
    <w:rsid w:val="003C6834"/>
    <w:rPr>
      <w:rFonts w:ascii="Calibri" w:eastAsia="SimSun" w:hAnsi="Calibri" w:cs="Arial"/>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CD145A"/>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D145A"/>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02351">
      <w:bodyDiv w:val="1"/>
      <w:marLeft w:val="0"/>
      <w:marRight w:val="0"/>
      <w:marTop w:val="0"/>
      <w:marBottom w:val="0"/>
      <w:divBdr>
        <w:top w:val="none" w:sz="0" w:space="0" w:color="auto"/>
        <w:left w:val="none" w:sz="0" w:space="0" w:color="auto"/>
        <w:bottom w:val="none" w:sz="0" w:space="0" w:color="auto"/>
        <w:right w:val="none" w:sz="0" w:space="0" w:color="auto"/>
      </w:divBdr>
    </w:div>
    <w:div w:id="553810071">
      <w:bodyDiv w:val="1"/>
      <w:marLeft w:val="0"/>
      <w:marRight w:val="0"/>
      <w:marTop w:val="0"/>
      <w:marBottom w:val="0"/>
      <w:divBdr>
        <w:top w:val="none" w:sz="0" w:space="0" w:color="auto"/>
        <w:left w:val="none" w:sz="0" w:space="0" w:color="auto"/>
        <w:bottom w:val="none" w:sz="0" w:space="0" w:color="auto"/>
        <w:right w:val="none" w:sz="0" w:space="0" w:color="auto"/>
      </w:divBdr>
    </w:div>
    <w:div w:id="1021935507">
      <w:bodyDiv w:val="1"/>
      <w:marLeft w:val="0"/>
      <w:marRight w:val="0"/>
      <w:marTop w:val="0"/>
      <w:marBottom w:val="0"/>
      <w:divBdr>
        <w:top w:val="none" w:sz="0" w:space="0" w:color="auto"/>
        <w:left w:val="none" w:sz="0" w:space="0" w:color="auto"/>
        <w:bottom w:val="none" w:sz="0" w:space="0" w:color="auto"/>
        <w:right w:val="none" w:sz="0" w:space="0" w:color="auto"/>
      </w:divBdr>
    </w:div>
    <w:div w:id="1146900129">
      <w:bodyDiv w:val="1"/>
      <w:marLeft w:val="0"/>
      <w:marRight w:val="0"/>
      <w:marTop w:val="0"/>
      <w:marBottom w:val="0"/>
      <w:divBdr>
        <w:top w:val="none" w:sz="0" w:space="0" w:color="auto"/>
        <w:left w:val="none" w:sz="0" w:space="0" w:color="auto"/>
        <w:bottom w:val="none" w:sz="0" w:space="0" w:color="auto"/>
        <w:right w:val="none" w:sz="0" w:space="0" w:color="auto"/>
      </w:divBdr>
    </w:div>
    <w:div w:id="1168598180">
      <w:bodyDiv w:val="1"/>
      <w:marLeft w:val="0"/>
      <w:marRight w:val="0"/>
      <w:marTop w:val="0"/>
      <w:marBottom w:val="0"/>
      <w:divBdr>
        <w:top w:val="none" w:sz="0" w:space="0" w:color="auto"/>
        <w:left w:val="none" w:sz="0" w:space="0" w:color="auto"/>
        <w:bottom w:val="none" w:sz="0" w:space="0" w:color="auto"/>
        <w:right w:val="none" w:sz="0" w:space="0" w:color="auto"/>
      </w:divBdr>
    </w:div>
    <w:div w:id="1280650335">
      <w:bodyDiv w:val="1"/>
      <w:marLeft w:val="0"/>
      <w:marRight w:val="0"/>
      <w:marTop w:val="0"/>
      <w:marBottom w:val="0"/>
      <w:divBdr>
        <w:top w:val="none" w:sz="0" w:space="0" w:color="auto"/>
        <w:left w:val="none" w:sz="0" w:space="0" w:color="auto"/>
        <w:bottom w:val="none" w:sz="0" w:space="0" w:color="auto"/>
        <w:right w:val="none" w:sz="0" w:space="0" w:color="auto"/>
      </w:divBdr>
    </w:div>
    <w:div w:id="1339116036">
      <w:bodyDiv w:val="1"/>
      <w:marLeft w:val="0"/>
      <w:marRight w:val="0"/>
      <w:marTop w:val="0"/>
      <w:marBottom w:val="0"/>
      <w:divBdr>
        <w:top w:val="none" w:sz="0" w:space="0" w:color="auto"/>
        <w:left w:val="none" w:sz="0" w:space="0" w:color="auto"/>
        <w:bottom w:val="none" w:sz="0" w:space="0" w:color="auto"/>
        <w:right w:val="none" w:sz="0" w:space="0" w:color="auto"/>
      </w:divBdr>
    </w:div>
    <w:div w:id="16208388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443740">
      <w:bodyDiv w:val="1"/>
      <w:marLeft w:val="0"/>
      <w:marRight w:val="0"/>
      <w:marTop w:val="0"/>
      <w:marBottom w:val="0"/>
      <w:divBdr>
        <w:top w:val="none" w:sz="0" w:space="0" w:color="auto"/>
        <w:left w:val="none" w:sz="0" w:space="0" w:color="auto"/>
        <w:bottom w:val="none" w:sz="0" w:space="0" w:color="auto"/>
        <w:right w:val="none" w:sz="0" w:space="0" w:color="auto"/>
      </w:divBdr>
    </w:div>
    <w:div w:id="203785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chenhuanbang@huawei.com" TargetMode="External"/><Relationship Id="rId4" Type="http://schemas.openxmlformats.org/officeDocument/2006/relationships/webSettings" Target="webSettings.xml"/><Relationship Id="rId9" Type="http://schemas.openxmlformats.org/officeDocument/2006/relationships/hyperlink" Target="mailto:vseregin@qti.qualcomm.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1475</Words>
  <Characters>8413</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cp:revision>
  <cp:lastPrinted>1900-01-01T08:00:00Z</cp:lastPrinted>
  <dcterms:created xsi:type="dcterms:W3CDTF">2019-06-17T18:05:00Z</dcterms:created>
  <dcterms:modified xsi:type="dcterms:W3CDTF">2019-06-17T18:12:00Z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365799097</vt:i4>
  </property>
  <property fmtid="{D5CDD505-2E9C-101B-9397-08002B2CF9AE}" pid="4" name="_EmailSubject">
    <vt:lpwstr>CE4-3.1 (Combination of LIC and affine MC)</vt:lpwstr>
  </property>
  <property fmtid="{D5CDD505-2E9C-101B-9397-08002B2CF9AE}" pid="5" name="_AuthorEmail">
    <vt:lpwstr>Chia-ming.Tsai@mediatek.com</vt:lpwstr>
  </property>
  <property fmtid="{D5CDD505-2E9C-101B-9397-08002B2CF9AE}" pid="6" name="_AuthorEmailDisplayName">
    <vt:lpwstr>Chia-ming Tsai (蔡佳銘)</vt:lpwstr>
  </property>
  <property fmtid="{D5CDD505-2E9C-101B-9397-08002B2CF9AE}" pid="7" name="_ReviewingToolsShownOnce">
    <vt:lpwstr/>
  </property>
</Properties>
</file>