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4AFDD59" w:rsidR="00E61DAC" w:rsidRPr="005B217D" w:rsidRDefault="006D32E2" w:rsidP="006B78DD">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25E46893" w:rsidR="008A4B4C" w:rsidRPr="005B217D" w:rsidRDefault="00E61DAC" w:rsidP="00E012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B5782">
              <w:rPr>
                <w:lang w:val="en-CA"/>
              </w:rPr>
              <w:t>O</w:t>
            </w:r>
            <w:r w:rsidR="006B78DD">
              <w:rPr>
                <w:lang w:val="en-CA"/>
              </w:rPr>
              <w:t>0016</w:t>
            </w:r>
            <w:r w:rsidR="00D53948" w:rsidRPr="00D539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B17059" w:rsidR="00800B17" w:rsidRPr="005B217D" w:rsidRDefault="00800B17" w:rsidP="00362A73">
            <w:pPr>
              <w:spacing w:before="0"/>
              <w:rPr>
                <w:szCs w:val="22"/>
                <w:lang w:val="en-CA"/>
              </w:rPr>
            </w:pPr>
            <w:r>
              <w:rPr>
                <w:lang w:eastAsia="zh-TW"/>
              </w:rPr>
              <w:t xml:space="preserve">M. Zhou,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4F362D"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4F362D"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4F362D"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4F362D"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4F362D"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2C2ABFD" w14:textId="15235796" w:rsidR="00800B17" w:rsidRPr="007C2DDC" w:rsidRDefault="00396244" w:rsidP="007C2DDC">
            <w:pPr>
              <w:spacing w:before="0"/>
              <w:rPr>
                <w:sz w:val="20"/>
                <w:szCs w:val="22"/>
                <w:lang w:val="en-CA"/>
              </w:rPr>
            </w:pPr>
            <w:r w:rsidRPr="00396244">
              <w:rPr>
                <w:rStyle w:val="Hyperlink"/>
                <w:szCs w:val="22"/>
                <w:lang w:val="en-CA"/>
              </w:rPr>
              <w:t>xiaoyuxiu@kwai.com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17CB734E"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6B78DD">
        <w:t>implementation studies</w:t>
      </w:r>
      <w:r w:rsidR="00146ADF">
        <w:t>,</w:t>
      </w:r>
      <w:r w:rsidRPr="009170B1">
        <w:rPr>
          <w:lang w:val="en-GB"/>
        </w:rPr>
        <w:t xml:space="preserve"> </w:t>
      </w:r>
      <w:r w:rsidR="00146ADF">
        <w:rPr>
          <w:lang w:val="en-GB"/>
        </w:rPr>
        <w:t xml:space="preserve">between </w:t>
      </w:r>
      <w:r w:rsidR="007C2DDC">
        <w:rPr>
          <w:lang w:val="en-CA"/>
        </w:rPr>
        <w:t xml:space="preserve">the </w:t>
      </w:r>
      <w:r w:rsidR="002212A6">
        <w:rPr>
          <w:lang w:val="en-CA"/>
        </w:rPr>
        <w:t>14</w:t>
      </w:r>
      <w:r w:rsidR="002212A6" w:rsidRPr="002212A6">
        <w:rPr>
          <w:vertAlign w:val="superscript"/>
          <w:lang w:val="en-CA"/>
        </w:rPr>
        <w:t>th</w:t>
      </w:r>
      <w:r w:rsidR="002212A6">
        <w:rPr>
          <w:lang w:val="en-CA"/>
        </w:rPr>
        <w:t xml:space="preserve"> </w:t>
      </w:r>
      <w:r w:rsidR="00347D8C">
        <w:rPr>
          <w:lang w:val="en-CA"/>
        </w:rPr>
        <w:t xml:space="preserve">JVET meeting </w:t>
      </w:r>
      <w:r w:rsidR="002212A6">
        <w:rPr>
          <w:lang w:val="en-CA"/>
        </w:rPr>
        <w:t>in</w:t>
      </w:r>
      <w:r w:rsidR="00347D8C">
        <w:rPr>
          <w:lang w:val="en-CA"/>
        </w:rPr>
        <w:t xml:space="preserve"> </w:t>
      </w:r>
      <w:r w:rsidR="002212A6">
        <w:rPr>
          <w:lang w:val="en-CA"/>
        </w:rPr>
        <w:t>Geneva, CH (</w:t>
      </w:r>
      <w:r w:rsidR="002212A6" w:rsidRPr="0048323B">
        <w:rPr>
          <w:lang w:val="en-CA"/>
        </w:rPr>
        <w:t>19–27 March 2019</w:t>
      </w:r>
      <w:r w:rsidR="003D5CFF">
        <w:rPr>
          <w:lang w:val="en-CA"/>
        </w:rPr>
        <w:t>) and the 15</w:t>
      </w:r>
      <w:r w:rsidR="003D5CFF" w:rsidRPr="002212A6">
        <w:rPr>
          <w:vertAlign w:val="superscript"/>
          <w:lang w:val="en-CA"/>
        </w:rPr>
        <w:t>th</w:t>
      </w:r>
      <w:r w:rsidR="003D5CFF">
        <w:rPr>
          <w:lang w:val="en-CA"/>
        </w:rPr>
        <w:t xml:space="preserve"> JVET meeting in Gothenburg, SE (3-12 July 2019)</w:t>
      </w:r>
      <w:r w:rsidR="00E87CE1">
        <w:rPr>
          <w:lang w:val="en-CA"/>
        </w:rPr>
        <w:t>.</w:t>
      </w:r>
    </w:p>
    <w:p w14:paraId="1539A21D" w14:textId="441A97CC" w:rsidR="001F2594" w:rsidRDefault="000314A6" w:rsidP="009234A5">
      <w:pPr>
        <w:rPr>
          <w:lang w:val="en-CA"/>
        </w:rPr>
      </w:pPr>
      <w:r>
        <w:rPr>
          <w:lang w:val="en-CA"/>
        </w:rPr>
        <w:t>The AHG was established with the following mandates:</w:t>
      </w:r>
    </w:p>
    <w:p w14:paraId="4E1869A4"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0731F5F6" w14:textId="4299C02A" w:rsidR="0006098B" w:rsidRDefault="00DF678A" w:rsidP="00E66BC2">
      <w:pPr>
        <w:numPr>
          <w:ilvl w:val="0"/>
          <w:numId w:val="3"/>
        </w:numPr>
      </w:pPr>
      <w:r w:rsidRPr="00F23A45">
        <w:t>Provide feedback on potential solutio</w:t>
      </w:r>
      <w:r>
        <w:t>ns to address identified issues</w:t>
      </w:r>
      <w:r w:rsidR="0006098B">
        <w:rPr>
          <w:color w:val="000000"/>
        </w:rPr>
        <w:t>.</w:t>
      </w:r>
    </w:p>
    <w:p w14:paraId="4FEC1B84" w14:textId="0A16A60F" w:rsidR="002212A6" w:rsidRPr="002212A6" w:rsidRDefault="00693CE0" w:rsidP="00942E2E">
      <w:pPr>
        <w:pStyle w:val="Heading1"/>
        <w:rPr>
          <w:lang w:val="en-CA"/>
        </w:rPr>
      </w:pPr>
      <w:r>
        <w:rPr>
          <w:lang w:val="en-CA"/>
        </w:rPr>
        <w:t>Activities</w:t>
      </w:r>
    </w:p>
    <w:p w14:paraId="7AD11CD9" w14:textId="77777777" w:rsidR="00A723CB" w:rsidRDefault="00A723CB" w:rsidP="00A723CB">
      <w:pPr>
        <w:rPr>
          <w:lang w:val="en-CA"/>
        </w:rPr>
      </w:pPr>
      <w:r>
        <w:rPr>
          <w:lang w:val="en-CA"/>
        </w:rPr>
        <w:t>There were not many email exchanges on the main JVET email reflector (</w:t>
      </w:r>
      <w:hyperlink r:id="rId16" w:history="1">
        <w:r w:rsidRPr="00E54746">
          <w:rPr>
            <w:rStyle w:val="Hyperlink"/>
            <w:lang w:val="en-CA"/>
          </w:rPr>
          <w:t>jvet@lists.rwth-aachen.de</w:t>
        </w:r>
      </w:hyperlink>
      <w:r>
        <w:rPr>
          <w:lang w:val="en-CA"/>
        </w:rPr>
        <w:t xml:space="preserve">) with an [AHG16] indication on message headers. A summary of the AHG activities is provided as follows: </w:t>
      </w:r>
    </w:p>
    <w:p w14:paraId="6DE2E1DE" w14:textId="150F17F3" w:rsidR="003D5CFF" w:rsidRPr="003D5CFF" w:rsidRDefault="003D5CFF" w:rsidP="003D5CFF">
      <w:pPr>
        <w:pStyle w:val="Heading2"/>
        <w:rPr>
          <w:bCs w:val="0"/>
          <w:i w:val="0"/>
          <w:iCs w:val="0"/>
        </w:rPr>
      </w:pPr>
      <w:r>
        <w:rPr>
          <w:rStyle w:val="Emphasis"/>
          <w:lang w:val="en-CA"/>
        </w:rPr>
        <w:t>Comments on the current VTM5.0 design and some of tools being tested</w:t>
      </w:r>
    </w:p>
    <w:p w14:paraId="3EC2128F" w14:textId="77777777" w:rsidR="003D5CFF" w:rsidRPr="00F87F53" w:rsidRDefault="003D5CFF" w:rsidP="003D5CFF">
      <w:pPr>
        <w:pStyle w:val="ListParagraph"/>
        <w:numPr>
          <w:ilvl w:val="0"/>
          <w:numId w:val="35"/>
        </w:numPr>
        <w:rPr>
          <w:szCs w:val="22"/>
        </w:rPr>
      </w:pPr>
      <w:r w:rsidRPr="00F87F53">
        <w:rPr>
          <w:szCs w:val="22"/>
        </w:rPr>
        <w:t>It is strongly recommended to simply remove the 1xN/2xN sub-partitions from the intra sub-partition prediction (ISP) to alleviate implementation difficulties in both the intra prediction and transform parts of the design. It is not desirable to make the design even more complicated by introducing more small size sub-partitions.  </w:t>
      </w:r>
    </w:p>
    <w:p w14:paraId="34E094C2" w14:textId="66E86712" w:rsidR="003D5CFF" w:rsidRPr="00F87F53" w:rsidRDefault="003D5CFF" w:rsidP="003D5CFF">
      <w:pPr>
        <w:pStyle w:val="ListParagraph"/>
        <w:numPr>
          <w:ilvl w:val="0"/>
          <w:numId w:val="35"/>
        </w:numPr>
        <w:rPr>
          <w:szCs w:val="22"/>
        </w:rPr>
      </w:pPr>
      <w:r w:rsidRPr="00F87F53">
        <w:rPr>
          <w:szCs w:val="22"/>
        </w:rPr>
        <w:t xml:space="preserve">The CE2 tests aiming for the reduction of the </w:t>
      </w:r>
      <w:proofErr w:type="spellStart"/>
      <w:r w:rsidRPr="00F87F53">
        <w:rPr>
          <w:szCs w:val="22"/>
        </w:rPr>
        <w:t>chroma</w:t>
      </w:r>
      <w:proofErr w:type="spellEnd"/>
      <w:r w:rsidRPr="00F87F53">
        <w:rPr>
          <w:szCs w:val="22"/>
        </w:rPr>
        <w:t xml:space="preserve"> reconstruction latency (caused by the combination of separate tree and CCLM) may not serve the purpose, as the derivation of the </w:t>
      </w:r>
      <w:proofErr w:type="spellStart"/>
      <w:r w:rsidRPr="00F87F53">
        <w:rPr>
          <w:szCs w:val="22"/>
        </w:rPr>
        <w:t>cclmEnabled</w:t>
      </w:r>
      <w:proofErr w:type="spellEnd"/>
      <w:r w:rsidRPr="00F87F53">
        <w:rPr>
          <w:szCs w:val="22"/>
        </w:rPr>
        <w:t xml:space="preserve"> flag is a complex process and the CABAC parsing depends on it. It is hence recommended to seek simplifications outside the CE.</w:t>
      </w:r>
    </w:p>
    <w:p w14:paraId="584231CD" w14:textId="77777777" w:rsidR="003D5CFF" w:rsidRPr="00F87F53" w:rsidRDefault="003D5CFF" w:rsidP="003D5CFF">
      <w:pPr>
        <w:pStyle w:val="ListParagraph"/>
        <w:numPr>
          <w:ilvl w:val="0"/>
          <w:numId w:val="35"/>
        </w:numPr>
        <w:rPr>
          <w:szCs w:val="22"/>
        </w:rPr>
      </w:pPr>
      <w:r w:rsidRPr="00F87F53">
        <w:rPr>
          <w:szCs w:val="22"/>
        </w:rPr>
        <w:t xml:space="preserve">There are CE tests going on to move the validity check of </w:t>
      </w:r>
      <w:proofErr w:type="spellStart"/>
      <w:r w:rsidRPr="00F87F53">
        <w:rPr>
          <w:szCs w:val="22"/>
        </w:rPr>
        <w:t>luma</w:t>
      </w:r>
      <w:proofErr w:type="spellEnd"/>
      <w:r w:rsidRPr="00F87F53">
        <w:rPr>
          <w:szCs w:val="22"/>
        </w:rPr>
        <w:t>/</w:t>
      </w:r>
      <w:proofErr w:type="spellStart"/>
      <w:r w:rsidRPr="00F87F53">
        <w:rPr>
          <w:szCs w:val="22"/>
        </w:rPr>
        <w:t>chroma</w:t>
      </w:r>
      <w:proofErr w:type="spellEnd"/>
      <w:r w:rsidRPr="00F87F53">
        <w:rPr>
          <w:szCs w:val="22"/>
        </w:rPr>
        <w:t xml:space="preserve"> IBC vectors to the decoder side. While those methods may make decoder designs safer, it should be investigated whether there are enough cycles on the decoder side to do the check, as the operation is down to 4x4 for </w:t>
      </w:r>
      <w:proofErr w:type="spellStart"/>
      <w:r w:rsidRPr="00F87F53">
        <w:rPr>
          <w:szCs w:val="22"/>
        </w:rPr>
        <w:t>luma</w:t>
      </w:r>
      <w:proofErr w:type="spellEnd"/>
      <w:r w:rsidRPr="00F87F53">
        <w:rPr>
          <w:szCs w:val="22"/>
        </w:rPr>
        <w:t xml:space="preserve"> and 2x2 for </w:t>
      </w:r>
      <w:proofErr w:type="spellStart"/>
      <w:r w:rsidRPr="00F87F53">
        <w:rPr>
          <w:szCs w:val="22"/>
        </w:rPr>
        <w:t>chroma</w:t>
      </w:r>
      <w:proofErr w:type="spellEnd"/>
      <w:r w:rsidRPr="00F87F53">
        <w:rPr>
          <w:szCs w:val="22"/>
        </w:rPr>
        <w:t xml:space="preserve"> in the worst case. </w:t>
      </w:r>
    </w:p>
    <w:p w14:paraId="1E0D7D41" w14:textId="7E7D6C6C" w:rsidR="003D5CFF" w:rsidRPr="00F87F53" w:rsidRDefault="003D5CFF" w:rsidP="003D5CFF">
      <w:pPr>
        <w:pStyle w:val="ListParagraph"/>
        <w:numPr>
          <w:ilvl w:val="0"/>
          <w:numId w:val="35"/>
        </w:numPr>
        <w:rPr>
          <w:szCs w:val="22"/>
        </w:rPr>
      </w:pPr>
      <w:r w:rsidRPr="00F87F53">
        <w:rPr>
          <w:szCs w:val="22"/>
        </w:rPr>
        <w:t xml:space="preserve">The newly adopted residual coding for transform skip is significantly different from the existing residual coding method, requiring yet another building block.  It codes the coefficients in reverse order, requires three additional loops through all the coefficients for gt3/gt4/gt5 coding, and does not benefit coding of camera captured content. It is desirable to align it with the existing residual coding </w:t>
      </w:r>
      <w:r w:rsidRPr="00F87F53">
        <w:rPr>
          <w:szCs w:val="22"/>
        </w:rPr>
        <w:lastRenderedPageBreak/>
        <w:t>in terms of coefficient coding order and to reduce the number of coefficient coding passes/loops for CABAC throughput improvement and cost reduction.</w:t>
      </w:r>
    </w:p>
    <w:p w14:paraId="068AEB67" w14:textId="77777777" w:rsidR="003D5CFF" w:rsidRPr="00F87F53" w:rsidRDefault="003D5CFF" w:rsidP="003D5CFF">
      <w:pPr>
        <w:pStyle w:val="ListParagraph"/>
        <w:numPr>
          <w:ilvl w:val="0"/>
          <w:numId w:val="35"/>
        </w:numPr>
        <w:rPr>
          <w:szCs w:val="22"/>
        </w:rPr>
      </w:pPr>
      <w:r w:rsidRPr="00F87F53">
        <w:rPr>
          <w:szCs w:val="22"/>
        </w:rPr>
        <w:t xml:space="preserve">For the baseline VVC design, it is generally not recommended to introduce more context coded bins and specific processing logic for minor gain in SCC without benefiting coding of camera captured content, because doing so not only decreases the CABAC throughput but also adds cost. It might be more appropriate to study those for more complex profiles. </w:t>
      </w:r>
    </w:p>
    <w:p w14:paraId="1A757828" w14:textId="2F4FA8CF" w:rsidR="003D5CFF" w:rsidRPr="00F87F53" w:rsidRDefault="003D5CFF" w:rsidP="003D5CFF">
      <w:pPr>
        <w:pStyle w:val="ListParagraph"/>
        <w:numPr>
          <w:ilvl w:val="0"/>
          <w:numId w:val="35"/>
        </w:numPr>
        <w:rPr>
          <w:szCs w:val="22"/>
        </w:rPr>
      </w:pPr>
      <w:r w:rsidRPr="00F87F53">
        <w:rPr>
          <w:szCs w:val="22"/>
        </w:rPr>
        <w:t>The maximum number of distinct APSs that a picture can use for the ALF and LMCS should be properly defined, in order to constrain the memory footprint required for storing ALF/LMCS parameters and computational complexity needed for LMCS table derivation (which has divisions in it).  For example, the current design allows up to 32 APSs signaled. It would require roughly 1</w:t>
      </w:r>
      <w:r w:rsidR="00CC26AE" w:rsidRPr="00F87F53">
        <w:rPr>
          <w:szCs w:val="22"/>
        </w:rPr>
        <w:t>3</w:t>
      </w:r>
      <w:r w:rsidRPr="00F87F53">
        <w:rPr>
          <w:szCs w:val="22"/>
        </w:rPr>
        <w:t xml:space="preserve"> Kbytes on-chip memory to buffer those APSs if all of them are used for the ALF of a picture (not counting fixed filters that need roughly 1 Kbytes additional memory).    </w:t>
      </w:r>
      <w:r w:rsidR="00CC26AE" w:rsidRPr="00F87F53">
        <w:rPr>
          <w:szCs w:val="22"/>
        </w:rPr>
        <w:t>Each ALF parameter set has about 410 bytes.</w:t>
      </w:r>
      <w:r w:rsidRPr="00F87F53">
        <w:rPr>
          <w:szCs w:val="22"/>
        </w:rPr>
        <w:t xml:space="preserve">    </w:t>
      </w:r>
    </w:p>
    <w:p w14:paraId="278F50AD" w14:textId="77777777" w:rsidR="003D5CFF" w:rsidRPr="00F87F53" w:rsidRDefault="003D5CFF" w:rsidP="003D5CFF">
      <w:pPr>
        <w:pStyle w:val="ListParagraph"/>
        <w:numPr>
          <w:ilvl w:val="0"/>
          <w:numId w:val="35"/>
        </w:numPr>
        <w:rPr>
          <w:szCs w:val="22"/>
        </w:rPr>
      </w:pPr>
      <w:r w:rsidRPr="00F87F53">
        <w:rPr>
          <w:szCs w:val="22"/>
        </w:rPr>
        <w:t>The MV context storage of triangle merge mode (in which the triangle MVs are populated to create 4x4 block vectors that are stored as TMVPs and used as spatial MV neighbors of merge/AMVP modes) seems to be unnecessarily complicated, it should be simplified.</w:t>
      </w:r>
    </w:p>
    <w:p w14:paraId="26B06E86" w14:textId="77777777" w:rsidR="003D5CFF" w:rsidRPr="00F87F53" w:rsidRDefault="003D5CFF" w:rsidP="003D5CFF">
      <w:pPr>
        <w:pStyle w:val="ListParagraph"/>
        <w:numPr>
          <w:ilvl w:val="0"/>
          <w:numId w:val="35"/>
        </w:numPr>
        <w:rPr>
          <w:szCs w:val="22"/>
        </w:rPr>
      </w:pPr>
      <w:r w:rsidRPr="00F87F53">
        <w:rPr>
          <w:szCs w:val="22"/>
        </w:rPr>
        <w:t xml:space="preserve">Removal of small block size (e.g. 2x2) </w:t>
      </w:r>
      <w:proofErr w:type="spellStart"/>
      <w:r w:rsidRPr="00F87F53">
        <w:rPr>
          <w:szCs w:val="22"/>
        </w:rPr>
        <w:t>chroma</w:t>
      </w:r>
      <w:proofErr w:type="spellEnd"/>
      <w:r w:rsidRPr="00F87F53">
        <w:rPr>
          <w:szCs w:val="22"/>
        </w:rPr>
        <w:t xml:space="preserve"> intra-prediction for the shared tree case is essential for high performance decoder implementations (being studied in CE3). The issue was already resolved for the separate (dual) tree case at the last meeting.</w:t>
      </w:r>
    </w:p>
    <w:p w14:paraId="7A0BED05" w14:textId="77777777" w:rsidR="00CC26AE" w:rsidRPr="00F87F53" w:rsidRDefault="003D5CFF" w:rsidP="003D5CFF">
      <w:pPr>
        <w:pStyle w:val="ListParagraph"/>
        <w:numPr>
          <w:ilvl w:val="0"/>
          <w:numId w:val="35"/>
        </w:numPr>
        <w:rPr>
          <w:szCs w:val="22"/>
        </w:rPr>
      </w:pPr>
      <w:r w:rsidRPr="00F87F53">
        <w:rPr>
          <w:szCs w:val="22"/>
        </w:rPr>
        <w:t>As the project is approaching the CD stage, more attention should be paid to non-CTC and corner cases, and developing solutions to fix the broken parts of design (if any). For example, in the current VTM5.0 design the merge mode is broken, because the decoder behavior is undefined when all the merge flags are set to zero.</w:t>
      </w:r>
    </w:p>
    <w:p w14:paraId="73143DA1" w14:textId="4F4B582D" w:rsidR="00CC26AE" w:rsidRPr="00CC26AE" w:rsidRDefault="00CC26AE" w:rsidP="00CC26AE">
      <w:pPr>
        <w:pStyle w:val="ListParagraph"/>
        <w:numPr>
          <w:ilvl w:val="0"/>
          <w:numId w:val="35"/>
        </w:numPr>
        <w:rPr>
          <w:color w:val="000000" w:themeColor="text1"/>
          <w:szCs w:val="22"/>
        </w:rPr>
      </w:pPr>
      <w:r w:rsidRPr="00F87F53">
        <w:rPr>
          <w:color w:val="000000" w:themeColor="text1"/>
          <w:szCs w:val="22"/>
        </w:rPr>
        <w:t xml:space="preserve">In the current design, the LFNST flag is derived at the end of the CU (need to check total number of coefficients inside and outside the LFNST corner regions).  For a 128x128 CU, the first PB could not be processed without waiting for the LFNST index that comes after the last PB. Although this does not necessarily break the overall 64x64 based decoder pipeline (if the CABAC could be decoupled), it increases the data buffering by </w:t>
      </w:r>
      <w:proofErr w:type="gramStart"/>
      <w:r w:rsidRPr="00F87F53">
        <w:rPr>
          <w:color w:val="000000" w:themeColor="text1"/>
          <w:szCs w:val="22"/>
        </w:rPr>
        <w:t>4x</w:t>
      </w:r>
      <w:proofErr w:type="gramEnd"/>
      <w:r w:rsidRPr="00F87F53">
        <w:rPr>
          <w:color w:val="000000" w:themeColor="text1"/>
          <w:szCs w:val="22"/>
        </w:rPr>
        <w:t xml:space="preserve"> for a certain number of decoder pipeline stages. It is costly.  It is desirable to disable the LFNST flag derivation across the 64x64 VDPU boundaries.  Potential simplifications could include e.g. moving it to </w:t>
      </w:r>
      <w:proofErr w:type="gramStart"/>
      <w:r w:rsidRPr="00F87F53">
        <w:rPr>
          <w:color w:val="000000" w:themeColor="text1"/>
          <w:szCs w:val="22"/>
        </w:rPr>
        <w:t>a per</w:t>
      </w:r>
      <w:proofErr w:type="gramEnd"/>
      <w:r w:rsidRPr="00F87F53">
        <w:rPr>
          <w:color w:val="000000" w:themeColor="text1"/>
          <w:szCs w:val="22"/>
        </w:rPr>
        <w:t xml:space="preserve"> TU index rather than a per-CU index, or disabling it for CU size 128x128.</w:t>
      </w:r>
      <w:r w:rsidRPr="00CC26AE">
        <w:rPr>
          <w:color w:val="000000" w:themeColor="text1"/>
          <w:szCs w:val="22"/>
        </w:rPr>
        <w:t xml:space="preserve"> </w:t>
      </w:r>
    </w:p>
    <w:p w14:paraId="6A8D49B0" w14:textId="65FE9C09" w:rsidR="00CC26AE" w:rsidRPr="00CC26AE" w:rsidRDefault="00CC26AE" w:rsidP="00CC26AE">
      <w:pPr>
        <w:pStyle w:val="Heading2"/>
        <w:rPr>
          <w:bCs w:val="0"/>
          <w:i w:val="0"/>
          <w:iCs w:val="0"/>
        </w:rPr>
      </w:pPr>
      <w:r>
        <w:rPr>
          <w:rStyle w:val="Emphasis"/>
          <w:lang w:val="en-CA"/>
        </w:rPr>
        <w:t>Implementation issues identified</w:t>
      </w:r>
    </w:p>
    <w:p w14:paraId="5241682C" w14:textId="219B1513" w:rsidR="003D5CFF" w:rsidRDefault="003D5CFF" w:rsidP="003D5CF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p>
    <w:p w14:paraId="4B8FFB85" w14:textId="7AACBAF6" w:rsidR="00CC26AE" w:rsidRPr="00F87F53" w:rsidRDefault="003F2CBA" w:rsidP="00AB424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sidRPr="00F87F53">
        <w:t xml:space="preserve">In the newly adopted RDPCM, the residual coefficients could potentially grow significantly larger than the standard 16-bit coefficient range (-32767, 32767) for 10-bit video coding if allowed to grow unbounded across all the columns (or rows). It is desirable to constraint the residual coefficients in 16-bit range. </w:t>
      </w:r>
      <w:r w:rsidR="00CC26AE" w:rsidRPr="00F87F53">
        <w:t xml:space="preserve"> This was fixed by adding a clamping after each step of residual coefficient reconstruction</w:t>
      </w:r>
      <w:r w:rsidR="005C34FD" w:rsidRPr="00F87F53">
        <w:t xml:space="preserve"> to both the reference software and text.</w:t>
      </w:r>
    </w:p>
    <w:p w14:paraId="646F3AFA" w14:textId="09226AED" w:rsidR="003F2CBA" w:rsidRDefault="00CC26AE" w:rsidP="00AB424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sidRPr="00F87F53">
        <w:t>ALF line buffer issue along slice/brick/tile boundary and 360 video virtual boundary</w:t>
      </w:r>
      <w:r>
        <w:t xml:space="preserve">  </w:t>
      </w:r>
      <w:r w:rsidR="003F2CBA">
        <w:t xml:space="preserve">      </w:t>
      </w:r>
    </w:p>
    <w:p w14:paraId="73B4FC7A" w14:textId="77777777" w:rsidR="00CC26AE" w:rsidRDefault="00CC26AE" w:rsidP="00CC26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p>
    <w:p w14:paraId="1E26E917" w14:textId="4A59FE56" w:rsidR="003F2CBA" w:rsidRPr="00E15BCA" w:rsidRDefault="00BC13CD" w:rsidP="005C34F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ind w:left="0"/>
        <w:jc w:val="center"/>
        <w:textAlignment w:val="auto"/>
      </w:pPr>
      <w:r>
        <w:rPr>
          <w:noProof/>
          <w:lang w:eastAsia="zh-CN"/>
        </w:rPr>
        <w:lastRenderedPageBreak/>
        <w:drawing>
          <wp:inline distT="0" distB="0" distL="0" distR="0" wp14:anchorId="763876F0" wp14:editId="1642A094">
            <wp:extent cx="5857885" cy="2472267"/>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72776" cy="2478551"/>
                    </a:xfrm>
                    <a:prstGeom prst="rect">
                      <a:avLst/>
                    </a:prstGeom>
                    <a:noFill/>
                  </pic:spPr>
                </pic:pic>
              </a:graphicData>
            </a:graphic>
          </wp:inline>
        </w:drawing>
      </w:r>
    </w:p>
    <w:p w14:paraId="76262269" w14:textId="4E4A0B37" w:rsidR="00C50A90" w:rsidRPr="00063366" w:rsidRDefault="00C50A90" w:rsidP="00C50A90">
      <w:pPr>
        <w:jc w:val="center"/>
        <w:rPr>
          <w:i/>
        </w:rPr>
      </w:pPr>
      <w:proofErr w:type="gramStart"/>
      <w:r w:rsidRPr="00063366">
        <w:rPr>
          <w:i/>
        </w:rPr>
        <w:t>Figure 1.</w:t>
      </w:r>
      <w:proofErr w:type="gramEnd"/>
      <w:r w:rsidRPr="00063366">
        <w:rPr>
          <w:i/>
        </w:rPr>
        <w:t xml:space="preserve"> Current text specification of the ALF virtual boundar</w:t>
      </w:r>
      <w:r w:rsidR="00BC13CD" w:rsidRPr="00063366">
        <w:rPr>
          <w:i/>
        </w:rPr>
        <w:t>y</w:t>
      </w:r>
    </w:p>
    <w:p w14:paraId="6F2B0569" w14:textId="4CCB1A2E" w:rsidR="00C50A90" w:rsidRDefault="00C50A90" w:rsidP="00057932">
      <w:r>
        <w:t xml:space="preserve">The ALF virtual boundary was adopted at the last meeting to remove the ALF line buffer, it is located at 4 </w:t>
      </w:r>
      <w:proofErr w:type="spellStart"/>
      <w:r>
        <w:t>luma</w:t>
      </w:r>
      <w:proofErr w:type="spellEnd"/>
      <w:r>
        <w:t xml:space="preserve"> lines above the bottom CTU boundary (except for those CTUs at the last CTU row of a picture). In the current specification text, the ALF v</w:t>
      </w:r>
      <w:r w:rsidR="002E65D9">
        <w:t xml:space="preserve">irtual boundary is not present </w:t>
      </w:r>
      <w:r w:rsidR="00F927AC">
        <w:t xml:space="preserve">for a CTU </w:t>
      </w:r>
      <w:r w:rsidR="002E65D9">
        <w:t>i</w:t>
      </w:r>
      <w:r>
        <w:t xml:space="preserve">f </w:t>
      </w:r>
      <w:r w:rsidR="00F927AC">
        <w:t>its</w:t>
      </w:r>
      <w:r>
        <w:t xml:space="preserve"> bottom CTU boundary is also a slice/brick/tile boundary (</w:t>
      </w:r>
      <w:r w:rsidR="002E65D9">
        <w:t xml:space="preserve">when the </w:t>
      </w:r>
      <w:r>
        <w:t xml:space="preserve">loop-filter across those boundaries is disabled) or a 360 video virtual boundary (see Fig. 1 for example). </w:t>
      </w:r>
    </w:p>
    <w:p w14:paraId="40D94740" w14:textId="77777777" w:rsidR="00D17C8F" w:rsidRDefault="00C50A90" w:rsidP="00057932">
      <w:r>
        <w:t>It is asserted that the current text specification defeats the purpose of the ALF virtual boundary adoption and has the following consequences:</w:t>
      </w:r>
    </w:p>
    <w:p w14:paraId="1F0910F4" w14:textId="73BEE76D" w:rsidR="00D17C8F" w:rsidRPr="00D17C8F" w:rsidRDefault="00D17C8F" w:rsidP="00D17C8F">
      <w:pPr>
        <w:pStyle w:val="ListParagraph"/>
        <w:numPr>
          <w:ilvl w:val="0"/>
          <w:numId w:val="36"/>
        </w:numPr>
        <w:rPr>
          <w:color w:val="000000" w:themeColor="text1"/>
        </w:rPr>
      </w:pPr>
      <w:r w:rsidRPr="00D17C8F">
        <w:rPr>
          <w:iCs/>
          <w:color w:val="000000" w:themeColor="text1"/>
          <w:szCs w:val="22"/>
        </w:rPr>
        <w:t>For decoders</w:t>
      </w:r>
      <w:r w:rsidR="00104A5F">
        <w:rPr>
          <w:iCs/>
          <w:color w:val="000000" w:themeColor="text1"/>
          <w:szCs w:val="22"/>
        </w:rPr>
        <w:t>,</w:t>
      </w:r>
      <w:r w:rsidRPr="00D17C8F">
        <w:rPr>
          <w:iCs/>
          <w:color w:val="000000" w:themeColor="text1"/>
          <w:szCs w:val="22"/>
        </w:rPr>
        <w:t xml:space="preserve"> not knowing the slice/brick/tile boundaries upfront</w:t>
      </w:r>
      <w:r w:rsidR="00104A5F">
        <w:rPr>
          <w:iCs/>
          <w:color w:val="000000" w:themeColor="text1"/>
          <w:szCs w:val="22"/>
        </w:rPr>
        <w:t xml:space="preserve"> (i.e. low-delay applications) means that </w:t>
      </w:r>
      <w:r w:rsidRPr="00D17C8F">
        <w:rPr>
          <w:iCs/>
          <w:color w:val="000000" w:themeColor="text1"/>
          <w:szCs w:val="22"/>
        </w:rPr>
        <w:t xml:space="preserve">the ALF line buffer needs to be restored. </w:t>
      </w:r>
      <w:r w:rsidR="00E3307B">
        <w:rPr>
          <w:iCs/>
          <w:color w:val="000000" w:themeColor="text1"/>
          <w:szCs w:val="22"/>
        </w:rPr>
        <w:t xml:space="preserve">To process the ALF filtering of </w:t>
      </w:r>
      <w:r w:rsidR="00104A5F">
        <w:rPr>
          <w:iCs/>
          <w:color w:val="000000" w:themeColor="text1"/>
          <w:szCs w:val="22"/>
        </w:rPr>
        <w:t xml:space="preserve">the </w:t>
      </w:r>
      <w:r w:rsidR="00E3307B">
        <w:rPr>
          <w:iCs/>
          <w:color w:val="000000" w:themeColor="text1"/>
          <w:szCs w:val="22"/>
        </w:rPr>
        <w:t>bottom lines of the current CTU</w:t>
      </w:r>
      <w:r w:rsidR="003B5699">
        <w:rPr>
          <w:iCs/>
          <w:color w:val="000000" w:themeColor="text1"/>
          <w:szCs w:val="22"/>
        </w:rPr>
        <w:t xml:space="preserve"> (e.g. </w:t>
      </w:r>
      <w:proofErr w:type="spellStart"/>
      <w:r w:rsidR="003B5699">
        <w:rPr>
          <w:iCs/>
          <w:color w:val="000000" w:themeColor="text1"/>
          <w:szCs w:val="22"/>
        </w:rPr>
        <w:t>luma</w:t>
      </w:r>
      <w:proofErr w:type="spellEnd"/>
      <w:r w:rsidR="003B5699">
        <w:rPr>
          <w:iCs/>
          <w:color w:val="000000" w:themeColor="text1"/>
          <w:szCs w:val="22"/>
        </w:rPr>
        <w:t xml:space="preserve"> lines 5, 6 and 7 above the bottom CTU boundary)</w:t>
      </w:r>
      <w:r w:rsidR="00E3307B">
        <w:rPr>
          <w:iCs/>
          <w:color w:val="000000" w:themeColor="text1"/>
          <w:szCs w:val="22"/>
        </w:rPr>
        <w:t xml:space="preserve">, the decoders need to know </w:t>
      </w:r>
      <w:r w:rsidRPr="00D17C8F">
        <w:rPr>
          <w:iCs/>
          <w:color w:val="000000" w:themeColor="text1"/>
          <w:szCs w:val="22"/>
        </w:rPr>
        <w:t>whether the current bottom CTU boundary coincides with other types of boundaries. This information, however, is unknown until the next slice/brick/tile is decoded.</w:t>
      </w:r>
    </w:p>
    <w:p w14:paraId="4179A1E0" w14:textId="39DC30F7" w:rsidR="00D17C8F" w:rsidRPr="00D17C8F" w:rsidRDefault="00D17C8F" w:rsidP="00D17C8F">
      <w:pPr>
        <w:pStyle w:val="ListParagraph"/>
        <w:rPr>
          <w:color w:val="000000" w:themeColor="text1"/>
        </w:rPr>
      </w:pPr>
      <w:r w:rsidRPr="00D17C8F">
        <w:rPr>
          <w:iCs/>
          <w:color w:val="000000" w:themeColor="text1"/>
          <w:szCs w:val="22"/>
        </w:rPr>
        <w:t xml:space="preserve"> </w:t>
      </w:r>
    </w:p>
    <w:p w14:paraId="65146A34" w14:textId="1AAF4772" w:rsidR="00C50A90" w:rsidRPr="00D17C8F" w:rsidRDefault="00104A5F" w:rsidP="00D17C8F">
      <w:pPr>
        <w:pStyle w:val="ListParagraph"/>
        <w:numPr>
          <w:ilvl w:val="0"/>
          <w:numId w:val="36"/>
        </w:numPr>
        <w:rPr>
          <w:color w:val="000000" w:themeColor="text1"/>
        </w:rPr>
      </w:pPr>
      <w:r>
        <w:rPr>
          <w:iCs/>
          <w:color w:val="000000" w:themeColor="text1"/>
          <w:szCs w:val="22"/>
        </w:rPr>
        <w:t>Even if</w:t>
      </w:r>
      <w:r w:rsidR="00D17C8F" w:rsidRPr="00D17C8F">
        <w:rPr>
          <w:iCs/>
          <w:color w:val="000000" w:themeColor="text1"/>
          <w:szCs w:val="22"/>
        </w:rPr>
        <w:t xml:space="preserve"> the slice</w:t>
      </w:r>
      <w:r>
        <w:rPr>
          <w:iCs/>
          <w:color w:val="000000" w:themeColor="text1"/>
          <w:szCs w:val="22"/>
        </w:rPr>
        <w:t>/brick/tile boundaries are known upfront</w:t>
      </w:r>
      <w:r w:rsidR="00B67626">
        <w:rPr>
          <w:iCs/>
          <w:color w:val="000000" w:themeColor="text1"/>
          <w:szCs w:val="22"/>
        </w:rPr>
        <w:t xml:space="preserve"> (e.g. the CABAC decoding is fully decoupled at frame level)</w:t>
      </w:r>
      <w:r>
        <w:rPr>
          <w:iCs/>
          <w:color w:val="000000" w:themeColor="text1"/>
          <w:szCs w:val="22"/>
        </w:rPr>
        <w:t xml:space="preserve">, the </w:t>
      </w:r>
      <w:r w:rsidR="00D17C8F" w:rsidRPr="00D17C8F">
        <w:rPr>
          <w:iCs/>
          <w:color w:val="000000" w:themeColor="text1"/>
          <w:szCs w:val="22"/>
        </w:rPr>
        <w:t>decoders need to run the loop-filters (de-blocking, SAO and ALF) at a speed of 68 lines per 64x64 VDPU all the time (an overprovision of roughly 6%) in order to avoid using the ALF line buffer.</w:t>
      </w:r>
    </w:p>
    <w:p w14:paraId="607B852E" w14:textId="4C958B45" w:rsidR="00C50A90" w:rsidRDefault="00D17C8F" w:rsidP="00057932">
      <w:r>
        <w:t xml:space="preserve">It is therefore recommended </w:t>
      </w:r>
      <w:r w:rsidR="003F3080">
        <w:t xml:space="preserve">to specify the ALF virtual boundary </w:t>
      </w:r>
      <w:r>
        <w:t xml:space="preserve">at the </w:t>
      </w:r>
      <w:r w:rsidR="003F3080">
        <w:t xml:space="preserve">fixed </w:t>
      </w:r>
      <w:r>
        <w:t>location of 4 lines above the bottom CTU boundary, regardless of whether the bottom CTU boundary coincide</w:t>
      </w:r>
      <w:r w:rsidR="007E13F2">
        <w:t>s</w:t>
      </w:r>
      <w:r>
        <w:t xml:space="preserve"> with a slice/brick/tile boundary or a 360 video virtual boundary</w:t>
      </w:r>
      <w:r w:rsidR="00BC13CD">
        <w:t xml:space="preserve"> </w:t>
      </w:r>
      <w:r>
        <w:t>(see Figure 2 for example)</w:t>
      </w:r>
      <w:r w:rsidR="00BC13CD">
        <w:t>. It is also desirable to unify the padding methods along an ALF virtual boundary, a 360 video virtual boundary and a slice/brick/tile boundary.</w:t>
      </w:r>
    </w:p>
    <w:p w14:paraId="160157EF" w14:textId="465FDBC0" w:rsidR="00D17C8F" w:rsidRDefault="00D17C8F" w:rsidP="00057932">
      <w:r>
        <w:rPr>
          <w:noProof/>
          <w:lang w:eastAsia="zh-CN"/>
        </w:rPr>
        <w:lastRenderedPageBreak/>
        <w:drawing>
          <wp:inline distT="0" distB="0" distL="0" distR="0" wp14:anchorId="2D85DD53" wp14:editId="6F60D468">
            <wp:extent cx="5864578" cy="2455234"/>
            <wp:effectExtent l="0" t="0" r="317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4789" cy="2459509"/>
                    </a:xfrm>
                    <a:prstGeom prst="rect">
                      <a:avLst/>
                    </a:prstGeom>
                    <a:noFill/>
                  </pic:spPr>
                </pic:pic>
              </a:graphicData>
            </a:graphic>
          </wp:inline>
        </w:drawing>
      </w:r>
    </w:p>
    <w:p w14:paraId="67469738" w14:textId="5BABC78E" w:rsidR="00D17C8F" w:rsidRPr="00063366" w:rsidRDefault="00D17C8F" w:rsidP="00D17C8F">
      <w:pPr>
        <w:jc w:val="center"/>
        <w:rPr>
          <w:i/>
        </w:rPr>
      </w:pPr>
      <w:proofErr w:type="gramStart"/>
      <w:r w:rsidRPr="00063366">
        <w:rPr>
          <w:i/>
        </w:rPr>
        <w:t xml:space="preserve">Figure </w:t>
      </w:r>
      <w:r w:rsidR="00BC13CD" w:rsidRPr="00063366">
        <w:rPr>
          <w:i/>
        </w:rPr>
        <w:t>2</w:t>
      </w:r>
      <w:r w:rsidRPr="00063366">
        <w:rPr>
          <w:i/>
        </w:rPr>
        <w:t>.</w:t>
      </w:r>
      <w:proofErr w:type="gramEnd"/>
      <w:r w:rsidRPr="00063366">
        <w:rPr>
          <w:i/>
        </w:rPr>
        <w:t xml:space="preserve"> Proposed fix for the ALF virtual boundar</w:t>
      </w:r>
      <w:r w:rsidR="00BC13CD" w:rsidRPr="00063366">
        <w:rPr>
          <w:i/>
        </w:rPr>
        <w:t>y</w:t>
      </w:r>
    </w:p>
    <w:p w14:paraId="3B972504" w14:textId="77777777" w:rsidR="00D17C8F" w:rsidRDefault="00D17C8F" w:rsidP="00057932"/>
    <w:p w14:paraId="27CEF773" w14:textId="77777777" w:rsidR="003746C6" w:rsidRPr="004A4674" w:rsidRDefault="003746C6" w:rsidP="0037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b/>
          <w:lang w:val="en-CA"/>
        </w:rPr>
      </w:pPr>
    </w:p>
    <w:p w14:paraId="0EB0292C" w14:textId="12A8447C" w:rsidR="00A723CB" w:rsidRPr="00057932" w:rsidRDefault="00A723CB" w:rsidP="00A723CB">
      <w:pPr>
        <w:pStyle w:val="Heading2"/>
      </w:pPr>
      <w:r>
        <w:rPr>
          <w:rStyle w:val="Emphasis"/>
          <w:bCs w:val="0"/>
        </w:rPr>
        <w:t xml:space="preserve">Memory bandwidth study </w:t>
      </w:r>
      <w:r w:rsidR="007C5998">
        <w:rPr>
          <w:rStyle w:val="Emphasis"/>
          <w:bCs w:val="0"/>
        </w:rPr>
        <w:t>for VTM5</w:t>
      </w:r>
      <w:r w:rsidR="00263608">
        <w:rPr>
          <w:rStyle w:val="Emphasis"/>
          <w:bCs w:val="0"/>
        </w:rPr>
        <w:t>.0</w:t>
      </w:r>
      <w:r>
        <w:rPr>
          <w:rStyle w:val="Emphasis"/>
          <w:bCs w:val="0"/>
        </w:rPr>
        <w:t xml:space="preserve">  </w:t>
      </w:r>
    </w:p>
    <w:p w14:paraId="172830EA" w14:textId="2A8537E8" w:rsidR="00A723CB" w:rsidRDefault="00A723CB" w:rsidP="00A723CB">
      <w:r>
        <w:t>Broadcom conducted a memory bandwidt</w:t>
      </w:r>
      <w:r w:rsidR="00020907">
        <w:t>h study by running both the VTM5.0 and VTM4.</w:t>
      </w:r>
      <w:r w:rsidR="00AD131C">
        <w:t>0</w:t>
      </w:r>
      <w:r>
        <w:t xml:space="preserve"> </w:t>
      </w:r>
      <w:r w:rsidR="006908DA">
        <w:t xml:space="preserve">for CTC </w:t>
      </w:r>
      <w:r>
        <w:t>with a commercial motion compensation cache model integrated</w:t>
      </w:r>
      <w:r w:rsidR="00F16944">
        <w:t>. The summary result</w:t>
      </w:r>
      <w:r w:rsidR="00B4195B">
        <w:t>s</w:t>
      </w:r>
      <w:r>
        <w:t xml:space="preserve"> of the random access configuration</w:t>
      </w:r>
      <w:r w:rsidR="00F16944">
        <w:t xml:space="preserve"> </w:t>
      </w:r>
      <w:r w:rsidR="00B4195B">
        <w:t xml:space="preserve">are </w:t>
      </w:r>
      <w:r>
        <w:t>provided in the Table 1 (for informational purposes).</w:t>
      </w:r>
    </w:p>
    <w:p w14:paraId="16F1B891" w14:textId="55CB03E6" w:rsidR="00020907" w:rsidRDefault="00020907" w:rsidP="00A723CB">
      <w:r>
        <w:t xml:space="preserve">The </w:t>
      </w:r>
      <w:r w:rsidR="00AD131C">
        <w:t>changes</w:t>
      </w:r>
      <w:r>
        <w:t xml:space="preserve"> which may cause the difference in memory bandwidth consumption between the VTM5.0 and VTM4.</w:t>
      </w:r>
      <w:r w:rsidR="00AD131C">
        <w:t>0</w:t>
      </w:r>
      <w:r>
        <w:t xml:space="preserve"> include: </w:t>
      </w:r>
      <w:r w:rsidR="002B585B">
        <w:t>removing</w:t>
      </w:r>
      <w:r>
        <w:t xml:space="preserve"> the 4x4 </w:t>
      </w:r>
      <w:proofErr w:type="spellStart"/>
      <w:r>
        <w:t>uni-pred</w:t>
      </w:r>
      <w:proofErr w:type="spellEnd"/>
      <w:r>
        <w:t xml:space="preserve"> and 8x4/4x8 bi-</w:t>
      </w:r>
      <w:proofErr w:type="spellStart"/>
      <w:r>
        <w:t>pred</w:t>
      </w:r>
      <w:proofErr w:type="spellEnd"/>
      <w:r>
        <w:t xml:space="preserve"> PUs</w:t>
      </w:r>
      <w:r w:rsidR="002B585B">
        <w:t>, using</w:t>
      </w:r>
      <w:r>
        <w:t xml:space="preserve"> </w:t>
      </w:r>
      <w:r w:rsidR="00AD131C">
        <w:t>the</w:t>
      </w:r>
      <w:r>
        <w:t xml:space="preserve"> 6-tap filters for affine MC and </w:t>
      </w:r>
      <w:r w:rsidR="002B585B">
        <w:t>restricting</w:t>
      </w:r>
      <w:r w:rsidR="00AD131C">
        <w:t xml:space="preserve"> the </w:t>
      </w:r>
      <w:r>
        <w:t xml:space="preserve">sub-block motion vector spread </w:t>
      </w:r>
      <w:r w:rsidR="00AD131C">
        <w:t xml:space="preserve">of the affine mode. </w:t>
      </w:r>
      <w:r>
        <w:t xml:space="preserve">Both the average </w:t>
      </w:r>
      <w:r w:rsidR="00092AE9">
        <w:t xml:space="preserve">(see </w:t>
      </w:r>
      <w:proofErr w:type="spellStart"/>
      <w:r w:rsidR="00092AE9">
        <w:t>ABW_diff</w:t>
      </w:r>
      <w:proofErr w:type="spellEnd"/>
      <w:r w:rsidR="00092AE9">
        <w:t xml:space="preserve"> column) </w:t>
      </w:r>
      <w:r>
        <w:t>and the peak memory bandwidth consumption</w:t>
      </w:r>
      <w:r w:rsidR="00092AE9">
        <w:t xml:space="preserve"> (see </w:t>
      </w:r>
      <w:proofErr w:type="spellStart"/>
      <w:r w:rsidR="00092AE9">
        <w:t>MBW_diff</w:t>
      </w:r>
      <w:proofErr w:type="spellEnd"/>
      <w:r w:rsidR="00092AE9">
        <w:t xml:space="preserve"> column) </w:t>
      </w:r>
      <w:r>
        <w:t>are slightly decreased.</w:t>
      </w:r>
    </w:p>
    <w:tbl>
      <w:tblPr>
        <w:tblW w:w="9483" w:type="dxa"/>
        <w:tblInd w:w="93" w:type="dxa"/>
        <w:tblLook w:val="04A0" w:firstRow="1" w:lastRow="0" w:firstColumn="1" w:lastColumn="0" w:noHBand="0" w:noVBand="1"/>
      </w:tblPr>
      <w:tblGrid>
        <w:gridCol w:w="1181"/>
        <w:gridCol w:w="1076"/>
        <w:gridCol w:w="987"/>
        <w:gridCol w:w="1077"/>
        <w:gridCol w:w="1166"/>
        <w:gridCol w:w="1166"/>
        <w:gridCol w:w="1100"/>
        <w:gridCol w:w="992"/>
        <w:gridCol w:w="738"/>
      </w:tblGrid>
      <w:tr w:rsidR="00AD131C" w:rsidRPr="00AD131C" w14:paraId="4E4C55D8" w14:textId="77777777" w:rsidTr="00AD131C">
        <w:trPr>
          <w:trHeight w:val="255"/>
        </w:trPr>
        <w:tc>
          <w:tcPr>
            <w:tcW w:w="1181" w:type="dxa"/>
            <w:tcBorders>
              <w:top w:val="nil"/>
              <w:left w:val="nil"/>
              <w:bottom w:val="nil"/>
              <w:right w:val="nil"/>
            </w:tcBorders>
            <w:shd w:val="clear" w:color="auto" w:fill="auto"/>
            <w:noWrap/>
            <w:vAlign w:val="center"/>
            <w:hideMark/>
          </w:tcPr>
          <w:p w14:paraId="1E035C7C"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0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FD2F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131C">
              <w:rPr>
                <w:rFonts w:ascii="Arial" w:hAnsi="Arial" w:cs="Arial"/>
                <w:b/>
                <w:bCs/>
                <w:color w:val="000000"/>
                <w:sz w:val="18"/>
                <w:szCs w:val="18"/>
                <w:lang w:eastAsia="zh-CN"/>
              </w:rPr>
              <w:t>Random Access Main 10</w:t>
            </w:r>
          </w:p>
        </w:tc>
      </w:tr>
      <w:tr w:rsidR="00AD131C" w:rsidRPr="00AD131C" w14:paraId="0E00A235" w14:textId="77777777" w:rsidTr="00AD131C">
        <w:trPr>
          <w:trHeight w:val="255"/>
        </w:trPr>
        <w:tc>
          <w:tcPr>
            <w:tcW w:w="1181" w:type="dxa"/>
            <w:tcBorders>
              <w:top w:val="nil"/>
              <w:left w:val="nil"/>
              <w:bottom w:val="nil"/>
              <w:right w:val="nil"/>
            </w:tcBorders>
            <w:shd w:val="clear" w:color="auto" w:fill="auto"/>
            <w:noWrap/>
            <w:vAlign w:val="center"/>
            <w:hideMark/>
          </w:tcPr>
          <w:p w14:paraId="618627B2"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02"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72ADBB8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131C">
              <w:rPr>
                <w:rFonts w:ascii="Arial" w:hAnsi="Arial" w:cs="Arial"/>
                <w:b/>
                <w:bCs/>
                <w:color w:val="000000"/>
                <w:sz w:val="18"/>
                <w:szCs w:val="18"/>
                <w:lang w:eastAsia="zh-CN"/>
              </w:rPr>
              <w:t>Over VTM-4.0</w:t>
            </w:r>
          </w:p>
        </w:tc>
      </w:tr>
      <w:tr w:rsidR="00AD131C" w:rsidRPr="00AD131C" w14:paraId="0FEEAEEB" w14:textId="77777777" w:rsidTr="00AD131C">
        <w:trPr>
          <w:trHeight w:val="255"/>
        </w:trPr>
        <w:tc>
          <w:tcPr>
            <w:tcW w:w="1181" w:type="dxa"/>
            <w:tcBorders>
              <w:top w:val="nil"/>
              <w:left w:val="nil"/>
              <w:bottom w:val="nil"/>
              <w:right w:val="nil"/>
            </w:tcBorders>
            <w:shd w:val="clear" w:color="auto" w:fill="auto"/>
            <w:noWrap/>
            <w:vAlign w:val="center"/>
            <w:hideMark/>
          </w:tcPr>
          <w:p w14:paraId="495B9582"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83764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Y</w:t>
            </w:r>
          </w:p>
        </w:tc>
        <w:tc>
          <w:tcPr>
            <w:tcW w:w="987" w:type="dxa"/>
            <w:tcBorders>
              <w:top w:val="single" w:sz="8" w:space="0" w:color="auto"/>
              <w:left w:val="nil"/>
              <w:bottom w:val="single" w:sz="4" w:space="0" w:color="auto"/>
              <w:right w:val="single" w:sz="4" w:space="0" w:color="auto"/>
            </w:tcBorders>
            <w:shd w:val="clear" w:color="auto" w:fill="auto"/>
            <w:noWrap/>
            <w:vAlign w:val="center"/>
            <w:hideMark/>
          </w:tcPr>
          <w:p w14:paraId="235DDB76"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U</w:t>
            </w:r>
          </w:p>
        </w:tc>
        <w:tc>
          <w:tcPr>
            <w:tcW w:w="1077" w:type="dxa"/>
            <w:tcBorders>
              <w:top w:val="single" w:sz="8" w:space="0" w:color="auto"/>
              <w:left w:val="nil"/>
              <w:bottom w:val="single" w:sz="4" w:space="0" w:color="auto"/>
              <w:right w:val="single" w:sz="4" w:space="0" w:color="auto"/>
            </w:tcBorders>
            <w:shd w:val="clear" w:color="auto" w:fill="auto"/>
            <w:noWrap/>
            <w:vAlign w:val="center"/>
            <w:hideMark/>
          </w:tcPr>
          <w:p w14:paraId="62B90AE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V</w:t>
            </w:r>
          </w:p>
        </w:tc>
        <w:tc>
          <w:tcPr>
            <w:tcW w:w="1166" w:type="dxa"/>
            <w:tcBorders>
              <w:top w:val="single" w:sz="8" w:space="0" w:color="auto"/>
              <w:left w:val="nil"/>
              <w:bottom w:val="single" w:sz="4" w:space="0" w:color="auto"/>
              <w:right w:val="single" w:sz="4" w:space="0" w:color="auto"/>
            </w:tcBorders>
            <w:shd w:val="clear" w:color="auto" w:fill="auto"/>
            <w:noWrap/>
            <w:vAlign w:val="bottom"/>
            <w:hideMark/>
          </w:tcPr>
          <w:p w14:paraId="6FE3C28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131C">
              <w:rPr>
                <w:rFonts w:ascii="Arial" w:hAnsi="Arial" w:cs="Arial"/>
                <w:color w:val="000000"/>
                <w:sz w:val="18"/>
                <w:szCs w:val="18"/>
                <w:lang w:eastAsia="zh-CN"/>
              </w:rPr>
              <w:t>TCM_diff</w:t>
            </w:r>
            <w:proofErr w:type="spellEnd"/>
          </w:p>
        </w:tc>
        <w:tc>
          <w:tcPr>
            <w:tcW w:w="1166" w:type="dxa"/>
            <w:tcBorders>
              <w:top w:val="single" w:sz="8" w:space="0" w:color="auto"/>
              <w:left w:val="nil"/>
              <w:bottom w:val="single" w:sz="4" w:space="0" w:color="auto"/>
              <w:right w:val="single" w:sz="4" w:space="0" w:color="auto"/>
            </w:tcBorders>
            <w:shd w:val="clear" w:color="auto" w:fill="auto"/>
            <w:noWrap/>
            <w:vAlign w:val="bottom"/>
            <w:hideMark/>
          </w:tcPr>
          <w:p w14:paraId="0FAB0FB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131C">
              <w:rPr>
                <w:rFonts w:ascii="Arial" w:hAnsi="Arial" w:cs="Arial"/>
                <w:color w:val="000000"/>
                <w:sz w:val="18"/>
                <w:szCs w:val="18"/>
                <w:lang w:eastAsia="zh-CN"/>
              </w:rPr>
              <w:t>ABW_diff</w:t>
            </w:r>
            <w:proofErr w:type="spellEnd"/>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3085879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131C">
              <w:rPr>
                <w:rFonts w:ascii="Arial" w:hAnsi="Arial" w:cs="Arial"/>
                <w:color w:val="000000"/>
                <w:sz w:val="18"/>
                <w:szCs w:val="18"/>
                <w:lang w:eastAsia="zh-CN"/>
              </w:rPr>
              <w:t>MBW_diff</w:t>
            </w:r>
            <w:proofErr w:type="spellEnd"/>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0DB0601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131C">
              <w:rPr>
                <w:rFonts w:ascii="Arial" w:hAnsi="Arial" w:cs="Arial"/>
                <w:color w:val="000000"/>
                <w:sz w:val="18"/>
                <w:szCs w:val="18"/>
                <w:lang w:eastAsia="zh-CN"/>
              </w:rPr>
              <w:t>EncT</w:t>
            </w:r>
            <w:proofErr w:type="spellEnd"/>
          </w:p>
        </w:tc>
        <w:tc>
          <w:tcPr>
            <w:tcW w:w="738" w:type="dxa"/>
            <w:tcBorders>
              <w:top w:val="single" w:sz="8" w:space="0" w:color="auto"/>
              <w:left w:val="nil"/>
              <w:bottom w:val="single" w:sz="4" w:space="0" w:color="auto"/>
              <w:right w:val="single" w:sz="8" w:space="0" w:color="auto"/>
            </w:tcBorders>
            <w:shd w:val="clear" w:color="auto" w:fill="auto"/>
            <w:noWrap/>
            <w:vAlign w:val="center"/>
            <w:hideMark/>
          </w:tcPr>
          <w:p w14:paraId="4263F65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131C">
              <w:rPr>
                <w:rFonts w:ascii="Arial" w:hAnsi="Arial" w:cs="Arial"/>
                <w:color w:val="000000"/>
                <w:sz w:val="18"/>
                <w:szCs w:val="18"/>
                <w:lang w:eastAsia="zh-CN"/>
              </w:rPr>
              <w:t>DecT</w:t>
            </w:r>
            <w:proofErr w:type="spellEnd"/>
          </w:p>
        </w:tc>
      </w:tr>
      <w:tr w:rsidR="00AD131C" w:rsidRPr="00AD131C" w14:paraId="1F364E92" w14:textId="77777777" w:rsidTr="00AD131C">
        <w:trPr>
          <w:trHeight w:val="255"/>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14:paraId="52B9272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A1</w:t>
            </w:r>
          </w:p>
        </w:tc>
        <w:tc>
          <w:tcPr>
            <w:tcW w:w="1076"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241F6BA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-3.29%</w:t>
            </w:r>
          </w:p>
        </w:tc>
        <w:tc>
          <w:tcPr>
            <w:tcW w:w="987" w:type="dxa"/>
            <w:tcBorders>
              <w:top w:val="nil"/>
              <w:left w:val="nil"/>
              <w:bottom w:val="single" w:sz="4" w:space="0" w:color="auto"/>
              <w:right w:val="single" w:sz="4" w:space="0" w:color="auto"/>
            </w:tcBorders>
            <w:shd w:val="clear" w:color="auto" w:fill="auto"/>
            <w:noWrap/>
            <w:vAlign w:val="center"/>
            <w:hideMark/>
          </w:tcPr>
          <w:p w14:paraId="64714B11"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-1.44%</w:t>
            </w:r>
          </w:p>
        </w:tc>
        <w:tc>
          <w:tcPr>
            <w:tcW w:w="1077" w:type="dxa"/>
            <w:tcBorders>
              <w:top w:val="nil"/>
              <w:left w:val="nil"/>
              <w:bottom w:val="single" w:sz="4" w:space="0" w:color="auto"/>
              <w:right w:val="single" w:sz="4" w:space="0" w:color="auto"/>
            </w:tcBorders>
            <w:shd w:val="clear" w:color="auto" w:fill="auto"/>
            <w:noWrap/>
            <w:vAlign w:val="center"/>
            <w:hideMark/>
          </w:tcPr>
          <w:p w14:paraId="6959B8DE"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-1.58%</w:t>
            </w:r>
          </w:p>
        </w:tc>
        <w:tc>
          <w:tcPr>
            <w:tcW w:w="1166" w:type="dxa"/>
            <w:tcBorders>
              <w:top w:val="nil"/>
              <w:left w:val="nil"/>
              <w:bottom w:val="single" w:sz="4" w:space="0" w:color="auto"/>
              <w:right w:val="single" w:sz="4" w:space="0" w:color="auto"/>
            </w:tcBorders>
            <w:shd w:val="clear" w:color="auto" w:fill="auto"/>
            <w:noWrap/>
            <w:vAlign w:val="center"/>
            <w:hideMark/>
          </w:tcPr>
          <w:p w14:paraId="321619DB"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-2.10%</w:t>
            </w:r>
          </w:p>
        </w:tc>
        <w:tc>
          <w:tcPr>
            <w:tcW w:w="1166" w:type="dxa"/>
            <w:tcBorders>
              <w:top w:val="nil"/>
              <w:left w:val="nil"/>
              <w:bottom w:val="single" w:sz="4" w:space="0" w:color="auto"/>
              <w:right w:val="single" w:sz="4" w:space="0" w:color="auto"/>
            </w:tcBorders>
            <w:shd w:val="clear" w:color="auto" w:fill="auto"/>
            <w:noWrap/>
            <w:vAlign w:val="center"/>
            <w:hideMark/>
          </w:tcPr>
          <w:p w14:paraId="14EAAE0B"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-2.21%</w:t>
            </w:r>
          </w:p>
        </w:tc>
        <w:tc>
          <w:tcPr>
            <w:tcW w:w="1100" w:type="dxa"/>
            <w:tcBorders>
              <w:top w:val="nil"/>
              <w:left w:val="nil"/>
              <w:bottom w:val="single" w:sz="4" w:space="0" w:color="auto"/>
              <w:right w:val="single" w:sz="4" w:space="0" w:color="auto"/>
            </w:tcBorders>
            <w:shd w:val="clear" w:color="auto" w:fill="auto"/>
            <w:noWrap/>
            <w:vAlign w:val="center"/>
            <w:hideMark/>
          </w:tcPr>
          <w:p w14:paraId="0A239A6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-1.28%</w:t>
            </w:r>
          </w:p>
        </w:tc>
        <w:tc>
          <w:tcPr>
            <w:tcW w:w="992" w:type="dxa"/>
            <w:tcBorders>
              <w:top w:val="nil"/>
              <w:left w:val="nil"/>
              <w:bottom w:val="single" w:sz="4" w:space="0" w:color="auto"/>
              <w:right w:val="single" w:sz="4" w:space="0" w:color="auto"/>
            </w:tcBorders>
            <w:shd w:val="clear" w:color="auto" w:fill="auto"/>
            <w:noWrap/>
            <w:vAlign w:val="center"/>
            <w:hideMark/>
          </w:tcPr>
          <w:p w14:paraId="12E793C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118%</w:t>
            </w:r>
          </w:p>
        </w:tc>
        <w:tc>
          <w:tcPr>
            <w:tcW w:w="738" w:type="dxa"/>
            <w:tcBorders>
              <w:top w:val="nil"/>
              <w:left w:val="nil"/>
              <w:bottom w:val="single" w:sz="4" w:space="0" w:color="auto"/>
              <w:right w:val="single" w:sz="8" w:space="0" w:color="auto"/>
            </w:tcBorders>
            <w:shd w:val="clear" w:color="auto" w:fill="auto"/>
            <w:noWrap/>
            <w:vAlign w:val="center"/>
            <w:hideMark/>
          </w:tcPr>
          <w:p w14:paraId="591BEBE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108%</w:t>
            </w:r>
          </w:p>
        </w:tc>
      </w:tr>
      <w:tr w:rsidR="00AD131C" w:rsidRPr="00AD131C" w14:paraId="5EE24EDC" w14:textId="77777777" w:rsidTr="00AD131C">
        <w:trPr>
          <w:trHeight w:val="255"/>
        </w:trPr>
        <w:tc>
          <w:tcPr>
            <w:tcW w:w="1181" w:type="dxa"/>
            <w:tcBorders>
              <w:top w:val="nil"/>
              <w:left w:val="single" w:sz="8" w:space="0" w:color="auto"/>
              <w:bottom w:val="nil"/>
              <w:right w:val="single" w:sz="8" w:space="0" w:color="auto"/>
            </w:tcBorders>
            <w:shd w:val="clear" w:color="auto" w:fill="auto"/>
            <w:noWrap/>
            <w:vAlign w:val="center"/>
            <w:hideMark/>
          </w:tcPr>
          <w:p w14:paraId="0170F35C"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A2</w:t>
            </w:r>
          </w:p>
        </w:tc>
        <w:tc>
          <w:tcPr>
            <w:tcW w:w="1076" w:type="dxa"/>
            <w:tcBorders>
              <w:top w:val="nil"/>
              <w:left w:val="nil"/>
              <w:bottom w:val="single" w:sz="4" w:space="0" w:color="auto"/>
              <w:right w:val="single" w:sz="4" w:space="0" w:color="auto"/>
            </w:tcBorders>
            <w:shd w:val="clear" w:color="auto" w:fill="auto"/>
            <w:noWrap/>
            <w:vAlign w:val="center"/>
            <w:hideMark/>
          </w:tcPr>
          <w:p w14:paraId="6534CC5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-2.56%</w:t>
            </w:r>
          </w:p>
        </w:tc>
        <w:tc>
          <w:tcPr>
            <w:tcW w:w="987"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590F19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-3.40%</w:t>
            </w:r>
          </w:p>
        </w:tc>
        <w:tc>
          <w:tcPr>
            <w:tcW w:w="1077" w:type="dxa"/>
            <w:tcBorders>
              <w:top w:val="nil"/>
              <w:left w:val="nil"/>
              <w:bottom w:val="single" w:sz="4" w:space="0" w:color="auto"/>
              <w:right w:val="single" w:sz="4" w:space="0" w:color="auto"/>
            </w:tcBorders>
            <w:shd w:val="clear" w:color="auto" w:fill="auto"/>
            <w:noWrap/>
            <w:vAlign w:val="center"/>
            <w:hideMark/>
          </w:tcPr>
          <w:p w14:paraId="1491F392"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-1.19%</w:t>
            </w:r>
          </w:p>
        </w:tc>
        <w:tc>
          <w:tcPr>
            <w:tcW w:w="1166" w:type="dxa"/>
            <w:tcBorders>
              <w:top w:val="nil"/>
              <w:left w:val="nil"/>
              <w:bottom w:val="single" w:sz="4" w:space="0" w:color="auto"/>
              <w:right w:val="single" w:sz="4" w:space="0" w:color="auto"/>
            </w:tcBorders>
            <w:shd w:val="clear" w:color="auto" w:fill="auto"/>
            <w:noWrap/>
            <w:vAlign w:val="center"/>
            <w:hideMark/>
          </w:tcPr>
          <w:p w14:paraId="3E39F238"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-0.92%</w:t>
            </w:r>
          </w:p>
        </w:tc>
        <w:tc>
          <w:tcPr>
            <w:tcW w:w="1166" w:type="dxa"/>
            <w:tcBorders>
              <w:top w:val="nil"/>
              <w:left w:val="nil"/>
              <w:bottom w:val="single" w:sz="4" w:space="0" w:color="auto"/>
              <w:right w:val="single" w:sz="4" w:space="0" w:color="auto"/>
            </w:tcBorders>
            <w:shd w:val="clear" w:color="auto" w:fill="auto"/>
            <w:noWrap/>
            <w:vAlign w:val="center"/>
            <w:hideMark/>
          </w:tcPr>
          <w:p w14:paraId="500E217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-0.99%</w:t>
            </w:r>
          </w:p>
        </w:tc>
        <w:tc>
          <w:tcPr>
            <w:tcW w:w="1100" w:type="dxa"/>
            <w:tcBorders>
              <w:top w:val="nil"/>
              <w:left w:val="nil"/>
              <w:bottom w:val="single" w:sz="4" w:space="0" w:color="auto"/>
              <w:right w:val="single" w:sz="4" w:space="0" w:color="auto"/>
            </w:tcBorders>
            <w:shd w:val="clear" w:color="auto" w:fill="auto"/>
            <w:noWrap/>
            <w:vAlign w:val="center"/>
            <w:hideMark/>
          </w:tcPr>
          <w:p w14:paraId="4925B06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-0.95%</w:t>
            </w:r>
          </w:p>
        </w:tc>
        <w:tc>
          <w:tcPr>
            <w:tcW w:w="992" w:type="dxa"/>
            <w:tcBorders>
              <w:top w:val="nil"/>
              <w:left w:val="nil"/>
              <w:bottom w:val="single" w:sz="4" w:space="0" w:color="auto"/>
              <w:right w:val="single" w:sz="4" w:space="0" w:color="auto"/>
            </w:tcBorders>
            <w:shd w:val="clear" w:color="auto" w:fill="auto"/>
            <w:noWrap/>
            <w:vAlign w:val="center"/>
            <w:hideMark/>
          </w:tcPr>
          <w:p w14:paraId="45EC929E"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123%</w:t>
            </w:r>
          </w:p>
        </w:tc>
        <w:tc>
          <w:tcPr>
            <w:tcW w:w="738" w:type="dxa"/>
            <w:tcBorders>
              <w:top w:val="nil"/>
              <w:left w:val="nil"/>
              <w:bottom w:val="single" w:sz="4" w:space="0" w:color="auto"/>
              <w:right w:val="single" w:sz="8" w:space="0" w:color="auto"/>
            </w:tcBorders>
            <w:shd w:val="clear" w:color="auto" w:fill="auto"/>
            <w:noWrap/>
            <w:vAlign w:val="center"/>
            <w:hideMark/>
          </w:tcPr>
          <w:p w14:paraId="1FC18A45"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117%</w:t>
            </w:r>
          </w:p>
        </w:tc>
      </w:tr>
      <w:tr w:rsidR="00AD131C" w:rsidRPr="00AD131C" w14:paraId="6914BDA9" w14:textId="77777777" w:rsidTr="00AD131C">
        <w:trPr>
          <w:trHeight w:val="255"/>
        </w:trPr>
        <w:tc>
          <w:tcPr>
            <w:tcW w:w="1181" w:type="dxa"/>
            <w:tcBorders>
              <w:top w:val="nil"/>
              <w:left w:val="single" w:sz="8" w:space="0" w:color="auto"/>
              <w:bottom w:val="nil"/>
              <w:right w:val="single" w:sz="8" w:space="0" w:color="auto"/>
            </w:tcBorders>
            <w:shd w:val="clear" w:color="auto" w:fill="auto"/>
            <w:noWrap/>
            <w:vAlign w:val="center"/>
            <w:hideMark/>
          </w:tcPr>
          <w:p w14:paraId="2AF826F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B</w:t>
            </w:r>
          </w:p>
        </w:tc>
        <w:tc>
          <w:tcPr>
            <w:tcW w:w="1076" w:type="dxa"/>
            <w:tcBorders>
              <w:top w:val="nil"/>
              <w:left w:val="nil"/>
              <w:bottom w:val="single" w:sz="4" w:space="0" w:color="auto"/>
              <w:right w:val="single" w:sz="4" w:space="0" w:color="auto"/>
            </w:tcBorders>
            <w:shd w:val="clear" w:color="auto" w:fill="auto"/>
            <w:noWrap/>
            <w:vAlign w:val="center"/>
            <w:hideMark/>
          </w:tcPr>
          <w:p w14:paraId="0CFA96F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-2.09%</w:t>
            </w:r>
          </w:p>
        </w:tc>
        <w:tc>
          <w:tcPr>
            <w:tcW w:w="987" w:type="dxa"/>
            <w:tcBorders>
              <w:top w:val="nil"/>
              <w:left w:val="nil"/>
              <w:bottom w:val="single" w:sz="4" w:space="0" w:color="auto"/>
              <w:right w:val="single" w:sz="4" w:space="0" w:color="auto"/>
            </w:tcBorders>
            <w:shd w:val="clear" w:color="auto" w:fill="auto"/>
            <w:noWrap/>
            <w:vAlign w:val="center"/>
            <w:hideMark/>
          </w:tcPr>
          <w:p w14:paraId="047D2F3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-1.63%</w:t>
            </w:r>
          </w:p>
        </w:tc>
        <w:tc>
          <w:tcPr>
            <w:tcW w:w="1077"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187E82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-3.70%</w:t>
            </w:r>
          </w:p>
        </w:tc>
        <w:tc>
          <w:tcPr>
            <w:tcW w:w="1166" w:type="dxa"/>
            <w:tcBorders>
              <w:top w:val="nil"/>
              <w:left w:val="nil"/>
              <w:bottom w:val="single" w:sz="4" w:space="0" w:color="auto"/>
              <w:right w:val="single" w:sz="4" w:space="0" w:color="auto"/>
            </w:tcBorders>
            <w:shd w:val="clear" w:color="auto" w:fill="auto"/>
            <w:noWrap/>
            <w:vAlign w:val="center"/>
            <w:hideMark/>
          </w:tcPr>
          <w:p w14:paraId="65E2F8D6"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-0.56%</w:t>
            </w:r>
          </w:p>
        </w:tc>
        <w:tc>
          <w:tcPr>
            <w:tcW w:w="1166" w:type="dxa"/>
            <w:tcBorders>
              <w:top w:val="nil"/>
              <w:left w:val="nil"/>
              <w:bottom w:val="single" w:sz="4" w:space="0" w:color="auto"/>
              <w:right w:val="single" w:sz="4" w:space="0" w:color="auto"/>
            </w:tcBorders>
            <w:shd w:val="clear" w:color="auto" w:fill="auto"/>
            <w:noWrap/>
            <w:vAlign w:val="center"/>
            <w:hideMark/>
          </w:tcPr>
          <w:p w14:paraId="4F71188F"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-0.50%</w:t>
            </w:r>
          </w:p>
        </w:tc>
        <w:tc>
          <w:tcPr>
            <w:tcW w:w="110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0C81897"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-4.10%</w:t>
            </w:r>
          </w:p>
        </w:tc>
        <w:tc>
          <w:tcPr>
            <w:tcW w:w="992" w:type="dxa"/>
            <w:tcBorders>
              <w:top w:val="nil"/>
              <w:left w:val="nil"/>
              <w:bottom w:val="single" w:sz="4" w:space="0" w:color="auto"/>
              <w:right w:val="single" w:sz="4" w:space="0" w:color="auto"/>
            </w:tcBorders>
            <w:shd w:val="clear" w:color="auto" w:fill="auto"/>
            <w:noWrap/>
            <w:vAlign w:val="center"/>
            <w:hideMark/>
          </w:tcPr>
          <w:p w14:paraId="57642F3F"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124%</w:t>
            </w:r>
          </w:p>
        </w:tc>
        <w:tc>
          <w:tcPr>
            <w:tcW w:w="738" w:type="dxa"/>
            <w:tcBorders>
              <w:top w:val="nil"/>
              <w:left w:val="nil"/>
              <w:bottom w:val="single" w:sz="4" w:space="0" w:color="auto"/>
              <w:right w:val="single" w:sz="8" w:space="0" w:color="auto"/>
            </w:tcBorders>
            <w:shd w:val="clear" w:color="auto" w:fill="auto"/>
            <w:noWrap/>
            <w:vAlign w:val="center"/>
            <w:hideMark/>
          </w:tcPr>
          <w:p w14:paraId="39756E49"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112%</w:t>
            </w:r>
          </w:p>
        </w:tc>
      </w:tr>
      <w:tr w:rsidR="00AD131C" w:rsidRPr="00AD131C" w14:paraId="688B4341" w14:textId="77777777" w:rsidTr="00AD131C">
        <w:trPr>
          <w:trHeight w:val="255"/>
        </w:trPr>
        <w:tc>
          <w:tcPr>
            <w:tcW w:w="1181" w:type="dxa"/>
            <w:tcBorders>
              <w:top w:val="nil"/>
              <w:left w:val="single" w:sz="8" w:space="0" w:color="auto"/>
              <w:bottom w:val="nil"/>
              <w:right w:val="single" w:sz="8" w:space="0" w:color="auto"/>
            </w:tcBorders>
            <w:shd w:val="clear" w:color="auto" w:fill="auto"/>
            <w:noWrap/>
            <w:vAlign w:val="center"/>
            <w:hideMark/>
          </w:tcPr>
          <w:p w14:paraId="5BBCDFC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C</w:t>
            </w:r>
          </w:p>
        </w:tc>
        <w:tc>
          <w:tcPr>
            <w:tcW w:w="1076" w:type="dxa"/>
            <w:tcBorders>
              <w:top w:val="nil"/>
              <w:left w:val="nil"/>
              <w:bottom w:val="single" w:sz="4" w:space="0" w:color="auto"/>
              <w:right w:val="single" w:sz="4" w:space="0" w:color="auto"/>
            </w:tcBorders>
            <w:shd w:val="clear" w:color="auto" w:fill="auto"/>
            <w:noWrap/>
            <w:vAlign w:val="center"/>
            <w:hideMark/>
          </w:tcPr>
          <w:p w14:paraId="77E09D0B"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-1.82%</w:t>
            </w:r>
          </w:p>
        </w:tc>
        <w:tc>
          <w:tcPr>
            <w:tcW w:w="987" w:type="dxa"/>
            <w:tcBorders>
              <w:top w:val="nil"/>
              <w:left w:val="nil"/>
              <w:bottom w:val="single" w:sz="4" w:space="0" w:color="auto"/>
              <w:right w:val="single" w:sz="4" w:space="0" w:color="auto"/>
            </w:tcBorders>
            <w:shd w:val="clear" w:color="auto" w:fill="auto"/>
            <w:noWrap/>
            <w:vAlign w:val="center"/>
            <w:hideMark/>
          </w:tcPr>
          <w:p w14:paraId="7EF59618"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0.26%</w:t>
            </w:r>
          </w:p>
        </w:tc>
        <w:tc>
          <w:tcPr>
            <w:tcW w:w="1077"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E8C1486"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-3.17%</w:t>
            </w:r>
          </w:p>
        </w:tc>
        <w:tc>
          <w:tcPr>
            <w:tcW w:w="1166" w:type="dxa"/>
            <w:tcBorders>
              <w:top w:val="nil"/>
              <w:left w:val="nil"/>
              <w:bottom w:val="single" w:sz="4" w:space="0" w:color="auto"/>
              <w:right w:val="single" w:sz="4" w:space="0" w:color="auto"/>
            </w:tcBorders>
            <w:shd w:val="clear" w:color="auto" w:fill="auto"/>
            <w:noWrap/>
            <w:vAlign w:val="center"/>
            <w:hideMark/>
          </w:tcPr>
          <w:p w14:paraId="4EFC319E"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-0.14%</w:t>
            </w:r>
          </w:p>
        </w:tc>
        <w:tc>
          <w:tcPr>
            <w:tcW w:w="1166" w:type="dxa"/>
            <w:tcBorders>
              <w:top w:val="nil"/>
              <w:left w:val="nil"/>
              <w:bottom w:val="single" w:sz="4" w:space="0" w:color="auto"/>
              <w:right w:val="single" w:sz="4" w:space="0" w:color="auto"/>
            </w:tcBorders>
            <w:shd w:val="clear" w:color="auto" w:fill="auto"/>
            <w:noWrap/>
            <w:vAlign w:val="center"/>
            <w:hideMark/>
          </w:tcPr>
          <w:p w14:paraId="3C086B8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-0.34%</w:t>
            </w:r>
          </w:p>
        </w:tc>
        <w:tc>
          <w:tcPr>
            <w:tcW w:w="1100" w:type="dxa"/>
            <w:tcBorders>
              <w:top w:val="nil"/>
              <w:left w:val="nil"/>
              <w:bottom w:val="single" w:sz="4" w:space="0" w:color="auto"/>
              <w:right w:val="single" w:sz="4" w:space="0" w:color="auto"/>
            </w:tcBorders>
            <w:shd w:val="clear" w:color="auto" w:fill="auto"/>
            <w:noWrap/>
            <w:vAlign w:val="center"/>
            <w:hideMark/>
          </w:tcPr>
          <w:p w14:paraId="2A12719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-2.32%</w:t>
            </w:r>
          </w:p>
        </w:tc>
        <w:tc>
          <w:tcPr>
            <w:tcW w:w="992" w:type="dxa"/>
            <w:tcBorders>
              <w:top w:val="nil"/>
              <w:left w:val="nil"/>
              <w:bottom w:val="single" w:sz="4" w:space="0" w:color="auto"/>
              <w:right w:val="single" w:sz="4" w:space="0" w:color="auto"/>
            </w:tcBorders>
            <w:shd w:val="clear" w:color="auto" w:fill="auto"/>
            <w:noWrap/>
            <w:vAlign w:val="center"/>
            <w:hideMark/>
          </w:tcPr>
          <w:p w14:paraId="209D5DC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135%</w:t>
            </w:r>
          </w:p>
        </w:tc>
        <w:tc>
          <w:tcPr>
            <w:tcW w:w="738" w:type="dxa"/>
            <w:tcBorders>
              <w:top w:val="nil"/>
              <w:left w:val="nil"/>
              <w:bottom w:val="single" w:sz="4" w:space="0" w:color="auto"/>
              <w:right w:val="single" w:sz="8" w:space="0" w:color="auto"/>
            </w:tcBorders>
            <w:shd w:val="clear" w:color="auto" w:fill="auto"/>
            <w:noWrap/>
            <w:vAlign w:val="center"/>
            <w:hideMark/>
          </w:tcPr>
          <w:p w14:paraId="5022F7D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112%</w:t>
            </w:r>
          </w:p>
        </w:tc>
      </w:tr>
      <w:tr w:rsidR="00AD131C" w:rsidRPr="00AD131C" w14:paraId="0CEE69FA" w14:textId="77777777" w:rsidTr="00AD131C">
        <w:trPr>
          <w:trHeight w:val="255"/>
        </w:trPr>
        <w:tc>
          <w:tcPr>
            <w:tcW w:w="1181" w:type="dxa"/>
            <w:tcBorders>
              <w:top w:val="nil"/>
              <w:left w:val="single" w:sz="8" w:space="0" w:color="auto"/>
              <w:bottom w:val="nil"/>
              <w:right w:val="single" w:sz="8" w:space="0" w:color="auto"/>
            </w:tcBorders>
            <w:shd w:val="clear" w:color="auto" w:fill="auto"/>
            <w:noWrap/>
            <w:vAlign w:val="center"/>
            <w:hideMark/>
          </w:tcPr>
          <w:p w14:paraId="41A00561"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E</w:t>
            </w:r>
          </w:p>
        </w:tc>
        <w:tc>
          <w:tcPr>
            <w:tcW w:w="1076" w:type="dxa"/>
            <w:tcBorders>
              <w:top w:val="nil"/>
              <w:left w:val="nil"/>
              <w:bottom w:val="single" w:sz="4" w:space="0" w:color="auto"/>
              <w:right w:val="single" w:sz="4" w:space="0" w:color="auto"/>
            </w:tcBorders>
            <w:shd w:val="clear" w:color="auto" w:fill="auto"/>
            <w:noWrap/>
            <w:vAlign w:val="center"/>
            <w:hideMark/>
          </w:tcPr>
          <w:p w14:paraId="32FB423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987" w:type="dxa"/>
            <w:tcBorders>
              <w:top w:val="nil"/>
              <w:left w:val="nil"/>
              <w:bottom w:val="single" w:sz="4" w:space="0" w:color="auto"/>
              <w:right w:val="single" w:sz="4" w:space="0" w:color="auto"/>
            </w:tcBorders>
            <w:shd w:val="clear" w:color="auto" w:fill="auto"/>
            <w:noWrap/>
            <w:vAlign w:val="center"/>
            <w:hideMark/>
          </w:tcPr>
          <w:p w14:paraId="6C28FC7E"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1077" w:type="dxa"/>
            <w:tcBorders>
              <w:top w:val="nil"/>
              <w:left w:val="nil"/>
              <w:bottom w:val="single" w:sz="4" w:space="0" w:color="auto"/>
              <w:right w:val="single" w:sz="4" w:space="0" w:color="auto"/>
            </w:tcBorders>
            <w:shd w:val="clear" w:color="auto" w:fill="auto"/>
            <w:noWrap/>
            <w:vAlign w:val="center"/>
            <w:hideMark/>
          </w:tcPr>
          <w:p w14:paraId="7B6B61E9"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1166" w:type="dxa"/>
            <w:tcBorders>
              <w:top w:val="nil"/>
              <w:left w:val="nil"/>
              <w:bottom w:val="single" w:sz="4" w:space="0" w:color="auto"/>
              <w:right w:val="single" w:sz="4" w:space="0" w:color="auto"/>
            </w:tcBorders>
            <w:shd w:val="clear" w:color="auto" w:fill="auto"/>
            <w:noWrap/>
            <w:vAlign w:val="center"/>
            <w:hideMark/>
          </w:tcPr>
          <w:p w14:paraId="61981676"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1166" w:type="dxa"/>
            <w:tcBorders>
              <w:top w:val="nil"/>
              <w:left w:val="nil"/>
              <w:bottom w:val="single" w:sz="4" w:space="0" w:color="auto"/>
              <w:right w:val="single" w:sz="4" w:space="0" w:color="auto"/>
            </w:tcBorders>
            <w:shd w:val="clear" w:color="auto" w:fill="auto"/>
            <w:noWrap/>
            <w:vAlign w:val="center"/>
            <w:hideMark/>
          </w:tcPr>
          <w:p w14:paraId="22A29F96"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1100" w:type="dxa"/>
            <w:tcBorders>
              <w:top w:val="nil"/>
              <w:left w:val="nil"/>
              <w:bottom w:val="single" w:sz="4" w:space="0" w:color="auto"/>
              <w:right w:val="single" w:sz="4" w:space="0" w:color="auto"/>
            </w:tcBorders>
            <w:shd w:val="clear" w:color="auto" w:fill="auto"/>
            <w:noWrap/>
            <w:vAlign w:val="center"/>
            <w:hideMark/>
          </w:tcPr>
          <w:p w14:paraId="53D0F47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992" w:type="dxa"/>
            <w:tcBorders>
              <w:top w:val="nil"/>
              <w:left w:val="nil"/>
              <w:bottom w:val="single" w:sz="4" w:space="0" w:color="auto"/>
              <w:right w:val="single" w:sz="4" w:space="0" w:color="auto"/>
            </w:tcBorders>
            <w:shd w:val="clear" w:color="auto" w:fill="auto"/>
            <w:noWrap/>
            <w:vAlign w:val="center"/>
            <w:hideMark/>
          </w:tcPr>
          <w:p w14:paraId="124045B1"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c>
          <w:tcPr>
            <w:tcW w:w="738" w:type="dxa"/>
            <w:tcBorders>
              <w:top w:val="nil"/>
              <w:left w:val="nil"/>
              <w:bottom w:val="single" w:sz="4" w:space="0" w:color="auto"/>
              <w:right w:val="single" w:sz="8" w:space="0" w:color="auto"/>
            </w:tcBorders>
            <w:shd w:val="clear" w:color="auto" w:fill="auto"/>
            <w:noWrap/>
            <w:vAlign w:val="center"/>
            <w:hideMark/>
          </w:tcPr>
          <w:p w14:paraId="46BE487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 </w:t>
            </w:r>
          </w:p>
        </w:tc>
      </w:tr>
      <w:tr w:rsidR="00AD131C" w:rsidRPr="00AD131C" w14:paraId="7D655E6C" w14:textId="77777777" w:rsidTr="00AD131C">
        <w:trPr>
          <w:trHeight w:val="255"/>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14:paraId="31645B8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131C">
              <w:rPr>
                <w:rFonts w:ascii="Arial" w:hAnsi="Arial" w:cs="Arial"/>
                <w:b/>
                <w:bCs/>
                <w:color w:val="000000"/>
                <w:sz w:val="18"/>
                <w:szCs w:val="18"/>
                <w:lang w:eastAsia="zh-CN"/>
              </w:rPr>
              <w:t>Overall</w:t>
            </w:r>
          </w:p>
        </w:tc>
        <w:tc>
          <w:tcPr>
            <w:tcW w:w="1076" w:type="dxa"/>
            <w:tcBorders>
              <w:top w:val="nil"/>
              <w:left w:val="nil"/>
              <w:bottom w:val="single" w:sz="4" w:space="0" w:color="auto"/>
              <w:right w:val="single" w:sz="4" w:space="0" w:color="auto"/>
            </w:tcBorders>
            <w:shd w:val="clear" w:color="auto" w:fill="auto"/>
            <w:noWrap/>
            <w:vAlign w:val="center"/>
            <w:hideMark/>
          </w:tcPr>
          <w:p w14:paraId="7217733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-2.35%</w:t>
            </w:r>
          </w:p>
        </w:tc>
        <w:tc>
          <w:tcPr>
            <w:tcW w:w="987" w:type="dxa"/>
            <w:tcBorders>
              <w:top w:val="nil"/>
              <w:left w:val="nil"/>
              <w:bottom w:val="single" w:sz="4" w:space="0" w:color="auto"/>
              <w:right w:val="single" w:sz="4" w:space="0" w:color="auto"/>
            </w:tcBorders>
            <w:shd w:val="clear" w:color="auto" w:fill="auto"/>
            <w:noWrap/>
            <w:vAlign w:val="center"/>
            <w:hideMark/>
          </w:tcPr>
          <w:p w14:paraId="08AB57B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-1.44%</w:t>
            </w:r>
          </w:p>
        </w:tc>
        <w:tc>
          <w:tcPr>
            <w:tcW w:w="1077" w:type="dxa"/>
            <w:tcBorders>
              <w:top w:val="nil"/>
              <w:left w:val="nil"/>
              <w:bottom w:val="single" w:sz="4" w:space="0" w:color="auto"/>
              <w:right w:val="single" w:sz="4" w:space="0" w:color="auto"/>
            </w:tcBorders>
            <w:shd w:val="clear" w:color="auto" w:fill="auto"/>
            <w:noWrap/>
            <w:vAlign w:val="center"/>
            <w:hideMark/>
          </w:tcPr>
          <w:p w14:paraId="3051392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-2.63%</w:t>
            </w:r>
          </w:p>
        </w:tc>
        <w:tc>
          <w:tcPr>
            <w:tcW w:w="1166" w:type="dxa"/>
            <w:tcBorders>
              <w:top w:val="nil"/>
              <w:left w:val="nil"/>
              <w:bottom w:val="single" w:sz="4" w:space="0" w:color="auto"/>
              <w:right w:val="single" w:sz="4" w:space="0" w:color="auto"/>
            </w:tcBorders>
            <w:shd w:val="clear" w:color="auto" w:fill="auto"/>
            <w:noWrap/>
            <w:vAlign w:val="center"/>
            <w:hideMark/>
          </w:tcPr>
          <w:p w14:paraId="3709C0E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-0.93%</w:t>
            </w:r>
          </w:p>
        </w:tc>
        <w:tc>
          <w:tcPr>
            <w:tcW w:w="1166" w:type="dxa"/>
            <w:tcBorders>
              <w:top w:val="nil"/>
              <w:left w:val="nil"/>
              <w:bottom w:val="single" w:sz="4" w:space="0" w:color="auto"/>
              <w:right w:val="single" w:sz="4" w:space="0" w:color="auto"/>
            </w:tcBorders>
            <w:shd w:val="clear" w:color="auto" w:fill="auto"/>
            <w:noWrap/>
            <w:vAlign w:val="center"/>
            <w:hideMark/>
          </w:tcPr>
          <w:p w14:paraId="0C39C81E"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-1.01%</w:t>
            </w:r>
          </w:p>
        </w:tc>
        <w:tc>
          <w:tcPr>
            <w:tcW w:w="1100" w:type="dxa"/>
            <w:tcBorders>
              <w:top w:val="nil"/>
              <w:left w:val="nil"/>
              <w:bottom w:val="single" w:sz="4" w:space="0" w:color="auto"/>
              <w:right w:val="single" w:sz="4" w:space="0" w:color="auto"/>
            </w:tcBorders>
            <w:shd w:val="clear" w:color="auto" w:fill="auto"/>
            <w:noWrap/>
            <w:vAlign w:val="center"/>
            <w:hideMark/>
          </w:tcPr>
          <w:p w14:paraId="1FBEDFD9"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-2.16%</w:t>
            </w:r>
          </w:p>
        </w:tc>
        <w:tc>
          <w:tcPr>
            <w:tcW w:w="992" w:type="dxa"/>
            <w:tcBorders>
              <w:top w:val="nil"/>
              <w:left w:val="nil"/>
              <w:bottom w:val="single" w:sz="4" w:space="0" w:color="auto"/>
              <w:right w:val="single" w:sz="4" w:space="0" w:color="auto"/>
            </w:tcBorders>
            <w:shd w:val="clear" w:color="auto" w:fill="auto"/>
            <w:noWrap/>
            <w:vAlign w:val="center"/>
            <w:hideMark/>
          </w:tcPr>
          <w:p w14:paraId="789E3D1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125%</w:t>
            </w:r>
          </w:p>
        </w:tc>
        <w:tc>
          <w:tcPr>
            <w:tcW w:w="738" w:type="dxa"/>
            <w:tcBorders>
              <w:top w:val="nil"/>
              <w:left w:val="nil"/>
              <w:bottom w:val="single" w:sz="4" w:space="0" w:color="auto"/>
              <w:right w:val="single" w:sz="8" w:space="0" w:color="auto"/>
            </w:tcBorders>
            <w:shd w:val="clear" w:color="auto" w:fill="auto"/>
            <w:noWrap/>
            <w:vAlign w:val="center"/>
            <w:hideMark/>
          </w:tcPr>
          <w:p w14:paraId="699B144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112%</w:t>
            </w:r>
          </w:p>
        </w:tc>
      </w:tr>
      <w:tr w:rsidR="00AD131C" w:rsidRPr="00AD131C" w14:paraId="59F6F02E" w14:textId="77777777" w:rsidTr="00AD131C">
        <w:trPr>
          <w:trHeight w:val="255"/>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14:paraId="34E460C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D</w:t>
            </w:r>
          </w:p>
        </w:tc>
        <w:tc>
          <w:tcPr>
            <w:tcW w:w="1076" w:type="dxa"/>
            <w:tcBorders>
              <w:top w:val="nil"/>
              <w:left w:val="nil"/>
              <w:bottom w:val="single" w:sz="4" w:space="0" w:color="auto"/>
              <w:right w:val="single" w:sz="4" w:space="0" w:color="auto"/>
            </w:tcBorders>
            <w:shd w:val="clear" w:color="auto" w:fill="auto"/>
            <w:noWrap/>
            <w:vAlign w:val="center"/>
            <w:hideMark/>
          </w:tcPr>
          <w:p w14:paraId="386087FB"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-0.52%</w:t>
            </w:r>
          </w:p>
        </w:tc>
        <w:tc>
          <w:tcPr>
            <w:tcW w:w="987" w:type="dxa"/>
            <w:tcBorders>
              <w:top w:val="nil"/>
              <w:left w:val="nil"/>
              <w:bottom w:val="single" w:sz="4" w:space="0" w:color="auto"/>
              <w:right w:val="single" w:sz="4" w:space="0" w:color="auto"/>
            </w:tcBorders>
            <w:shd w:val="clear" w:color="auto" w:fill="auto"/>
            <w:noWrap/>
            <w:vAlign w:val="center"/>
            <w:hideMark/>
          </w:tcPr>
          <w:p w14:paraId="6A4D870A"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0.42%</w:t>
            </w:r>
          </w:p>
        </w:tc>
        <w:tc>
          <w:tcPr>
            <w:tcW w:w="1077" w:type="dxa"/>
            <w:tcBorders>
              <w:top w:val="nil"/>
              <w:left w:val="nil"/>
              <w:bottom w:val="single" w:sz="4" w:space="0" w:color="auto"/>
              <w:right w:val="single" w:sz="4" w:space="0" w:color="auto"/>
            </w:tcBorders>
            <w:shd w:val="clear" w:color="auto" w:fill="auto"/>
            <w:noWrap/>
            <w:vAlign w:val="center"/>
            <w:hideMark/>
          </w:tcPr>
          <w:p w14:paraId="3B42893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-2.76%</w:t>
            </w:r>
          </w:p>
        </w:tc>
        <w:tc>
          <w:tcPr>
            <w:tcW w:w="1166" w:type="dxa"/>
            <w:tcBorders>
              <w:top w:val="nil"/>
              <w:left w:val="nil"/>
              <w:bottom w:val="single" w:sz="4" w:space="0" w:color="auto"/>
              <w:right w:val="single" w:sz="4" w:space="0" w:color="auto"/>
            </w:tcBorders>
            <w:shd w:val="clear" w:color="auto" w:fill="auto"/>
            <w:noWrap/>
            <w:vAlign w:val="center"/>
            <w:hideMark/>
          </w:tcPr>
          <w:p w14:paraId="0295C84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0.28%</w:t>
            </w:r>
          </w:p>
        </w:tc>
        <w:tc>
          <w:tcPr>
            <w:tcW w:w="1166" w:type="dxa"/>
            <w:tcBorders>
              <w:top w:val="nil"/>
              <w:left w:val="nil"/>
              <w:bottom w:val="single" w:sz="4" w:space="0" w:color="auto"/>
              <w:right w:val="single" w:sz="4" w:space="0" w:color="auto"/>
            </w:tcBorders>
            <w:shd w:val="clear" w:color="auto" w:fill="auto"/>
            <w:noWrap/>
            <w:vAlign w:val="center"/>
            <w:hideMark/>
          </w:tcPr>
          <w:p w14:paraId="4730734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0.15%</w:t>
            </w:r>
          </w:p>
        </w:tc>
        <w:tc>
          <w:tcPr>
            <w:tcW w:w="110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8C43D53"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-3.30%</w:t>
            </w:r>
          </w:p>
        </w:tc>
        <w:tc>
          <w:tcPr>
            <w:tcW w:w="992" w:type="dxa"/>
            <w:tcBorders>
              <w:top w:val="nil"/>
              <w:left w:val="nil"/>
              <w:bottom w:val="single" w:sz="4" w:space="0" w:color="auto"/>
              <w:right w:val="single" w:sz="4" w:space="0" w:color="auto"/>
            </w:tcBorders>
            <w:shd w:val="clear" w:color="auto" w:fill="auto"/>
            <w:noWrap/>
            <w:vAlign w:val="center"/>
            <w:hideMark/>
          </w:tcPr>
          <w:p w14:paraId="0B71564C"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148%</w:t>
            </w:r>
          </w:p>
        </w:tc>
        <w:tc>
          <w:tcPr>
            <w:tcW w:w="738" w:type="dxa"/>
            <w:tcBorders>
              <w:top w:val="nil"/>
              <w:left w:val="nil"/>
              <w:bottom w:val="single" w:sz="4" w:space="0" w:color="auto"/>
              <w:right w:val="single" w:sz="8" w:space="0" w:color="auto"/>
            </w:tcBorders>
            <w:shd w:val="clear" w:color="auto" w:fill="auto"/>
            <w:noWrap/>
            <w:vAlign w:val="center"/>
            <w:hideMark/>
          </w:tcPr>
          <w:p w14:paraId="16085D7B"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107%</w:t>
            </w:r>
          </w:p>
        </w:tc>
      </w:tr>
      <w:tr w:rsidR="00AD131C" w:rsidRPr="00AD131C" w14:paraId="5C8ACC6F" w14:textId="77777777" w:rsidTr="00AD131C">
        <w:trPr>
          <w:trHeight w:val="255"/>
        </w:trPr>
        <w:tc>
          <w:tcPr>
            <w:tcW w:w="1181" w:type="dxa"/>
            <w:tcBorders>
              <w:top w:val="nil"/>
              <w:left w:val="single" w:sz="8" w:space="0" w:color="auto"/>
              <w:bottom w:val="single" w:sz="8" w:space="0" w:color="auto"/>
              <w:right w:val="single" w:sz="8" w:space="0" w:color="auto"/>
            </w:tcBorders>
            <w:shd w:val="clear" w:color="auto" w:fill="auto"/>
            <w:noWrap/>
            <w:vAlign w:val="center"/>
            <w:hideMark/>
          </w:tcPr>
          <w:p w14:paraId="7168ECE6"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Class F (optional)</w:t>
            </w:r>
          </w:p>
        </w:tc>
        <w:tc>
          <w:tcPr>
            <w:tcW w:w="1076" w:type="dxa"/>
            <w:tcBorders>
              <w:top w:val="single" w:sz="4" w:space="0" w:color="auto"/>
              <w:left w:val="single" w:sz="8" w:space="0" w:color="auto"/>
              <w:bottom w:val="single" w:sz="8" w:space="0" w:color="auto"/>
              <w:right w:val="single" w:sz="4" w:space="0" w:color="auto"/>
            </w:tcBorders>
            <w:shd w:val="clear" w:color="000000" w:fill="CCFFCC"/>
            <w:noWrap/>
            <w:vAlign w:val="center"/>
            <w:hideMark/>
          </w:tcPr>
          <w:p w14:paraId="61552BB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-6.09%</w:t>
            </w:r>
          </w:p>
        </w:tc>
        <w:tc>
          <w:tcPr>
            <w:tcW w:w="987"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1B7BD8F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-4.39%</w:t>
            </w:r>
          </w:p>
        </w:tc>
        <w:tc>
          <w:tcPr>
            <w:tcW w:w="1077"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794027E4"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131C">
              <w:rPr>
                <w:rFonts w:ascii="Arial" w:hAnsi="Arial" w:cs="Arial"/>
                <w:sz w:val="18"/>
                <w:szCs w:val="18"/>
                <w:lang w:eastAsia="zh-CN"/>
              </w:rPr>
              <w:t>-6.63%</w:t>
            </w:r>
          </w:p>
        </w:tc>
        <w:tc>
          <w:tcPr>
            <w:tcW w:w="1166" w:type="dxa"/>
            <w:tcBorders>
              <w:top w:val="nil"/>
              <w:left w:val="nil"/>
              <w:bottom w:val="single" w:sz="8" w:space="0" w:color="auto"/>
              <w:right w:val="single" w:sz="4" w:space="0" w:color="auto"/>
            </w:tcBorders>
            <w:shd w:val="clear" w:color="auto" w:fill="auto"/>
            <w:noWrap/>
            <w:vAlign w:val="center"/>
            <w:hideMark/>
          </w:tcPr>
          <w:p w14:paraId="2D4748B2"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1.53%</w:t>
            </w:r>
          </w:p>
        </w:tc>
        <w:tc>
          <w:tcPr>
            <w:tcW w:w="1166" w:type="dxa"/>
            <w:tcBorders>
              <w:top w:val="nil"/>
              <w:left w:val="nil"/>
              <w:bottom w:val="single" w:sz="8" w:space="0" w:color="auto"/>
              <w:right w:val="single" w:sz="4" w:space="0" w:color="auto"/>
            </w:tcBorders>
            <w:shd w:val="clear" w:color="auto" w:fill="auto"/>
            <w:noWrap/>
            <w:vAlign w:val="center"/>
            <w:hideMark/>
          </w:tcPr>
          <w:p w14:paraId="22BC99A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1.81%</w:t>
            </w:r>
          </w:p>
        </w:tc>
        <w:tc>
          <w:tcPr>
            <w:tcW w:w="1100" w:type="dxa"/>
            <w:tcBorders>
              <w:top w:val="nil"/>
              <w:left w:val="nil"/>
              <w:bottom w:val="single" w:sz="8" w:space="0" w:color="auto"/>
              <w:right w:val="single" w:sz="4" w:space="0" w:color="auto"/>
            </w:tcBorders>
            <w:shd w:val="clear" w:color="auto" w:fill="auto"/>
            <w:noWrap/>
            <w:vAlign w:val="center"/>
            <w:hideMark/>
          </w:tcPr>
          <w:p w14:paraId="3860407D"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1.24%</w:t>
            </w:r>
          </w:p>
        </w:tc>
        <w:tc>
          <w:tcPr>
            <w:tcW w:w="992" w:type="dxa"/>
            <w:tcBorders>
              <w:top w:val="nil"/>
              <w:left w:val="nil"/>
              <w:bottom w:val="single" w:sz="8" w:space="0" w:color="auto"/>
              <w:right w:val="single" w:sz="4" w:space="0" w:color="auto"/>
            </w:tcBorders>
            <w:shd w:val="clear" w:color="auto" w:fill="auto"/>
            <w:noWrap/>
            <w:vAlign w:val="center"/>
            <w:hideMark/>
          </w:tcPr>
          <w:p w14:paraId="5F96CF8E"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141%</w:t>
            </w:r>
          </w:p>
        </w:tc>
        <w:tc>
          <w:tcPr>
            <w:tcW w:w="738" w:type="dxa"/>
            <w:tcBorders>
              <w:top w:val="nil"/>
              <w:left w:val="nil"/>
              <w:bottom w:val="single" w:sz="8" w:space="0" w:color="auto"/>
              <w:right w:val="single" w:sz="8" w:space="0" w:color="auto"/>
            </w:tcBorders>
            <w:shd w:val="clear" w:color="auto" w:fill="auto"/>
            <w:noWrap/>
            <w:vAlign w:val="center"/>
            <w:hideMark/>
          </w:tcPr>
          <w:p w14:paraId="37A553C0" w14:textId="77777777" w:rsidR="00AD131C" w:rsidRPr="00AD131C" w:rsidRDefault="00AD131C" w:rsidP="00AD1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131C">
              <w:rPr>
                <w:rFonts w:ascii="Arial" w:hAnsi="Arial" w:cs="Arial"/>
                <w:color w:val="000000"/>
                <w:sz w:val="18"/>
                <w:szCs w:val="18"/>
                <w:lang w:eastAsia="zh-CN"/>
              </w:rPr>
              <w:t>111%</w:t>
            </w:r>
          </w:p>
        </w:tc>
      </w:tr>
    </w:tbl>
    <w:p w14:paraId="4320B24B" w14:textId="6D18DB2A" w:rsidR="00A723CB" w:rsidRPr="00820848" w:rsidRDefault="00A723CB" w:rsidP="00092AE9">
      <w:pPr>
        <w:jc w:val="center"/>
        <w:rPr>
          <w:b/>
          <w:i/>
        </w:rPr>
      </w:pPr>
      <w:proofErr w:type="gramStart"/>
      <w:r w:rsidRPr="00820848">
        <w:rPr>
          <w:b/>
          <w:i/>
        </w:rPr>
        <w:t>Table 1.</w:t>
      </w:r>
      <w:proofErr w:type="gramEnd"/>
      <w:r w:rsidRPr="00820848">
        <w:rPr>
          <w:b/>
          <w:i/>
        </w:rPr>
        <w:t xml:space="preserve"> </w:t>
      </w:r>
      <w:r w:rsidR="00263608">
        <w:rPr>
          <w:b/>
          <w:i/>
        </w:rPr>
        <w:t xml:space="preserve">Memory bandwidth comparison </w:t>
      </w:r>
      <w:r w:rsidRPr="00820848">
        <w:rPr>
          <w:b/>
          <w:i/>
        </w:rPr>
        <w:t>(</w:t>
      </w:r>
      <w:r w:rsidR="00020907">
        <w:rPr>
          <w:b/>
          <w:i/>
        </w:rPr>
        <w:t>VTM5</w:t>
      </w:r>
      <w:r w:rsidR="00092AE9">
        <w:rPr>
          <w:b/>
          <w:i/>
        </w:rPr>
        <w:t>.0 vs.</w:t>
      </w:r>
      <w:r w:rsidR="00020907">
        <w:rPr>
          <w:b/>
          <w:i/>
        </w:rPr>
        <w:t>VTM4.</w:t>
      </w:r>
      <w:r w:rsidR="002E65D9">
        <w:rPr>
          <w:b/>
          <w:i/>
        </w:rPr>
        <w:t>0</w:t>
      </w:r>
      <w:r w:rsidR="00F16944">
        <w:rPr>
          <w:b/>
          <w:i/>
        </w:rPr>
        <w:t>, RA</w:t>
      </w:r>
      <w:r w:rsidRPr="00820848">
        <w:rPr>
          <w:b/>
          <w:i/>
        </w:rPr>
        <w:t>)</w:t>
      </w:r>
    </w:p>
    <w:p w14:paraId="586EAA4F" w14:textId="77777777" w:rsidR="00A723CB" w:rsidRDefault="00A723CB" w:rsidP="00A723CB">
      <w:r>
        <w:t>Where</w:t>
      </w:r>
    </w:p>
    <w:p w14:paraId="28886C8C" w14:textId="3FF701CD" w:rsidR="00A723CB" w:rsidRPr="00820848" w:rsidRDefault="00A723CB" w:rsidP="00A723CB">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TCM</w:t>
      </w:r>
      <w:r>
        <w:rPr>
          <w:rFonts w:ascii="Times New Roman" w:hAnsi="Times New Roman" w:cs="Times New Roman"/>
        </w:rPr>
        <w:t>_</w:t>
      </w:r>
      <w:proofErr w:type="gramStart"/>
      <w:r>
        <w:rPr>
          <w:rFonts w:ascii="Times New Roman" w:hAnsi="Times New Roman" w:cs="Times New Roman"/>
        </w:rPr>
        <w:t>diff</w:t>
      </w:r>
      <w:proofErr w:type="spellEnd"/>
      <w:r w:rsidRPr="00820848">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820848">
        <w:rPr>
          <w:rFonts w:ascii="Times New Roman" w:hAnsi="Times New Roman" w:cs="Times New Roman"/>
        </w:rPr>
        <w:t>Total cache misses (over all the frames coded)</w:t>
      </w:r>
      <w:r>
        <w:rPr>
          <w:rFonts w:ascii="Times New Roman" w:hAnsi="Times New Roman" w:cs="Times New Roman"/>
        </w:rPr>
        <w:t xml:space="preserve">, percentage </w:t>
      </w:r>
      <w:r w:rsidR="00020907">
        <w:rPr>
          <w:rFonts w:ascii="Times New Roman" w:hAnsi="Times New Roman" w:cs="Times New Roman"/>
        </w:rPr>
        <w:t xml:space="preserve">difference </w:t>
      </w:r>
      <w:r>
        <w:rPr>
          <w:rFonts w:ascii="Times New Roman" w:hAnsi="Times New Roman" w:cs="Times New Roman"/>
        </w:rPr>
        <w:t>relative to VTM</w:t>
      </w:r>
      <w:r w:rsidR="00020907">
        <w:rPr>
          <w:rFonts w:ascii="Times New Roman" w:hAnsi="Times New Roman" w:cs="Times New Roman"/>
        </w:rPr>
        <w:t>4.</w:t>
      </w:r>
      <w:r w:rsidR="001F4C2D">
        <w:rPr>
          <w:rFonts w:ascii="Times New Roman" w:hAnsi="Times New Roman" w:cs="Times New Roman"/>
        </w:rPr>
        <w:t>0</w:t>
      </w:r>
      <w:r>
        <w:rPr>
          <w:rFonts w:ascii="Times New Roman" w:hAnsi="Times New Roman" w:cs="Times New Roman"/>
        </w:rPr>
        <w:t xml:space="preserve">. </w:t>
      </w:r>
    </w:p>
    <w:p w14:paraId="167B45FA" w14:textId="110017AC" w:rsidR="00A723CB" w:rsidRPr="001F4C2D" w:rsidRDefault="00A723CB" w:rsidP="001F4C2D">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ABW</w:t>
      </w:r>
      <w:r>
        <w:rPr>
          <w:rFonts w:ascii="Times New Roman" w:hAnsi="Times New Roman" w:cs="Times New Roman"/>
        </w:rPr>
        <w:t>_diff</w:t>
      </w:r>
      <w:proofErr w:type="spellEnd"/>
      <w:r>
        <w:rPr>
          <w:rFonts w:ascii="Times New Roman" w:hAnsi="Times New Roman" w:cs="Times New Roman"/>
        </w:rPr>
        <w:t>:</w:t>
      </w:r>
      <w:r w:rsidRPr="00820848">
        <w:rPr>
          <w:rFonts w:ascii="Times New Roman" w:hAnsi="Times New Roman" w:cs="Times New Roman"/>
        </w:rPr>
        <w:t xml:space="preserve"> Average memory bandwidth (over all the frames coded)</w:t>
      </w:r>
      <w:r>
        <w:rPr>
          <w:rFonts w:ascii="Times New Roman" w:hAnsi="Times New Roman" w:cs="Times New Roman"/>
        </w:rPr>
        <w:t>, perc</w:t>
      </w:r>
      <w:r w:rsidR="00020907">
        <w:rPr>
          <w:rFonts w:ascii="Times New Roman" w:hAnsi="Times New Roman" w:cs="Times New Roman"/>
        </w:rPr>
        <w:t>entage difference relative to VTM4.</w:t>
      </w:r>
      <w:r w:rsidR="001F4C2D">
        <w:rPr>
          <w:rFonts w:ascii="Times New Roman" w:hAnsi="Times New Roman" w:cs="Times New Roman"/>
        </w:rPr>
        <w:t>0</w:t>
      </w:r>
      <w:r>
        <w:rPr>
          <w:rFonts w:ascii="Times New Roman" w:hAnsi="Times New Roman" w:cs="Times New Roman"/>
        </w:rPr>
        <w:t xml:space="preserve">. </w:t>
      </w:r>
    </w:p>
    <w:p w14:paraId="12383814" w14:textId="39ECDAF1" w:rsidR="00A723CB" w:rsidRPr="00CC4C7D" w:rsidRDefault="00A723CB" w:rsidP="00A723CB">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MBW</w:t>
      </w:r>
      <w:r>
        <w:rPr>
          <w:rFonts w:ascii="Times New Roman" w:hAnsi="Times New Roman" w:cs="Times New Roman"/>
        </w:rPr>
        <w:t>_</w:t>
      </w:r>
      <w:proofErr w:type="gramStart"/>
      <w:r>
        <w:rPr>
          <w:rFonts w:ascii="Times New Roman" w:hAnsi="Times New Roman" w:cs="Times New Roman"/>
        </w:rPr>
        <w:t>diff</w:t>
      </w:r>
      <w:proofErr w:type="spellEnd"/>
      <w:r>
        <w:rPr>
          <w:rFonts w:ascii="Times New Roman" w:hAnsi="Times New Roman" w:cs="Times New Roman"/>
        </w:rPr>
        <w:t xml:space="preserve"> :</w:t>
      </w:r>
      <w:proofErr w:type="gramEnd"/>
      <w:r>
        <w:rPr>
          <w:rFonts w:ascii="Times New Roman" w:hAnsi="Times New Roman" w:cs="Times New Roman"/>
        </w:rPr>
        <w:t xml:space="preserve"> </w:t>
      </w:r>
      <w:r w:rsidRPr="00820848">
        <w:rPr>
          <w:rFonts w:ascii="Times New Roman" w:hAnsi="Times New Roman" w:cs="Times New Roman"/>
        </w:rPr>
        <w:t>Worst case (Max) memory bandwidth (among all the frames coded)</w:t>
      </w:r>
      <w:r>
        <w:rPr>
          <w:rFonts w:ascii="Times New Roman" w:hAnsi="Times New Roman" w:cs="Times New Roman"/>
        </w:rPr>
        <w:t>, perc</w:t>
      </w:r>
      <w:r w:rsidR="00020907">
        <w:rPr>
          <w:rFonts w:ascii="Times New Roman" w:hAnsi="Times New Roman" w:cs="Times New Roman"/>
        </w:rPr>
        <w:t>entage difference relative to VTM4.</w:t>
      </w:r>
      <w:r w:rsidR="001F4C2D">
        <w:rPr>
          <w:rFonts w:ascii="Times New Roman" w:hAnsi="Times New Roman" w:cs="Times New Roman"/>
        </w:rPr>
        <w:t>0</w:t>
      </w:r>
      <w:r>
        <w:rPr>
          <w:rFonts w:ascii="Times New Roman" w:hAnsi="Times New Roman" w:cs="Times New Roman"/>
        </w:rPr>
        <w:t xml:space="preserve">. </w:t>
      </w:r>
      <w:r w:rsidRPr="00CC4C7D">
        <w:rPr>
          <w:rFonts w:ascii="Times New Roman" w:hAnsi="Times New Roman" w:cs="Times New Roman"/>
        </w:rPr>
        <w:t xml:space="preserve"> </w:t>
      </w:r>
    </w:p>
    <w:p w14:paraId="32941EE1" w14:textId="77777777" w:rsidR="00A723CB" w:rsidRDefault="00A723CB" w:rsidP="00A723CB">
      <w:pPr>
        <w:pStyle w:val="PlainText"/>
      </w:pPr>
      <w:r>
        <w:t> </w:t>
      </w:r>
    </w:p>
    <w:p w14:paraId="77716D63" w14:textId="01B89026" w:rsidR="00A723CB" w:rsidRDefault="00A723CB" w:rsidP="00A723CB">
      <w:pPr>
        <w:pStyle w:val="PlainText"/>
        <w:jc w:val="both"/>
        <w:rPr>
          <w:rFonts w:ascii="Times New Roman" w:hAnsi="Times New Roman" w:cs="Times New Roman"/>
        </w:rPr>
      </w:pPr>
      <w:proofErr w:type="spellStart"/>
      <w:r w:rsidRPr="00820848">
        <w:rPr>
          <w:rFonts w:ascii="Times New Roman" w:hAnsi="Times New Roman" w:cs="Times New Roman"/>
        </w:rPr>
        <w:t>MBW_diff</w:t>
      </w:r>
      <w:proofErr w:type="spellEnd"/>
      <w:r>
        <w:rPr>
          <w:rFonts w:ascii="Times New Roman" w:hAnsi="Times New Roman" w:cs="Times New Roman"/>
        </w:rPr>
        <w:t xml:space="preserve"> </w:t>
      </w:r>
      <w:r w:rsidRPr="00820848">
        <w:rPr>
          <w:rFonts w:ascii="Times New Roman" w:hAnsi="Times New Roman" w:cs="Times New Roman"/>
        </w:rPr>
        <w:t xml:space="preserve">is the most important measure, </w:t>
      </w:r>
      <w:r>
        <w:rPr>
          <w:rFonts w:ascii="Times New Roman" w:hAnsi="Times New Roman" w:cs="Times New Roman"/>
        </w:rPr>
        <w:t>which</w:t>
      </w:r>
      <w:r w:rsidRPr="00820848">
        <w:rPr>
          <w:rFonts w:ascii="Times New Roman" w:hAnsi="Times New Roman" w:cs="Times New Roman"/>
        </w:rPr>
        <w:t xml:space="preserve"> shows </w:t>
      </w:r>
      <w:r w:rsidR="00AB4242">
        <w:rPr>
          <w:rFonts w:ascii="Times New Roman" w:hAnsi="Times New Roman" w:cs="Times New Roman"/>
        </w:rPr>
        <w:t>the</w:t>
      </w:r>
      <w:r w:rsidRPr="00820848">
        <w:rPr>
          <w:rFonts w:ascii="Times New Roman" w:hAnsi="Times New Roman" w:cs="Times New Roman"/>
        </w:rPr>
        <w:t xml:space="preserve"> worst </w:t>
      </w:r>
      <w:r>
        <w:rPr>
          <w:rFonts w:ascii="Times New Roman" w:hAnsi="Times New Roman" w:cs="Times New Roman"/>
        </w:rPr>
        <w:t xml:space="preserve">case memory bandwidth </w:t>
      </w:r>
      <w:r w:rsidR="00AB4242">
        <w:rPr>
          <w:rFonts w:ascii="Times New Roman" w:hAnsi="Times New Roman" w:cs="Times New Roman"/>
        </w:rPr>
        <w:t xml:space="preserve">consumption </w:t>
      </w:r>
      <w:r w:rsidR="00020907">
        <w:rPr>
          <w:rFonts w:ascii="Times New Roman" w:hAnsi="Times New Roman" w:cs="Times New Roman"/>
        </w:rPr>
        <w:t>difference</w:t>
      </w:r>
      <w:r>
        <w:rPr>
          <w:rFonts w:ascii="Times New Roman" w:hAnsi="Times New Roman" w:cs="Times New Roman"/>
        </w:rPr>
        <w:t xml:space="preserve"> </w:t>
      </w:r>
      <w:r w:rsidR="00020907">
        <w:rPr>
          <w:rFonts w:ascii="Times New Roman" w:hAnsi="Times New Roman" w:cs="Times New Roman"/>
        </w:rPr>
        <w:t>of VTM5</w:t>
      </w:r>
      <w:r w:rsidR="00263608">
        <w:rPr>
          <w:rFonts w:ascii="Times New Roman" w:hAnsi="Times New Roman" w:cs="Times New Roman"/>
        </w:rPr>
        <w:t xml:space="preserve">.0 </w:t>
      </w:r>
      <w:r w:rsidR="00020907">
        <w:rPr>
          <w:rFonts w:ascii="Times New Roman" w:hAnsi="Times New Roman" w:cs="Times New Roman"/>
        </w:rPr>
        <w:t>relative to VTM4.</w:t>
      </w:r>
      <w:r w:rsidR="001F4C2D">
        <w:rPr>
          <w:rFonts w:ascii="Times New Roman" w:hAnsi="Times New Roman" w:cs="Times New Roman"/>
        </w:rPr>
        <w:t>0</w:t>
      </w:r>
      <w:r>
        <w:rPr>
          <w:rFonts w:ascii="Times New Roman" w:hAnsi="Times New Roman" w:cs="Times New Roman"/>
        </w:rPr>
        <w:t>.</w:t>
      </w:r>
    </w:p>
    <w:p w14:paraId="69662E19" w14:textId="77777777" w:rsidR="006908DA" w:rsidRDefault="006908DA" w:rsidP="00A723CB">
      <w:pPr>
        <w:pStyle w:val="PlainText"/>
        <w:jc w:val="both"/>
        <w:rPr>
          <w:rFonts w:ascii="Times New Roman" w:hAnsi="Times New Roman" w:cs="Times New Roman"/>
        </w:rPr>
      </w:pPr>
    </w:p>
    <w:p w14:paraId="6E4753BE" w14:textId="00F677FD" w:rsidR="006908DA" w:rsidRDefault="006908DA" w:rsidP="006908DA">
      <w:pPr>
        <w:pStyle w:val="Heading2"/>
        <w:rPr>
          <w:rStyle w:val="Emphasis"/>
          <w:bCs w:val="0"/>
        </w:rPr>
      </w:pPr>
      <w:r>
        <w:rPr>
          <w:rStyle w:val="Emphasis"/>
          <w:bCs w:val="0"/>
        </w:rPr>
        <w:lastRenderedPageBreak/>
        <w:t xml:space="preserve">Bin to bit ratio </w:t>
      </w:r>
      <w:r w:rsidR="005C4E9C">
        <w:rPr>
          <w:rStyle w:val="Emphasis"/>
          <w:bCs w:val="0"/>
        </w:rPr>
        <w:t xml:space="preserve">study for </w:t>
      </w:r>
      <w:r>
        <w:rPr>
          <w:rStyle w:val="Emphasis"/>
          <w:bCs w:val="0"/>
        </w:rPr>
        <w:t>VTM</w:t>
      </w:r>
      <w:r w:rsidR="00A21366">
        <w:rPr>
          <w:rStyle w:val="Emphasis"/>
          <w:bCs w:val="0"/>
        </w:rPr>
        <w:t>5</w:t>
      </w:r>
      <w:r>
        <w:rPr>
          <w:rStyle w:val="Emphasis"/>
          <w:bCs w:val="0"/>
        </w:rPr>
        <w:t xml:space="preserve">.0 </w:t>
      </w:r>
    </w:p>
    <w:p w14:paraId="6C0F9019" w14:textId="096AAE1F" w:rsidR="00AA4DB6" w:rsidRDefault="00FF398B" w:rsidP="00564861">
      <w:r>
        <w:t>It has been reported that the bin to bit ratio continues to increase from VTM4.0 to VTM5.0</w:t>
      </w:r>
      <w:r w:rsidR="00AA4DB6">
        <w:t>.</w:t>
      </w:r>
      <w:r w:rsidR="00CC2418">
        <w:t xml:space="preserve"> The summary results are provided in Table 2</w:t>
      </w:r>
      <w:r w:rsidR="0053694F">
        <w:t xml:space="preserve"> </w:t>
      </w:r>
      <w:r w:rsidR="00564861">
        <w:t>for informational purposes</w:t>
      </w:r>
      <w:r w:rsidR="00564861" w:rsidRPr="0053694F">
        <w:t xml:space="preserve"> </w:t>
      </w:r>
      <w:r>
        <w:t>(data from JVET-O0068</w:t>
      </w:r>
      <w:r w:rsidR="0053694F" w:rsidRPr="0053694F">
        <w:t>)</w:t>
      </w:r>
      <w:r w:rsidR="00CC2418" w:rsidRPr="0053694F">
        <w:t xml:space="preserve">.  </w:t>
      </w:r>
    </w:p>
    <w:p w14:paraId="5C013C71" w14:textId="77777777" w:rsidR="00FF398B" w:rsidRDefault="00FF398B" w:rsidP="00564861"/>
    <w:tbl>
      <w:tblPr>
        <w:tblW w:w="9491" w:type="dxa"/>
        <w:tblInd w:w="85" w:type="dxa"/>
        <w:tblLayout w:type="fixed"/>
        <w:tblLook w:val="04A0" w:firstRow="1" w:lastRow="0" w:firstColumn="1" w:lastColumn="0" w:noHBand="0" w:noVBand="1"/>
      </w:tblPr>
      <w:tblGrid>
        <w:gridCol w:w="506"/>
        <w:gridCol w:w="687"/>
        <w:gridCol w:w="81"/>
        <w:gridCol w:w="683"/>
        <w:gridCol w:w="683"/>
        <w:gridCol w:w="814"/>
        <w:gridCol w:w="799"/>
        <w:gridCol w:w="15"/>
        <w:gridCol w:w="729"/>
        <w:gridCol w:w="769"/>
        <w:gridCol w:w="684"/>
        <w:gridCol w:w="684"/>
        <w:gridCol w:w="814"/>
        <w:gridCol w:w="814"/>
        <w:gridCol w:w="729"/>
      </w:tblGrid>
      <w:tr w:rsidR="00FF398B" w:rsidRPr="00FF398B" w14:paraId="45460B3F" w14:textId="77777777" w:rsidTr="00FF398B">
        <w:trPr>
          <w:trHeight w:val="300"/>
        </w:trPr>
        <w:tc>
          <w:tcPr>
            <w:tcW w:w="506" w:type="dxa"/>
            <w:tcBorders>
              <w:top w:val="double" w:sz="6" w:space="0" w:color="auto"/>
              <w:left w:val="double" w:sz="6" w:space="0" w:color="auto"/>
              <w:bottom w:val="single" w:sz="4" w:space="0" w:color="auto"/>
              <w:right w:val="double" w:sz="6" w:space="0" w:color="auto"/>
            </w:tcBorders>
            <w:shd w:val="clear" w:color="auto" w:fill="auto"/>
            <w:noWrap/>
            <w:vAlign w:val="bottom"/>
            <w:hideMark/>
          </w:tcPr>
          <w:p w14:paraId="13ADB89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FF398B">
              <w:rPr>
                <w:rFonts w:ascii="Calibri" w:hAnsi="Calibri" w:cs="Calibri"/>
                <w:color w:val="000000"/>
                <w:szCs w:val="22"/>
                <w:lang w:eastAsia="zh-CN"/>
              </w:rPr>
              <w:t> </w:t>
            </w:r>
          </w:p>
        </w:tc>
        <w:tc>
          <w:tcPr>
            <w:tcW w:w="4491" w:type="dxa"/>
            <w:gridSpan w:val="8"/>
            <w:tcBorders>
              <w:top w:val="double" w:sz="6" w:space="0" w:color="auto"/>
              <w:left w:val="nil"/>
              <w:bottom w:val="single" w:sz="4" w:space="0" w:color="auto"/>
              <w:right w:val="double" w:sz="6" w:space="0" w:color="000000"/>
            </w:tcBorders>
            <w:shd w:val="clear" w:color="auto" w:fill="auto"/>
            <w:vAlign w:val="bottom"/>
            <w:hideMark/>
          </w:tcPr>
          <w:p w14:paraId="0A907379"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CN"/>
              </w:rPr>
            </w:pPr>
            <w:r w:rsidRPr="00FF398B">
              <w:rPr>
                <w:rFonts w:ascii="Calibri" w:hAnsi="Calibri" w:cs="Calibri"/>
                <w:b/>
                <w:bCs/>
                <w:color w:val="000000"/>
                <w:szCs w:val="22"/>
                <w:lang w:eastAsia="zh-CN"/>
              </w:rPr>
              <w:t xml:space="preserve"> Bin2bit ratio (peak, weighted)</w:t>
            </w:r>
          </w:p>
        </w:tc>
        <w:tc>
          <w:tcPr>
            <w:tcW w:w="4494" w:type="dxa"/>
            <w:gridSpan w:val="6"/>
            <w:tcBorders>
              <w:top w:val="double" w:sz="6" w:space="0" w:color="auto"/>
              <w:left w:val="nil"/>
              <w:bottom w:val="single" w:sz="4" w:space="0" w:color="auto"/>
              <w:right w:val="double" w:sz="6" w:space="0" w:color="000000"/>
            </w:tcBorders>
            <w:shd w:val="clear" w:color="auto" w:fill="auto"/>
            <w:vAlign w:val="bottom"/>
            <w:hideMark/>
          </w:tcPr>
          <w:p w14:paraId="62AA95E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CN"/>
              </w:rPr>
            </w:pPr>
            <w:r w:rsidRPr="00FF398B">
              <w:rPr>
                <w:rFonts w:ascii="Calibri" w:hAnsi="Calibri" w:cs="Calibri"/>
                <w:b/>
                <w:bCs/>
                <w:color w:val="000000"/>
                <w:szCs w:val="22"/>
                <w:lang w:eastAsia="zh-CN"/>
              </w:rPr>
              <w:t xml:space="preserve"> Bin2bit ratio (peak, </w:t>
            </w:r>
            <w:proofErr w:type="spellStart"/>
            <w:r w:rsidRPr="00FF398B">
              <w:rPr>
                <w:rFonts w:ascii="Calibri" w:hAnsi="Calibri" w:cs="Calibri"/>
                <w:b/>
                <w:bCs/>
                <w:color w:val="000000"/>
                <w:szCs w:val="22"/>
                <w:lang w:eastAsia="zh-CN"/>
              </w:rPr>
              <w:t>unweighted</w:t>
            </w:r>
            <w:proofErr w:type="spellEnd"/>
            <w:r w:rsidRPr="00FF398B">
              <w:rPr>
                <w:rFonts w:ascii="Calibri" w:hAnsi="Calibri" w:cs="Calibri"/>
                <w:b/>
                <w:bCs/>
                <w:color w:val="000000"/>
                <w:szCs w:val="22"/>
                <w:lang w:eastAsia="zh-CN"/>
              </w:rPr>
              <w:t>)</w:t>
            </w:r>
          </w:p>
        </w:tc>
      </w:tr>
      <w:tr w:rsidR="00FF398B" w:rsidRPr="00FF398B" w14:paraId="32341708" w14:textId="77777777" w:rsidTr="00FF398B">
        <w:trPr>
          <w:trHeight w:val="1452"/>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2B2A568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FF398B">
              <w:rPr>
                <w:rFonts w:ascii="Calibri" w:hAnsi="Calibri" w:cs="Calibri"/>
                <w:color w:val="000000"/>
                <w:szCs w:val="22"/>
                <w:lang w:eastAsia="zh-CN"/>
              </w:rPr>
              <w:t> </w:t>
            </w:r>
          </w:p>
        </w:tc>
        <w:tc>
          <w:tcPr>
            <w:tcW w:w="687" w:type="dxa"/>
            <w:tcBorders>
              <w:top w:val="nil"/>
              <w:left w:val="nil"/>
              <w:bottom w:val="single" w:sz="4" w:space="0" w:color="auto"/>
              <w:right w:val="single" w:sz="4" w:space="0" w:color="auto"/>
            </w:tcBorders>
            <w:shd w:val="clear" w:color="auto" w:fill="auto"/>
            <w:vAlign w:val="bottom"/>
            <w:hideMark/>
          </w:tcPr>
          <w:p w14:paraId="1246C02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HM16.19</w:t>
            </w:r>
          </w:p>
        </w:tc>
        <w:tc>
          <w:tcPr>
            <w:tcW w:w="764" w:type="dxa"/>
            <w:gridSpan w:val="2"/>
            <w:tcBorders>
              <w:top w:val="nil"/>
              <w:left w:val="nil"/>
              <w:bottom w:val="single" w:sz="4" w:space="0" w:color="auto"/>
              <w:right w:val="single" w:sz="4" w:space="0" w:color="auto"/>
            </w:tcBorders>
            <w:shd w:val="clear" w:color="auto" w:fill="auto"/>
            <w:vAlign w:val="bottom"/>
            <w:hideMark/>
          </w:tcPr>
          <w:p w14:paraId="3F457D3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VTM4.0</w:t>
            </w:r>
          </w:p>
        </w:tc>
        <w:tc>
          <w:tcPr>
            <w:tcW w:w="683" w:type="dxa"/>
            <w:tcBorders>
              <w:top w:val="nil"/>
              <w:left w:val="nil"/>
              <w:bottom w:val="single" w:sz="4" w:space="0" w:color="auto"/>
              <w:right w:val="single" w:sz="4" w:space="0" w:color="auto"/>
            </w:tcBorders>
            <w:shd w:val="clear" w:color="auto" w:fill="auto"/>
            <w:vAlign w:val="bottom"/>
            <w:hideMark/>
          </w:tcPr>
          <w:p w14:paraId="67E18EE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VTM5.0</w:t>
            </w:r>
          </w:p>
        </w:tc>
        <w:tc>
          <w:tcPr>
            <w:tcW w:w="814" w:type="dxa"/>
            <w:tcBorders>
              <w:top w:val="nil"/>
              <w:left w:val="nil"/>
              <w:bottom w:val="single" w:sz="4" w:space="0" w:color="auto"/>
              <w:right w:val="single" w:sz="4" w:space="0" w:color="auto"/>
            </w:tcBorders>
            <w:shd w:val="clear" w:color="auto" w:fill="auto"/>
            <w:vAlign w:val="bottom"/>
            <w:hideMark/>
          </w:tcPr>
          <w:p w14:paraId="533431A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 xml:space="preserve">diff (%, VMT4.0 vs. HM16.19) </w:t>
            </w:r>
          </w:p>
        </w:tc>
        <w:tc>
          <w:tcPr>
            <w:tcW w:w="799" w:type="dxa"/>
            <w:tcBorders>
              <w:top w:val="nil"/>
              <w:left w:val="nil"/>
              <w:bottom w:val="single" w:sz="4" w:space="0" w:color="auto"/>
              <w:right w:val="single" w:sz="4" w:space="0" w:color="auto"/>
            </w:tcBorders>
            <w:shd w:val="clear" w:color="auto" w:fill="auto"/>
            <w:vAlign w:val="bottom"/>
            <w:hideMark/>
          </w:tcPr>
          <w:p w14:paraId="14617F3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 xml:space="preserve">diff (%, VMT5.0 vs. HM16.19) </w:t>
            </w:r>
          </w:p>
        </w:tc>
        <w:tc>
          <w:tcPr>
            <w:tcW w:w="744" w:type="dxa"/>
            <w:gridSpan w:val="2"/>
            <w:tcBorders>
              <w:top w:val="nil"/>
              <w:left w:val="nil"/>
              <w:bottom w:val="single" w:sz="4" w:space="0" w:color="auto"/>
              <w:right w:val="double" w:sz="6" w:space="0" w:color="auto"/>
            </w:tcBorders>
            <w:shd w:val="clear" w:color="auto" w:fill="auto"/>
            <w:vAlign w:val="bottom"/>
            <w:hideMark/>
          </w:tcPr>
          <w:p w14:paraId="7B59B5D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 xml:space="preserve">diff* (%, VMT5.0 vs. VTM4.0) </w:t>
            </w:r>
          </w:p>
        </w:tc>
        <w:tc>
          <w:tcPr>
            <w:tcW w:w="769" w:type="dxa"/>
            <w:tcBorders>
              <w:top w:val="nil"/>
              <w:left w:val="nil"/>
              <w:bottom w:val="single" w:sz="4" w:space="0" w:color="auto"/>
              <w:right w:val="single" w:sz="4" w:space="0" w:color="auto"/>
            </w:tcBorders>
            <w:shd w:val="clear" w:color="auto" w:fill="auto"/>
            <w:vAlign w:val="bottom"/>
            <w:hideMark/>
          </w:tcPr>
          <w:p w14:paraId="3BA1218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HM16.19</w:t>
            </w:r>
          </w:p>
        </w:tc>
        <w:tc>
          <w:tcPr>
            <w:tcW w:w="684" w:type="dxa"/>
            <w:tcBorders>
              <w:top w:val="nil"/>
              <w:left w:val="nil"/>
              <w:bottom w:val="single" w:sz="4" w:space="0" w:color="auto"/>
              <w:right w:val="single" w:sz="4" w:space="0" w:color="auto"/>
            </w:tcBorders>
            <w:shd w:val="clear" w:color="auto" w:fill="auto"/>
            <w:vAlign w:val="bottom"/>
            <w:hideMark/>
          </w:tcPr>
          <w:p w14:paraId="2F8F91E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VTM4.0</w:t>
            </w:r>
          </w:p>
        </w:tc>
        <w:tc>
          <w:tcPr>
            <w:tcW w:w="684" w:type="dxa"/>
            <w:tcBorders>
              <w:top w:val="nil"/>
              <w:left w:val="nil"/>
              <w:bottom w:val="single" w:sz="4" w:space="0" w:color="auto"/>
              <w:right w:val="single" w:sz="4" w:space="0" w:color="auto"/>
            </w:tcBorders>
            <w:shd w:val="clear" w:color="auto" w:fill="auto"/>
            <w:vAlign w:val="bottom"/>
            <w:hideMark/>
          </w:tcPr>
          <w:p w14:paraId="31DD39A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VTM5.0</w:t>
            </w:r>
          </w:p>
        </w:tc>
        <w:tc>
          <w:tcPr>
            <w:tcW w:w="814" w:type="dxa"/>
            <w:tcBorders>
              <w:top w:val="nil"/>
              <w:left w:val="nil"/>
              <w:bottom w:val="single" w:sz="4" w:space="0" w:color="auto"/>
              <w:right w:val="single" w:sz="4" w:space="0" w:color="auto"/>
            </w:tcBorders>
            <w:shd w:val="clear" w:color="auto" w:fill="auto"/>
            <w:vAlign w:val="bottom"/>
            <w:hideMark/>
          </w:tcPr>
          <w:p w14:paraId="0EF9F41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 xml:space="preserve">diff (%, VMT4.0 vs. HM16.19) </w:t>
            </w:r>
          </w:p>
        </w:tc>
        <w:tc>
          <w:tcPr>
            <w:tcW w:w="814" w:type="dxa"/>
            <w:tcBorders>
              <w:top w:val="nil"/>
              <w:left w:val="nil"/>
              <w:bottom w:val="single" w:sz="4" w:space="0" w:color="auto"/>
              <w:right w:val="single" w:sz="4" w:space="0" w:color="auto"/>
            </w:tcBorders>
            <w:shd w:val="clear" w:color="auto" w:fill="auto"/>
            <w:vAlign w:val="bottom"/>
            <w:hideMark/>
          </w:tcPr>
          <w:p w14:paraId="26150AB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 xml:space="preserve">diff (%, VMT5.0 vs. HM16.19) </w:t>
            </w:r>
          </w:p>
        </w:tc>
        <w:tc>
          <w:tcPr>
            <w:tcW w:w="729" w:type="dxa"/>
            <w:tcBorders>
              <w:top w:val="nil"/>
              <w:left w:val="nil"/>
              <w:bottom w:val="single" w:sz="4" w:space="0" w:color="auto"/>
              <w:right w:val="double" w:sz="6" w:space="0" w:color="auto"/>
            </w:tcBorders>
            <w:shd w:val="clear" w:color="auto" w:fill="auto"/>
            <w:vAlign w:val="bottom"/>
            <w:hideMark/>
          </w:tcPr>
          <w:p w14:paraId="1047EBF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F398B">
              <w:rPr>
                <w:color w:val="000000"/>
                <w:sz w:val="18"/>
                <w:szCs w:val="18"/>
                <w:lang w:eastAsia="zh-CN"/>
              </w:rPr>
              <w:t xml:space="preserve">diff* (%, VMT5.0 vs. VTM4.0) </w:t>
            </w:r>
          </w:p>
        </w:tc>
      </w:tr>
      <w:tr w:rsidR="00FF398B" w:rsidRPr="00FF398B" w14:paraId="708184DD"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13645F8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FF398B">
              <w:rPr>
                <w:rFonts w:ascii="Calibri" w:hAnsi="Calibri" w:cs="Calibri"/>
                <w:color w:val="000000"/>
                <w:szCs w:val="22"/>
                <w:lang w:eastAsia="zh-CN"/>
              </w:rPr>
              <w:t> </w:t>
            </w:r>
          </w:p>
        </w:tc>
        <w:tc>
          <w:tcPr>
            <w:tcW w:w="8985" w:type="dxa"/>
            <w:gridSpan w:val="14"/>
            <w:tcBorders>
              <w:top w:val="nil"/>
              <w:left w:val="nil"/>
              <w:bottom w:val="nil"/>
              <w:right w:val="double" w:sz="6" w:space="0" w:color="000000"/>
            </w:tcBorders>
            <w:shd w:val="clear" w:color="auto" w:fill="auto"/>
            <w:vAlign w:val="bottom"/>
            <w:hideMark/>
          </w:tcPr>
          <w:p w14:paraId="0CB0AA4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F398B">
              <w:rPr>
                <w:b/>
                <w:bCs/>
                <w:color w:val="000000"/>
                <w:sz w:val="20"/>
                <w:lang w:eastAsia="zh-CN"/>
              </w:rPr>
              <w:t>QP = (22, 27, 32, 37), CTC</w:t>
            </w:r>
          </w:p>
        </w:tc>
      </w:tr>
      <w:tr w:rsidR="00FF398B" w:rsidRPr="00FF398B" w14:paraId="4147882D"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33D3040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sidRPr="00FF398B">
              <w:rPr>
                <w:rFonts w:ascii="Calibri" w:hAnsi="Calibri" w:cs="Calibri"/>
                <w:b/>
                <w:bCs/>
                <w:color w:val="000000"/>
                <w:szCs w:val="22"/>
                <w:lang w:eastAsia="zh-CN"/>
              </w:rPr>
              <w:t>AI</w:t>
            </w:r>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14:paraId="414E503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0.95</w:t>
            </w:r>
          </w:p>
        </w:tc>
        <w:tc>
          <w:tcPr>
            <w:tcW w:w="76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6744D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38C99CB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1.13</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298CF40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15.72%</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14:paraId="1F79FC65"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19.71%</w:t>
            </w:r>
          </w:p>
        </w:tc>
        <w:tc>
          <w:tcPr>
            <w:tcW w:w="744" w:type="dxa"/>
            <w:gridSpan w:val="2"/>
            <w:tcBorders>
              <w:top w:val="single" w:sz="4" w:space="0" w:color="auto"/>
              <w:left w:val="nil"/>
              <w:bottom w:val="single" w:sz="4" w:space="0" w:color="auto"/>
              <w:right w:val="double" w:sz="6" w:space="0" w:color="auto"/>
            </w:tcBorders>
            <w:shd w:val="clear" w:color="auto" w:fill="auto"/>
            <w:noWrap/>
            <w:vAlign w:val="center"/>
            <w:hideMark/>
          </w:tcPr>
          <w:p w14:paraId="25D47859"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3.99%</w:t>
            </w:r>
          </w:p>
        </w:tc>
        <w:tc>
          <w:tcPr>
            <w:tcW w:w="769" w:type="dxa"/>
            <w:tcBorders>
              <w:top w:val="single" w:sz="4" w:space="0" w:color="auto"/>
              <w:left w:val="nil"/>
              <w:bottom w:val="single" w:sz="4" w:space="0" w:color="auto"/>
              <w:right w:val="single" w:sz="4" w:space="0" w:color="auto"/>
            </w:tcBorders>
            <w:shd w:val="clear" w:color="auto" w:fill="auto"/>
            <w:noWrap/>
            <w:vAlign w:val="center"/>
            <w:hideMark/>
          </w:tcPr>
          <w:p w14:paraId="6319B703"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1.23</w:t>
            </w:r>
          </w:p>
        </w:tc>
        <w:tc>
          <w:tcPr>
            <w:tcW w:w="684" w:type="dxa"/>
            <w:tcBorders>
              <w:top w:val="single" w:sz="4" w:space="0" w:color="auto"/>
              <w:left w:val="nil"/>
              <w:bottom w:val="single" w:sz="4" w:space="0" w:color="auto"/>
              <w:right w:val="single" w:sz="4" w:space="0" w:color="auto"/>
            </w:tcBorders>
            <w:shd w:val="clear" w:color="auto" w:fill="auto"/>
            <w:noWrap/>
            <w:vAlign w:val="center"/>
            <w:hideMark/>
          </w:tcPr>
          <w:p w14:paraId="6C8ECF45"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1.38</w:t>
            </w:r>
          </w:p>
        </w:tc>
        <w:tc>
          <w:tcPr>
            <w:tcW w:w="684" w:type="dxa"/>
            <w:tcBorders>
              <w:top w:val="single" w:sz="4" w:space="0" w:color="auto"/>
              <w:left w:val="nil"/>
              <w:bottom w:val="single" w:sz="4" w:space="0" w:color="auto"/>
              <w:right w:val="single" w:sz="4" w:space="0" w:color="auto"/>
            </w:tcBorders>
            <w:shd w:val="clear" w:color="auto" w:fill="auto"/>
            <w:noWrap/>
            <w:vAlign w:val="center"/>
            <w:hideMark/>
          </w:tcPr>
          <w:p w14:paraId="3DB27A7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1.40</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0310C60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12.38%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3589C71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14.21%</w:t>
            </w:r>
          </w:p>
        </w:tc>
        <w:tc>
          <w:tcPr>
            <w:tcW w:w="729" w:type="dxa"/>
            <w:tcBorders>
              <w:top w:val="single" w:sz="4" w:space="0" w:color="auto"/>
              <w:left w:val="nil"/>
              <w:bottom w:val="single" w:sz="4" w:space="0" w:color="auto"/>
              <w:right w:val="double" w:sz="6" w:space="0" w:color="auto"/>
            </w:tcBorders>
            <w:shd w:val="clear" w:color="auto" w:fill="auto"/>
            <w:noWrap/>
            <w:vAlign w:val="center"/>
            <w:hideMark/>
          </w:tcPr>
          <w:p w14:paraId="01A8BC2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1.82%</w:t>
            </w:r>
          </w:p>
        </w:tc>
      </w:tr>
      <w:tr w:rsidR="00FF398B" w:rsidRPr="00FF398B" w14:paraId="6C88E01F"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703FF5E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sidRPr="00FF398B">
              <w:rPr>
                <w:rFonts w:ascii="Calibri" w:hAnsi="Calibri" w:cs="Calibri"/>
                <w:b/>
                <w:bCs/>
                <w:color w:val="000000"/>
                <w:szCs w:val="22"/>
                <w:lang w:eastAsia="zh-CN"/>
              </w:rPr>
              <w:t>RA</w:t>
            </w:r>
          </w:p>
        </w:tc>
        <w:tc>
          <w:tcPr>
            <w:tcW w:w="687" w:type="dxa"/>
            <w:tcBorders>
              <w:top w:val="nil"/>
              <w:left w:val="nil"/>
              <w:bottom w:val="single" w:sz="4" w:space="0" w:color="auto"/>
              <w:right w:val="single" w:sz="4" w:space="0" w:color="auto"/>
            </w:tcBorders>
            <w:shd w:val="clear" w:color="auto" w:fill="auto"/>
            <w:noWrap/>
            <w:vAlign w:val="center"/>
            <w:hideMark/>
          </w:tcPr>
          <w:p w14:paraId="60CA404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0.93</w:t>
            </w:r>
          </w:p>
        </w:tc>
        <w:tc>
          <w:tcPr>
            <w:tcW w:w="764" w:type="dxa"/>
            <w:gridSpan w:val="2"/>
            <w:tcBorders>
              <w:top w:val="nil"/>
              <w:left w:val="nil"/>
              <w:bottom w:val="single" w:sz="4" w:space="0" w:color="auto"/>
              <w:right w:val="single" w:sz="4" w:space="0" w:color="auto"/>
            </w:tcBorders>
            <w:shd w:val="clear" w:color="auto" w:fill="auto"/>
            <w:noWrap/>
            <w:vAlign w:val="center"/>
            <w:hideMark/>
          </w:tcPr>
          <w:p w14:paraId="4A1143E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1.09</w:t>
            </w:r>
          </w:p>
        </w:tc>
        <w:tc>
          <w:tcPr>
            <w:tcW w:w="683" w:type="dxa"/>
            <w:tcBorders>
              <w:top w:val="nil"/>
              <w:left w:val="nil"/>
              <w:bottom w:val="single" w:sz="4" w:space="0" w:color="auto"/>
              <w:right w:val="single" w:sz="4" w:space="0" w:color="auto"/>
            </w:tcBorders>
            <w:shd w:val="clear" w:color="auto" w:fill="auto"/>
            <w:noWrap/>
            <w:vAlign w:val="center"/>
            <w:hideMark/>
          </w:tcPr>
          <w:p w14:paraId="1366D9C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1.12</w:t>
            </w:r>
          </w:p>
        </w:tc>
        <w:tc>
          <w:tcPr>
            <w:tcW w:w="814" w:type="dxa"/>
            <w:tcBorders>
              <w:top w:val="nil"/>
              <w:left w:val="nil"/>
              <w:bottom w:val="single" w:sz="4" w:space="0" w:color="auto"/>
              <w:right w:val="single" w:sz="4" w:space="0" w:color="auto"/>
            </w:tcBorders>
            <w:shd w:val="clear" w:color="auto" w:fill="auto"/>
            <w:noWrap/>
            <w:vAlign w:val="center"/>
            <w:hideMark/>
          </w:tcPr>
          <w:p w14:paraId="6BBD4723"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17.39%</w:t>
            </w:r>
          </w:p>
        </w:tc>
        <w:tc>
          <w:tcPr>
            <w:tcW w:w="799" w:type="dxa"/>
            <w:tcBorders>
              <w:top w:val="nil"/>
              <w:left w:val="nil"/>
              <w:bottom w:val="single" w:sz="4" w:space="0" w:color="auto"/>
              <w:right w:val="single" w:sz="4" w:space="0" w:color="auto"/>
            </w:tcBorders>
            <w:shd w:val="clear" w:color="auto" w:fill="auto"/>
            <w:noWrap/>
            <w:vAlign w:val="center"/>
            <w:hideMark/>
          </w:tcPr>
          <w:p w14:paraId="575EEB1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20.88%</w:t>
            </w:r>
          </w:p>
        </w:tc>
        <w:tc>
          <w:tcPr>
            <w:tcW w:w="744" w:type="dxa"/>
            <w:gridSpan w:val="2"/>
            <w:tcBorders>
              <w:top w:val="nil"/>
              <w:left w:val="nil"/>
              <w:bottom w:val="single" w:sz="4" w:space="0" w:color="auto"/>
              <w:right w:val="double" w:sz="6" w:space="0" w:color="auto"/>
            </w:tcBorders>
            <w:shd w:val="clear" w:color="auto" w:fill="auto"/>
            <w:noWrap/>
            <w:vAlign w:val="center"/>
            <w:hideMark/>
          </w:tcPr>
          <w:p w14:paraId="6F6EE33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3.49%</w:t>
            </w:r>
          </w:p>
        </w:tc>
        <w:tc>
          <w:tcPr>
            <w:tcW w:w="769" w:type="dxa"/>
            <w:tcBorders>
              <w:top w:val="nil"/>
              <w:left w:val="nil"/>
              <w:bottom w:val="single" w:sz="4" w:space="0" w:color="auto"/>
              <w:right w:val="single" w:sz="4" w:space="0" w:color="auto"/>
            </w:tcBorders>
            <w:shd w:val="clear" w:color="auto" w:fill="auto"/>
            <w:noWrap/>
            <w:vAlign w:val="center"/>
            <w:hideMark/>
          </w:tcPr>
          <w:p w14:paraId="0C0ED45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1.21</w:t>
            </w:r>
          </w:p>
        </w:tc>
        <w:tc>
          <w:tcPr>
            <w:tcW w:w="684" w:type="dxa"/>
            <w:tcBorders>
              <w:top w:val="nil"/>
              <w:left w:val="nil"/>
              <w:bottom w:val="single" w:sz="4" w:space="0" w:color="auto"/>
              <w:right w:val="single" w:sz="4" w:space="0" w:color="auto"/>
            </w:tcBorders>
            <w:shd w:val="clear" w:color="auto" w:fill="auto"/>
            <w:noWrap/>
            <w:vAlign w:val="center"/>
            <w:hideMark/>
          </w:tcPr>
          <w:p w14:paraId="2FF4420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1.38</w:t>
            </w:r>
          </w:p>
        </w:tc>
        <w:tc>
          <w:tcPr>
            <w:tcW w:w="684" w:type="dxa"/>
            <w:tcBorders>
              <w:top w:val="nil"/>
              <w:left w:val="nil"/>
              <w:bottom w:val="single" w:sz="4" w:space="0" w:color="auto"/>
              <w:right w:val="single" w:sz="4" w:space="0" w:color="auto"/>
            </w:tcBorders>
            <w:shd w:val="clear" w:color="auto" w:fill="auto"/>
            <w:noWrap/>
            <w:vAlign w:val="center"/>
            <w:hideMark/>
          </w:tcPr>
          <w:p w14:paraId="4894EFA3"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1.40</w:t>
            </w:r>
          </w:p>
        </w:tc>
        <w:tc>
          <w:tcPr>
            <w:tcW w:w="814" w:type="dxa"/>
            <w:tcBorders>
              <w:top w:val="nil"/>
              <w:left w:val="nil"/>
              <w:bottom w:val="single" w:sz="4" w:space="0" w:color="auto"/>
              <w:right w:val="single" w:sz="4" w:space="0" w:color="auto"/>
            </w:tcBorders>
            <w:shd w:val="clear" w:color="auto" w:fill="auto"/>
            <w:noWrap/>
            <w:vAlign w:val="center"/>
            <w:hideMark/>
          </w:tcPr>
          <w:p w14:paraId="14BA20CD"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13.75%</w:t>
            </w:r>
          </w:p>
        </w:tc>
        <w:tc>
          <w:tcPr>
            <w:tcW w:w="814" w:type="dxa"/>
            <w:tcBorders>
              <w:top w:val="nil"/>
              <w:left w:val="nil"/>
              <w:bottom w:val="single" w:sz="4" w:space="0" w:color="auto"/>
              <w:right w:val="single" w:sz="4" w:space="0" w:color="auto"/>
            </w:tcBorders>
            <w:shd w:val="clear" w:color="auto" w:fill="auto"/>
            <w:noWrap/>
            <w:vAlign w:val="center"/>
            <w:hideMark/>
          </w:tcPr>
          <w:p w14:paraId="4389111E"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15.25%</w:t>
            </w:r>
          </w:p>
        </w:tc>
        <w:tc>
          <w:tcPr>
            <w:tcW w:w="729" w:type="dxa"/>
            <w:tcBorders>
              <w:top w:val="nil"/>
              <w:left w:val="nil"/>
              <w:bottom w:val="single" w:sz="4" w:space="0" w:color="auto"/>
              <w:right w:val="double" w:sz="6" w:space="0" w:color="auto"/>
            </w:tcBorders>
            <w:shd w:val="clear" w:color="auto" w:fill="auto"/>
            <w:noWrap/>
            <w:vAlign w:val="center"/>
            <w:hideMark/>
          </w:tcPr>
          <w:p w14:paraId="7C62920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1.50%</w:t>
            </w:r>
          </w:p>
        </w:tc>
      </w:tr>
      <w:tr w:rsidR="00FF398B" w:rsidRPr="00FF398B" w14:paraId="75525790"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5A0AED7C" w14:textId="187A2940"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Pr>
                <w:rFonts w:ascii="Calibri" w:hAnsi="Calibri" w:cs="Calibri"/>
                <w:b/>
                <w:bCs/>
                <w:color w:val="000000"/>
                <w:szCs w:val="22"/>
                <w:lang w:eastAsia="zh-CN"/>
              </w:rPr>
              <w:t>L</w:t>
            </w:r>
            <w:r w:rsidRPr="00FF398B">
              <w:rPr>
                <w:rFonts w:ascii="Calibri" w:hAnsi="Calibri" w:cs="Calibri"/>
                <w:b/>
                <w:bCs/>
                <w:color w:val="000000"/>
                <w:szCs w:val="22"/>
                <w:lang w:eastAsia="zh-CN"/>
              </w:rPr>
              <w:t>B</w:t>
            </w:r>
          </w:p>
        </w:tc>
        <w:tc>
          <w:tcPr>
            <w:tcW w:w="687" w:type="dxa"/>
            <w:tcBorders>
              <w:top w:val="nil"/>
              <w:left w:val="nil"/>
              <w:bottom w:val="single" w:sz="4" w:space="0" w:color="auto"/>
              <w:right w:val="single" w:sz="4" w:space="0" w:color="auto"/>
            </w:tcBorders>
            <w:shd w:val="clear" w:color="auto" w:fill="auto"/>
            <w:noWrap/>
            <w:vAlign w:val="center"/>
            <w:hideMark/>
          </w:tcPr>
          <w:p w14:paraId="7045A15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0.96</w:t>
            </w:r>
          </w:p>
        </w:tc>
        <w:tc>
          <w:tcPr>
            <w:tcW w:w="764" w:type="dxa"/>
            <w:gridSpan w:val="2"/>
            <w:tcBorders>
              <w:top w:val="nil"/>
              <w:left w:val="nil"/>
              <w:bottom w:val="single" w:sz="4" w:space="0" w:color="auto"/>
              <w:right w:val="single" w:sz="4" w:space="0" w:color="auto"/>
            </w:tcBorders>
            <w:shd w:val="clear" w:color="auto" w:fill="auto"/>
            <w:noWrap/>
            <w:vAlign w:val="center"/>
            <w:hideMark/>
          </w:tcPr>
          <w:p w14:paraId="3A4C352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1.09</w:t>
            </w:r>
          </w:p>
        </w:tc>
        <w:tc>
          <w:tcPr>
            <w:tcW w:w="683" w:type="dxa"/>
            <w:tcBorders>
              <w:top w:val="nil"/>
              <w:left w:val="nil"/>
              <w:bottom w:val="single" w:sz="4" w:space="0" w:color="auto"/>
              <w:right w:val="single" w:sz="4" w:space="0" w:color="auto"/>
            </w:tcBorders>
            <w:shd w:val="clear" w:color="auto" w:fill="auto"/>
            <w:noWrap/>
            <w:vAlign w:val="center"/>
            <w:hideMark/>
          </w:tcPr>
          <w:p w14:paraId="18A07815"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1.13</w:t>
            </w:r>
          </w:p>
        </w:tc>
        <w:tc>
          <w:tcPr>
            <w:tcW w:w="814" w:type="dxa"/>
            <w:tcBorders>
              <w:top w:val="nil"/>
              <w:left w:val="nil"/>
              <w:bottom w:val="single" w:sz="4" w:space="0" w:color="auto"/>
              <w:right w:val="single" w:sz="4" w:space="0" w:color="auto"/>
            </w:tcBorders>
            <w:shd w:val="clear" w:color="auto" w:fill="auto"/>
            <w:noWrap/>
            <w:vAlign w:val="center"/>
            <w:hideMark/>
          </w:tcPr>
          <w:p w14:paraId="5F2B7FB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13.34%</w:t>
            </w:r>
          </w:p>
        </w:tc>
        <w:tc>
          <w:tcPr>
            <w:tcW w:w="799" w:type="dxa"/>
            <w:tcBorders>
              <w:top w:val="nil"/>
              <w:left w:val="nil"/>
              <w:bottom w:val="single" w:sz="4" w:space="0" w:color="auto"/>
              <w:right w:val="single" w:sz="4" w:space="0" w:color="auto"/>
            </w:tcBorders>
            <w:shd w:val="clear" w:color="auto" w:fill="auto"/>
            <w:noWrap/>
            <w:vAlign w:val="center"/>
            <w:hideMark/>
          </w:tcPr>
          <w:p w14:paraId="22CF714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16.99%</w:t>
            </w:r>
          </w:p>
        </w:tc>
        <w:tc>
          <w:tcPr>
            <w:tcW w:w="744" w:type="dxa"/>
            <w:gridSpan w:val="2"/>
            <w:tcBorders>
              <w:top w:val="nil"/>
              <w:left w:val="nil"/>
              <w:bottom w:val="single" w:sz="4" w:space="0" w:color="auto"/>
              <w:right w:val="double" w:sz="6" w:space="0" w:color="auto"/>
            </w:tcBorders>
            <w:shd w:val="clear" w:color="auto" w:fill="auto"/>
            <w:noWrap/>
            <w:vAlign w:val="center"/>
            <w:hideMark/>
          </w:tcPr>
          <w:p w14:paraId="0B38F2C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3.64%</w:t>
            </w:r>
          </w:p>
        </w:tc>
        <w:tc>
          <w:tcPr>
            <w:tcW w:w="769" w:type="dxa"/>
            <w:tcBorders>
              <w:top w:val="nil"/>
              <w:left w:val="nil"/>
              <w:bottom w:val="single" w:sz="4" w:space="0" w:color="auto"/>
              <w:right w:val="single" w:sz="4" w:space="0" w:color="auto"/>
            </w:tcBorders>
            <w:shd w:val="clear" w:color="auto" w:fill="auto"/>
            <w:noWrap/>
            <w:vAlign w:val="center"/>
            <w:hideMark/>
          </w:tcPr>
          <w:p w14:paraId="22C5A0A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1.24</w:t>
            </w:r>
          </w:p>
        </w:tc>
        <w:tc>
          <w:tcPr>
            <w:tcW w:w="684" w:type="dxa"/>
            <w:tcBorders>
              <w:top w:val="nil"/>
              <w:left w:val="nil"/>
              <w:bottom w:val="single" w:sz="4" w:space="0" w:color="auto"/>
              <w:right w:val="single" w:sz="4" w:space="0" w:color="auto"/>
            </w:tcBorders>
            <w:shd w:val="clear" w:color="auto" w:fill="auto"/>
            <w:noWrap/>
            <w:vAlign w:val="center"/>
            <w:hideMark/>
          </w:tcPr>
          <w:p w14:paraId="12B18FB3"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1.37</w:t>
            </w:r>
          </w:p>
        </w:tc>
        <w:tc>
          <w:tcPr>
            <w:tcW w:w="684" w:type="dxa"/>
            <w:tcBorders>
              <w:top w:val="nil"/>
              <w:left w:val="nil"/>
              <w:bottom w:val="single" w:sz="4" w:space="0" w:color="auto"/>
              <w:right w:val="single" w:sz="4" w:space="0" w:color="auto"/>
            </w:tcBorders>
            <w:shd w:val="clear" w:color="auto" w:fill="auto"/>
            <w:noWrap/>
            <w:vAlign w:val="center"/>
            <w:hideMark/>
          </w:tcPr>
          <w:p w14:paraId="40E275C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1.39</w:t>
            </w:r>
          </w:p>
        </w:tc>
        <w:tc>
          <w:tcPr>
            <w:tcW w:w="814" w:type="dxa"/>
            <w:tcBorders>
              <w:top w:val="nil"/>
              <w:left w:val="nil"/>
              <w:bottom w:val="single" w:sz="4" w:space="0" w:color="auto"/>
              <w:right w:val="single" w:sz="4" w:space="0" w:color="auto"/>
            </w:tcBorders>
            <w:shd w:val="clear" w:color="auto" w:fill="auto"/>
            <w:noWrap/>
            <w:vAlign w:val="center"/>
            <w:hideMark/>
          </w:tcPr>
          <w:p w14:paraId="4ACC6200"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11.25%</w:t>
            </w:r>
          </w:p>
        </w:tc>
        <w:tc>
          <w:tcPr>
            <w:tcW w:w="814" w:type="dxa"/>
            <w:tcBorders>
              <w:top w:val="nil"/>
              <w:left w:val="nil"/>
              <w:bottom w:val="single" w:sz="4" w:space="0" w:color="auto"/>
              <w:right w:val="single" w:sz="4" w:space="0" w:color="auto"/>
            </w:tcBorders>
            <w:shd w:val="clear" w:color="auto" w:fill="auto"/>
            <w:noWrap/>
            <w:vAlign w:val="center"/>
            <w:hideMark/>
          </w:tcPr>
          <w:p w14:paraId="1DD881A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12.88%</w:t>
            </w:r>
          </w:p>
        </w:tc>
        <w:tc>
          <w:tcPr>
            <w:tcW w:w="729" w:type="dxa"/>
            <w:tcBorders>
              <w:top w:val="nil"/>
              <w:left w:val="nil"/>
              <w:bottom w:val="single" w:sz="4" w:space="0" w:color="auto"/>
              <w:right w:val="double" w:sz="6" w:space="0" w:color="auto"/>
            </w:tcBorders>
            <w:shd w:val="clear" w:color="auto" w:fill="auto"/>
            <w:noWrap/>
            <w:vAlign w:val="center"/>
            <w:hideMark/>
          </w:tcPr>
          <w:p w14:paraId="15F1B8F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1.63%</w:t>
            </w:r>
          </w:p>
        </w:tc>
      </w:tr>
      <w:tr w:rsidR="00FF398B" w:rsidRPr="00FF398B" w14:paraId="145FC40F"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72F61C1B" w14:textId="41109CDF"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Pr>
                <w:rFonts w:ascii="Calibri" w:hAnsi="Calibri" w:cs="Calibri"/>
                <w:b/>
                <w:bCs/>
                <w:color w:val="000000"/>
                <w:szCs w:val="22"/>
                <w:lang w:eastAsia="zh-CN"/>
              </w:rPr>
              <w:t>L</w:t>
            </w:r>
            <w:r w:rsidRPr="00FF398B">
              <w:rPr>
                <w:rFonts w:ascii="Calibri" w:hAnsi="Calibri" w:cs="Calibri"/>
                <w:b/>
                <w:bCs/>
                <w:color w:val="000000"/>
                <w:szCs w:val="22"/>
                <w:lang w:eastAsia="zh-CN"/>
              </w:rPr>
              <w:t>P</w:t>
            </w:r>
          </w:p>
        </w:tc>
        <w:tc>
          <w:tcPr>
            <w:tcW w:w="687" w:type="dxa"/>
            <w:tcBorders>
              <w:top w:val="nil"/>
              <w:left w:val="nil"/>
              <w:bottom w:val="single" w:sz="4" w:space="0" w:color="auto"/>
              <w:right w:val="single" w:sz="4" w:space="0" w:color="auto"/>
            </w:tcBorders>
            <w:shd w:val="clear" w:color="auto" w:fill="auto"/>
            <w:noWrap/>
            <w:vAlign w:val="center"/>
            <w:hideMark/>
          </w:tcPr>
          <w:p w14:paraId="66A12E1E"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0.96</w:t>
            </w:r>
          </w:p>
        </w:tc>
        <w:tc>
          <w:tcPr>
            <w:tcW w:w="764" w:type="dxa"/>
            <w:gridSpan w:val="2"/>
            <w:tcBorders>
              <w:top w:val="nil"/>
              <w:left w:val="nil"/>
              <w:bottom w:val="single" w:sz="4" w:space="0" w:color="auto"/>
              <w:right w:val="single" w:sz="4" w:space="0" w:color="auto"/>
            </w:tcBorders>
            <w:shd w:val="clear" w:color="auto" w:fill="auto"/>
            <w:noWrap/>
            <w:vAlign w:val="center"/>
            <w:hideMark/>
          </w:tcPr>
          <w:p w14:paraId="50732DE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1.09</w:t>
            </w:r>
          </w:p>
        </w:tc>
        <w:tc>
          <w:tcPr>
            <w:tcW w:w="683" w:type="dxa"/>
            <w:tcBorders>
              <w:top w:val="nil"/>
              <w:left w:val="nil"/>
              <w:bottom w:val="single" w:sz="4" w:space="0" w:color="auto"/>
              <w:right w:val="single" w:sz="4" w:space="0" w:color="auto"/>
            </w:tcBorders>
            <w:shd w:val="clear" w:color="auto" w:fill="auto"/>
            <w:noWrap/>
            <w:vAlign w:val="center"/>
            <w:hideMark/>
          </w:tcPr>
          <w:p w14:paraId="6DB5048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1.13</w:t>
            </w:r>
          </w:p>
        </w:tc>
        <w:tc>
          <w:tcPr>
            <w:tcW w:w="814" w:type="dxa"/>
            <w:tcBorders>
              <w:top w:val="nil"/>
              <w:left w:val="nil"/>
              <w:bottom w:val="single" w:sz="4" w:space="0" w:color="auto"/>
              <w:right w:val="single" w:sz="4" w:space="0" w:color="auto"/>
            </w:tcBorders>
            <w:shd w:val="clear" w:color="auto" w:fill="auto"/>
            <w:noWrap/>
            <w:vAlign w:val="center"/>
            <w:hideMark/>
          </w:tcPr>
          <w:p w14:paraId="547BBAC9"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13.24%</w:t>
            </w:r>
          </w:p>
        </w:tc>
        <w:tc>
          <w:tcPr>
            <w:tcW w:w="799" w:type="dxa"/>
            <w:tcBorders>
              <w:top w:val="nil"/>
              <w:left w:val="nil"/>
              <w:bottom w:val="single" w:sz="4" w:space="0" w:color="auto"/>
              <w:right w:val="single" w:sz="4" w:space="0" w:color="auto"/>
            </w:tcBorders>
            <w:shd w:val="clear" w:color="auto" w:fill="auto"/>
            <w:noWrap/>
            <w:vAlign w:val="center"/>
            <w:hideMark/>
          </w:tcPr>
          <w:p w14:paraId="29B981B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17.30%</w:t>
            </w:r>
          </w:p>
        </w:tc>
        <w:tc>
          <w:tcPr>
            <w:tcW w:w="744" w:type="dxa"/>
            <w:gridSpan w:val="2"/>
            <w:tcBorders>
              <w:top w:val="nil"/>
              <w:left w:val="nil"/>
              <w:bottom w:val="single" w:sz="4" w:space="0" w:color="auto"/>
              <w:right w:val="double" w:sz="6" w:space="0" w:color="auto"/>
            </w:tcBorders>
            <w:shd w:val="clear" w:color="auto" w:fill="auto"/>
            <w:noWrap/>
            <w:vAlign w:val="center"/>
            <w:hideMark/>
          </w:tcPr>
          <w:p w14:paraId="4CB23B5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4.06%</w:t>
            </w:r>
          </w:p>
        </w:tc>
        <w:tc>
          <w:tcPr>
            <w:tcW w:w="769" w:type="dxa"/>
            <w:tcBorders>
              <w:top w:val="nil"/>
              <w:left w:val="nil"/>
              <w:bottom w:val="single" w:sz="4" w:space="0" w:color="auto"/>
              <w:right w:val="single" w:sz="4" w:space="0" w:color="auto"/>
            </w:tcBorders>
            <w:shd w:val="clear" w:color="auto" w:fill="auto"/>
            <w:noWrap/>
            <w:vAlign w:val="center"/>
            <w:hideMark/>
          </w:tcPr>
          <w:p w14:paraId="6C9C88F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1.23</w:t>
            </w:r>
          </w:p>
        </w:tc>
        <w:tc>
          <w:tcPr>
            <w:tcW w:w="684" w:type="dxa"/>
            <w:tcBorders>
              <w:top w:val="nil"/>
              <w:left w:val="nil"/>
              <w:bottom w:val="single" w:sz="4" w:space="0" w:color="auto"/>
              <w:right w:val="single" w:sz="4" w:space="0" w:color="auto"/>
            </w:tcBorders>
            <w:shd w:val="clear" w:color="auto" w:fill="auto"/>
            <w:noWrap/>
            <w:vAlign w:val="center"/>
            <w:hideMark/>
          </w:tcPr>
          <w:p w14:paraId="4C3E9929"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1.37</w:t>
            </w:r>
          </w:p>
        </w:tc>
        <w:tc>
          <w:tcPr>
            <w:tcW w:w="684" w:type="dxa"/>
            <w:tcBorders>
              <w:top w:val="nil"/>
              <w:left w:val="nil"/>
              <w:bottom w:val="single" w:sz="4" w:space="0" w:color="auto"/>
              <w:right w:val="single" w:sz="4" w:space="0" w:color="auto"/>
            </w:tcBorders>
            <w:shd w:val="clear" w:color="auto" w:fill="auto"/>
            <w:noWrap/>
            <w:vAlign w:val="center"/>
            <w:hideMark/>
          </w:tcPr>
          <w:p w14:paraId="18868D7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1.39</w:t>
            </w:r>
          </w:p>
        </w:tc>
        <w:tc>
          <w:tcPr>
            <w:tcW w:w="814" w:type="dxa"/>
            <w:tcBorders>
              <w:top w:val="nil"/>
              <w:left w:val="nil"/>
              <w:bottom w:val="single" w:sz="4" w:space="0" w:color="auto"/>
              <w:right w:val="single" w:sz="4" w:space="0" w:color="auto"/>
            </w:tcBorders>
            <w:shd w:val="clear" w:color="auto" w:fill="auto"/>
            <w:noWrap/>
            <w:vAlign w:val="center"/>
            <w:hideMark/>
          </w:tcPr>
          <w:p w14:paraId="7CECEFD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11.08%</w:t>
            </w:r>
          </w:p>
        </w:tc>
        <w:tc>
          <w:tcPr>
            <w:tcW w:w="814" w:type="dxa"/>
            <w:tcBorders>
              <w:top w:val="nil"/>
              <w:left w:val="nil"/>
              <w:bottom w:val="single" w:sz="4" w:space="0" w:color="auto"/>
              <w:right w:val="single" w:sz="4" w:space="0" w:color="auto"/>
            </w:tcBorders>
            <w:shd w:val="clear" w:color="auto" w:fill="auto"/>
            <w:noWrap/>
            <w:vAlign w:val="center"/>
            <w:hideMark/>
          </w:tcPr>
          <w:p w14:paraId="28B998A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13.02%</w:t>
            </w:r>
          </w:p>
        </w:tc>
        <w:tc>
          <w:tcPr>
            <w:tcW w:w="729" w:type="dxa"/>
            <w:tcBorders>
              <w:top w:val="nil"/>
              <w:left w:val="nil"/>
              <w:bottom w:val="single" w:sz="4" w:space="0" w:color="auto"/>
              <w:right w:val="double" w:sz="6" w:space="0" w:color="auto"/>
            </w:tcBorders>
            <w:shd w:val="clear" w:color="auto" w:fill="auto"/>
            <w:noWrap/>
            <w:vAlign w:val="center"/>
            <w:hideMark/>
          </w:tcPr>
          <w:p w14:paraId="7322AD50"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1.94%</w:t>
            </w:r>
          </w:p>
        </w:tc>
      </w:tr>
      <w:tr w:rsidR="00FF398B" w:rsidRPr="00FF398B" w14:paraId="440D69A8" w14:textId="77777777" w:rsidTr="00FF398B">
        <w:trPr>
          <w:trHeight w:val="288"/>
        </w:trPr>
        <w:tc>
          <w:tcPr>
            <w:tcW w:w="506" w:type="dxa"/>
            <w:tcBorders>
              <w:top w:val="nil"/>
              <w:left w:val="double" w:sz="6" w:space="0" w:color="auto"/>
              <w:bottom w:val="nil"/>
              <w:right w:val="double" w:sz="6" w:space="0" w:color="auto"/>
            </w:tcBorders>
            <w:shd w:val="clear" w:color="auto" w:fill="auto"/>
            <w:noWrap/>
            <w:vAlign w:val="bottom"/>
            <w:hideMark/>
          </w:tcPr>
          <w:p w14:paraId="38F13FCD"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FF398B">
              <w:rPr>
                <w:rFonts w:ascii="Calibri" w:hAnsi="Calibri" w:cs="Calibri"/>
                <w:color w:val="000000"/>
                <w:szCs w:val="22"/>
                <w:lang w:eastAsia="zh-CN"/>
              </w:rPr>
              <w:t> </w:t>
            </w:r>
          </w:p>
        </w:tc>
        <w:tc>
          <w:tcPr>
            <w:tcW w:w="8985" w:type="dxa"/>
            <w:gridSpan w:val="14"/>
            <w:tcBorders>
              <w:top w:val="nil"/>
              <w:left w:val="nil"/>
              <w:bottom w:val="nil"/>
              <w:right w:val="double" w:sz="6" w:space="0" w:color="000000"/>
            </w:tcBorders>
            <w:shd w:val="clear" w:color="auto" w:fill="auto"/>
            <w:vAlign w:val="bottom"/>
            <w:hideMark/>
          </w:tcPr>
          <w:p w14:paraId="1A2978D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F398B">
              <w:rPr>
                <w:b/>
                <w:bCs/>
                <w:color w:val="000000"/>
                <w:sz w:val="20"/>
                <w:lang w:eastAsia="zh-CN"/>
              </w:rPr>
              <w:t>QP = (2, 7, 12, 17), 100 frames</w:t>
            </w:r>
          </w:p>
        </w:tc>
      </w:tr>
      <w:tr w:rsidR="00FF398B" w:rsidRPr="00FF398B" w14:paraId="62AB4A78" w14:textId="77777777" w:rsidTr="00FF398B">
        <w:trPr>
          <w:trHeight w:val="288"/>
        </w:trPr>
        <w:tc>
          <w:tcPr>
            <w:tcW w:w="506" w:type="dxa"/>
            <w:tcBorders>
              <w:top w:val="single" w:sz="4" w:space="0" w:color="auto"/>
              <w:left w:val="double" w:sz="6" w:space="0" w:color="auto"/>
              <w:bottom w:val="single" w:sz="4" w:space="0" w:color="auto"/>
              <w:right w:val="double" w:sz="6" w:space="0" w:color="auto"/>
            </w:tcBorders>
            <w:shd w:val="clear" w:color="auto" w:fill="auto"/>
            <w:noWrap/>
            <w:vAlign w:val="bottom"/>
            <w:hideMark/>
          </w:tcPr>
          <w:p w14:paraId="519B298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sidRPr="00FF398B">
              <w:rPr>
                <w:rFonts w:ascii="Calibri" w:hAnsi="Calibri" w:cs="Calibri"/>
                <w:b/>
                <w:bCs/>
                <w:color w:val="000000"/>
                <w:szCs w:val="22"/>
                <w:lang w:eastAsia="zh-CN"/>
              </w:rPr>
              <w:t>AI</w:t>
            </w:r>
          </w:p>
        </w:tc>
        <w:tc>
          <w:tcPr>
            <w:tcW w:w="7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95BFB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0.79</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14:paraId="33E7CF5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0.94</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14:paraId="5F0A98A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0.95</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348FC45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18.11%</w:t>
            </w:r>
          </w:p>
        </w:tc>
        <w:tc>
          <w:tcPr>
            <w:tcW w:w="8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6B3C5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20.24%</w:t>
            </w:r>
          </w:p>
        </w:tc>
        <w:tc>
          <w:tcPr>
            <w:tcW w:w="729" w:type="dxa"/>
            <w:tcBorders>
              <w:top w:val="single" w:sz="4" w:space="0" w:color="auto"/>
              <w:left w:val="nil"/>
              <w:bottom w:val="single" w:sz="4" w:space="0" w:color="auto"/>
              <w:right w:val="double" w:sz="6" w:space="0" w:color="auto"/>
            </w:tcBorders>
            <w:shd w:val="clear" w:color="auto" w:fill="auto"/>
            <w:noWrap/>
            <w:vAlign w:val="center"/>
            <w:hideMark/>
          </w:tcPr>
          <w:p w14:paraId="4EF73C3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2.12%</w:t>
            </w:r>
          </w:p>
        </w:tc>
        <w:tc>
          <w:tcPr>
            <w:tcW w:w="769" w:type="dxa"/>
            <w:tcBorders>
              <w:top w:val="single" w:sz="4" w:space="0" w:color="auto"/>
              <w:left w:val="nil"/>
              <w:bottom w:val="single" w:sz="4" w:space="0" w:color="auto"/>
              <w:right w:val="single" w:sz="4" w:space="0" w:color="auto"/>
            </w:tcBorders>
            <w:shd w:val="clear" w:color="auto" w:fill="auto"/>
            <w:noWrap/>
            <w:vAlign w:val="bottom"/>
            <w:hideMark/>
          </w:tcPr>
          <w:p w14:paraId="7DCEA71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1.19</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7BECAFE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1.31</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422665D3"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1.33</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561D2F2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10.45%</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38A80E9E"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11.40%</w:t>
            </w:r>
          </w:p>
        </w:tc>
        <w:tc>
          <w:tcPr>
            <w:tcW w:w="729" w:type="dxa"/>
            <w:tcBorders>
              <w:top w:val="single" w:sz="4" w:space="0" w:color="auto"/>
              <w:left w:val="nil"/>
              <w:bottom w:val="single" w:sz="4" w:space="0" w:color="auto"/>
              <w:right w:val="double" w:sz="6" w:space="0" w:color="auto"/>
            </w:tcBorders>
            <w:shd w:val="clear" w:color="auto" w:fill="auto"/>
            <w:noWrap/>
            <w:vAlign w:val="center"/>
            <w:hideMark/>
          </w:tcPr>
          <w:p w14:paraId="2245967F"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0.95%</w:t>
            </w:r>
          </w:p>
        </w:tc>
      </w:tr>
      <w:tr w:rsidR="00FF398B" w:rsidRPr="00FF398B" w14:paraId="2A5273A6"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6054D09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sidRPr="00FF398B">
              <w:rPr>
                <w:rFonts w:ascii="Calibri" w:hAnsi="Calibri" w:cs="Calibri"/>
                <w:b/>
                <w:bCs/>
                <w:color w:val="000000"/>
                <w:szCs w:val="22"/>
                <w:lang w:eastAsia="zh-CN"/>
              </w:rPr>
              <w:t>RA</w:t>
            </w:r>
          </w:p>
        </w:tc>
        <w:tc>
          <w:tcPr>
            <w:tcW w:w="768" w:type="dxa"/>
            <w:gridSpan w:val="2"/>
            <w:tcBorders>
              <w:top w:val="nil"/>
              <w:left w:val="nil"/>
              <w:bottom w:val="single" w:sz="4" w:space="0" w:color="auto"/>
              <w:right w:val="single" w:sz="4" w:space="0" w:color="auto"/>
            </w:tcBorders>
            <w:shd w:val="clear" w:color="auto" w:fill="auto"/>
            <w:noWrap/>
            <w:vAlign w:val="bottom"/>
            <w:hideMark/>
          </w:tcPr>
          <w:p w14:paraId="30D3C38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0.74</w:t>
            </w:r>
          </w:p>
        </w:tc>
        <w:tc>
          <w:tcPr>
            <w:tcW w:w="683" w:type="dxa"/>
            <w:tcBorders>
              <w:top w:val="nil"/>
              <w:left w:val="nil"/>
              <w:bottom w:val="single" w:sz="4" w:space="0" w:color="auto"/>
              <w:right w:val="single" w:sz="4" w:space="0" w:color="auto"/>
            </w:tcBorders>
            <w:shd w:val="clear" w:color="auto" w:fill="auto"/>
            <w:noWrap/>
            <w:vAlign w:val="bottom"/>
            <w:hideMark/>
          </w:tcPr>
          <w:p w14:paraId="4701814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0.87</w:t>
            </w:r>
          </w:p>
        </w:tc>
        <w:tc>
          <w:tcPr>
            <w:tcW w:w="683" w:type="dxa"/>
            <w:tcBorders>
              <w:top w:val="nil"/>
              <w:left w:val="nil"/>
              <w:bottom w:val="single" w:sz="4" w:space="0" w:color="auto"/>
              <w:right w:val="single" w:sz="4" w:space="0" w:color="auto"/>
            </w:tcBorders>
            <w:shd w:val="clear" w:color="auto" w:fill="auto"/>
            <w:noWrap/>
            <w:vAlign w:val="bottom"/>
            <w:hideMark/>
          </w:tcPr>
          <w:p w14:paraId="1FC9CCE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0.88</w:t>
            </w:r>
          </w:p>
        </w:tc>
        <w:tc>
          <w:tcPr>
            <w:tcW w:w="814" w:type="dxa"/>
            <w:tcBorders>
              <w:top w:val="nil"/>
              <w:left w:val="nil"/>
              <w:bottom w:val="single" w:sz="4" w:space="0" w:color="auto"/>
              <w:right w:val="single" w:sz="4" w:space="0" w:color="auto"/>
            </w:tcBorders>
            <w:shd w:val="clear" w:color="auto" w:fill="auto"/>
            <w:noWrap/>
            <w:vAlign w:val="center"/>
            <w:hideMark/>
          </w:tcPr>
          <w:p w14:paraId="1BC6654E"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17.17%</w:t>
            </w:r>
          </w:p>
        </w:tc>
        <w:tc>
          <w:tcPr>
            <w:tcW w:w="814" w:type="dxa"/>
            <w:gridSpan w:val="2"/>
            <w:tcBorders>
              <w:top w:val="nil"/>
              <w:left w:val="nil"/>
              <w:bottom w:val="single" w:sz="4" w:space="0" w:color="auto"/>
              <w:right w:val="single" w:sz="4" w:space="0" w:color="auto"/>
            </w:tcBorders>
            <w:shd w:val="clear" w:color="auto" w:fill="auto"/>
            <w:noWrap/>
            <w:vAlign w:val="center"/>
            <w:hideMark/>
          </w:tcPr>
          <w:p w14:paraId="25291B55"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19.00%</w:t>
            </w:r>
          </w:p>
        </w:tc>
        <w:tc>
          <w:tcPr>
            <w:tcW w:w="729" w:type="dxa"/>
            <w:tcBorders>
              <w:top w:val="nil"/>
              <w:left w:val="nil"/>
              <w:bottom w:val="single" w:sz="4" w:space="0" w:color="auto"/>
              <w:right w:val="double" w:sz="6" w:space="0" w:color="auto"/>
            </w:tcBorders>
            <w:shd w:val="clear" w:color="auto" w:fill="auto"/>
            <w:noWrap/>
            <w:vAlign w:val="center"/>
            <w:hideMark/>
          </w:tcPr>
          <w:p w14:paraId="350A55F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1.83%</w:t>
            </w:r>
          </w:p>
        </w:tc>
        <w:tc>
          <w:tcPr>
            <w:tcW w:w="769" w:type="dxa"/>
            <w:tcBorders>
              <w:top w:val="nil"/>
              <w:left w:val="nil"/>
              <w:bottom w:val="single" w:sz="4" w:space="0" w:color="auto"/>
              <w:right w:val="single" w:sz="4" w:space="0" w:color="auto"/>
            </w:tcBorders>
            <w:shd w:val="clear" w:color="auto" w:fill="auto"/>
            <w:noWrap/>
            <w:vAlign w:val="bottom"/>
            <w:hideMark/>
          </w:tcPr>
          <w:p w14:paraId="689170A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1.18</w:t>
            </w:r>
          </w:p>
        </w:tc>
        <w:tc>
          <w:tcPr>
            <w:tcW w:w="684" w:type="dxa"/>
            <w:tcBorders>
              <w:top w:val="nil"/>
              <w:left w:val="nil"/>
              <w:bottom w:val="single" w:sz="4" w:space="0" w:color="auto"/>
              <w:right w:val="single" w:sz="4" w:space="0" w:color="auto"/>
            </w:tcBorders>
            <w:shd w:val="clear" w:color="auto" w:fill="auto"/>
            <w:noWrap/>
            <w:vAlign w:val="bottom"/>
            <w:hideMark/>
          </w:tcPr>
          <w:p w14:paraId="2E9C654E"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1.28</w:t>
            </w:r>
          </w:p>
        </w:tc>
        <w:tc>
          <w:tcPr>
            <w:tcW w:w="684" w:type="dxa"/>
            <w:tcBorders>
              <w:top w:val="nil"/>
              <w:left w:val="nil"/>
              <w:bottom w:val="single" w:sz="4" w:space="0" w:color="auto"/>
              <w:right w:val="single" w:sz="4" w:space="0" w:color="auto"/>
            </w:tcBorders>
            <w:shd w:val="clear" w:color="auto" w:fill="auto"/>
            <w:noWrap/>
            <w:vAlign w:val="bottom"/>
            <w:hideMark/>
          </w:tcPr>
          <w:p w14:paraId="40E72D9D"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1.28</w:t>
            </w:r>
          </w:p>
        </w:tc>
        <w:tc>
          <w:tcPr>
            <w:tcW w:w="814" w:type="dxa"/>
            <w:tcBorders>
              <w:top w:val="nil"/>
              <w:left w:val="nil"/>
              <w:bottom w:val="single" w:sz="4" w:space="0" w:color="auto"/>
              <w:right w:val="single" w:sz="4" w:space="0" w:color="auto"/>
            </w:tcBorders>
            <w:shd w:val="clear" w:color="auto" w:fill="auto"/>
            <w:noWrap/>
            <w:vAlign w:val="center"/>
            <w:hideMark/>
          </w:tcPr>
          <w:p w14:paraId="7FCDB66D"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7.63%</w:t>
            </w:r>
          </w:p>
        </w:tc>
        <w:tc>
          <w:tcPr>
            <w:tcW w:w="814" w:type="dxa"/>
            <w:tcBorders>
              <w:top w:val="nil"/>
              <w:left w:val="nil"/>
              <w:bottom w:val="single" w:sz="4" w:space="0" w:color="auto"/>
              <w:right w:val="single" w:sz="4" w:space="0" w:color="auto"/>
            </w:tcBorders>
            <w:shd w:val="clear" w:color="auto" w:fill="auto"/>
            <w:noWrap/>
            <w:vAlign w:val="center"/>
            <w:hideMark/>
          </w:tcPr>
          <w:p w14:paraId="11DC5E00"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8.39%</w:t>
            </w:r>
          </w:p>
        </w:tc>
        <w:tc>
          <w:tcPr>
            <w:tcW w:w="729" w:type="dxa"/>
            <w:tcBorders>
              <w:top w:val="nil"/>
              <w:left w:val="nil"/>
              <w:bottom w:val="single" w:sz="4" w:space="0" w:color="auto"/>
              <w:right w:val="double" w:sz="6" w:space="0" w:color="auto"/>
            </w:tcBorders>
            <w:shd w:val="clear" w:color="auto" w:fill="auto"/>
            <w:noWrap/>
            <w:vAlign w:val="center"/>
            <w:hideMark/>
          </w:tcPr>
          <w:p w14:paraId="4E0ED6C7"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0.76%</w:t>
            </w:r>
          </w:p>
        </w:tc>
      </w:tr>
      <w:tr w:rsidR="00FF398B" w:rsidRPr="00FF398B" w14:paraId="0050E187" w14:textId="77777777" w:rsidTr="00FF398B">
        <w:trPr>
          <w:trHeight w:val="288"/>
        </w:trPr>
        <w:tc>
          <w:tcPr>
            <w:tcW w:w="506" w:type="dxa"/>
            <w:tcBorders>
              <w:top w:val="nil"/>
              <w:left w:val="double" w:sz="6" w:space="0" w:color="auto"/>
              <w:bottom w:val="single" w:sz="4" w:space="0" w:color="auto"/>
              <w:right w:val="double" w:sz="6" w:space="0" w:color="auto"/>
            </w:tcBorders>
            <w:shd w:val="clear" w:color="auto" w:fill="auto"/>
            <w:noWrap/>
            <w:vAlign w:val="bottom"/>
            <w:hideMark/>
          </w:tcPr>
          <w:p w14:paraId="382B7B9A" w14:textId="158455CB"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Pr>
                <w:rFonts w:ascii="Calibri" w:hAnsi="Calibri" w:cs="Calibri"/>
                <w:b/>
                <w:bCs/>
                <w:color w:val="000000"/>
                <w:szCs w:val="22"/>
                <w:lang w:eastAsia="zh-CN"/>
              </w:rPr>
              <w:t>L</w:t>
            </w:r>
            <w:r w:rsidRPr="00FF398B">
              <w:rPr>
                <w:rFonts w:ascii="Calibri" w:hAnsi="Calibri" w:cs="Calibri"/>
                <w:b/>
                <w:bCs/>
                <w:color w:val="000000"/>
                <w:szCs w:val="22"/>
                <w:lang w:eastAsia="zh-CN"/>
              </w:rPr>
              <w:t>B</w:t>
            </w:r>
          </w:p>
        </w:tc>
        <w:tc>
          <w:tcPr>
            <w:tcW w:w="768" w:type="dxa"/>
            <w:gridSpan w:val="2"/>
            <w:tcBorders>
              <w:top w:val="nil"/>
              <w:left w:val="nil"/>
              <w:bottom w:val="single" w:sz="4" w:space="0" w:color="auto"/>
              <w:right w:val="single" w:sz="4" w:space="0" w:color="auto"/>
            </w:tcBorders>
            <w:shd w:val="clear" w:color="auto" w:fill="auto"/>
            <w:noWrap/>
            <w:vAlign w:val="bottom"/>
            <w:hideMark/>
          </w:tcPr>
          <w:p w14:paraId="773183AE"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0.78</w:t>
            </w:r>
          </w:p>
        </w:tc>
        <w:tc>
          <w:tcPr>
            <w:tcW w:w="683" w:type="dxa"/>
            <w:tcBorders>
              <w:top w:val="nil"/>
              <w:left w:val="nil"/>
              <w:bottom w:val="single" w:sz="4" w:space="0" w:color="auto"/>
              <w:right w:val="single" w:sz="4" w:space="0" w:color="auto"/>
            </w:tcBorders>
            <w:shd w:val="clear" w:color="auto" w:fill="auto"/>
            <w:noWrap/>
            <w:vAlign w:val="bottom"/>
            <w:hideMark/>
          </w:tcPr>
          <w:p w14:paraId="4195A80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0.92</w:t>
            </w:r>
          </w:p>
        </w:tc>
        <w:tc>
          <w:tcPr>
            <w:tcW w:w="683" w:type="dxa"/>
            <w:tcBorders>
              <w:top w:val="nil"/>
              <w:left w:val="nil"/>
              <w:bottom w:val="single" w:sz="4" w:space="0" w:color="auto"/>
              <w:right w:val="single" w:sz="4" w:space="0" w:color="auto"/>
            </w:tcBorders>
            <w:shd w:val="clear" w:color="auto" w:fill="auto"/>
            <w:noWrap/>
            <w:vAlign w:val="bottom"/>
            <w:hideMark/>
          </w:tcPr>
          <w:p w14:paraId="255B7A65"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0.93</w:t>
            </w:r>
          </w:p>
        </w:tc>
        <w:tc>
          <w:tcPr>
            <w:tcW w:w="814" w:type="dxa"/>
            <w:tcBorders>
              <w:top w:val="nil"/>
              <w:left w:val="nil"/>
              <w:bottom w:val="single" w:sz="4" w:space="0" w:color="auto"/>
              <w:right w:val="single" w:sz="4" w:space="0" w:color="auto"/>
            </w:tcBorders>
            <w:shd w:val="clear" w:color="auto" w:fill="auto"/>
            <w:noWrap/>
            <w:vAlign w:val="center"/>
            <w:hideMark/>
          </w:tcPr>
          <w:p w14:paraId="41733F7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17.67%</w:t>
            </w:r>
          </w:p>
        </w:tc>
        <w:tc>
          <w:tcPr>
            <w:tcW w:w="814" w:type="dxa"/>
            <w:gridSpan w:val="2"/>
            <w:tcBorders>
              <w:top w:val="nil"/>
              <w:left w:val="nil"/>
              <w:bottom w:val="single" w:sz="4" w:space="0" w:color="auto"/>
              <w:right w:val="single" w:sz="4" w:space="0" w:color="auto"/>
            </w:tcBorders>
            <w:shd w:val="clear" w:color="auto" w:fill="auto"/>
            <w:noWrap/>
            <w:vAlign w:val="center"/>
            <w:hideMark/>
          </w:tcPr>
          <w:p w14:paraId="7D56C312"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19.67%</w:t>
            </w:r>
          </w:p>
        </w:tc>
        <w:tc>
          <w:tcPr>
            <w:tcW w:w="729" w:type="dxa"/>
            <w:tcBorders>
              <w:top w:val="nil"/>
              <w:left w:val="nil"/>
              <w:bottom w:val="single" w:sz="4" w:space="0" w:color="auto"/>
              <w:right w:val="double" w:sz="6" w:space="0" w:color="auto"/>
            </w:tcBorders>
            <w:shd w:val="clear" w:color="auto" w:fill="auto"/>
            <w:noWrap/>
            <w:vAlign w:val="center"/>
            <w:hideMark/>
          </w:tcPr>
          <w:p w14:paraId="048679A3"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2.00%</w:t>
            </w:r>
          </w:p>
        </w:tc>
        <w:tc>
          <w:tcPr>
            <w:tcW w:w="769" w:type="dxa"/>
            <w:tcBorders>
              <w:top w:val="nil"/>
              <w:left w:val="nil"/>
              <w:bottom w:val="single" w:sz="4" w:space="0" w:color="auto"/>
              <w:right w:val="single" w:sz="4" w:space="0" w:color="auto"/>
            </w:tcBorders>
            <w:shd w:val="clear" w:color="auto" w:fill="auto"/>
            <w:noWrap/>
            <w:vAlign w:val="bottom"/>
            <w:hideMark/>
          </w:tcPr>
          <w:p w14:paraId="35F50B80"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1.18</w:t>
            </w:r>
          </w:p>
        </w:tc>
        <w:tc>
          <w:tcPr>
            <w:tcW w:w="684" w:type="dxa"/>
            <w:tcBorders>
              <w:top w:val="nil"/>
              <w:left w:val="nil"/>
              <w:bottom w:val="single" w:sz="4" w:space="0" w:color="auto"/>
              <w:right w:val="single" w:sz="4" w:space="0" w:color="auto"/>
            </w:tcBorders>
            <w:shd w:val="clear" w:color="auto" w:fill="auto"/>
            <w:noWrap/>
            <w:vAlign w:val="bottom"/>
            <w:hideMark/>
          </w:tcPr>
          <w:p w14:paraId="14C70A90"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1.30</w:t>
            </w:r>
          </w:p>
        </w:tc>
        <w:tc>
          <w:tcPr>
            <w:tcW w:w="684" w:type="dxa"/>
            <w:tcBorders>
              <w:top w:val="nil"/>
              <w:left w:val="nil"/>
              <w:bottom w:val="single" w:sz="4" w:space="0" w:color="auto"/>
              <w:right w:val="single" w:sz="4" w:space="0" w:color="auto"/>
            </w:tcBorders>
            <w:shd w:val="clear" w:color="auto" w:fill="auto"/>
            <w:noWrap/>
            <w:vAlign w:val="bottom"/>
            <w:hideMark/>
          </w:tcPr>
          <w:p w14:paraId="32ED00B8"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1.31</w:t>
            </w:r>
          </w:p>
        </w:tc>
        <w:tc>
          <w:tcPr>
            <w:tcW w:w="814" w:type="dxa"/>
            <w:tcBorders>
              <w:top w:val="nil"/>
              <w:left w:val="nil"/>
              <w:bottom w:val="single" w:sz="4" w:space="0" w:color="auto"/>
              <w:right w:val="single" w:sz="4" w:space="0" w:color="auto"/>
            </w:tcBorders>
            <w:shd w:val="clear" w:color="auto" w:fill="auto"/>
            <w:noWrap/>
            <w:vAlign w:val="center"/>
            <w:hideMark/>
          </w:tcPr>
          <w:p w14:paraId="4941547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9.54%</w:t>
            </w:r>
          </w:p>
        </w:tc>
        <w:tc>
          <w:tcPr>
            <w:tcW w:w="814" w:type="dxa"/>
            <w:tcBorders>
              <w:top w:val="nil"/>
              <w:left w:val="nil"/>
              <w:bottom w:val="single" w:sz="4" w:space="0" w:color="auto"/>
              <w:right w:val="single" w:sz="4" w:space="0" w:color="auto"/>
            </w:tcBorders>
            <w:shd w:val="clear" w:color="auto" w:fill="auto"/>
            <w:noWrap/>
            <w:vAlign w:val="center"/>
            <w:hideMark/>
          </w:tcPr>
          <w:p w14:paraId="6A52D10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10.28%</w:t>
            </w:r>
          </w:p>
        </w:tc>
        <w:tc>
          <w:tcPr>
            <w:tcW w:w="729" w:type="dxa"/>
            <w:tcBorders>
              <w:top w:val="nil"/>
              <w:left w:val="nil"/>
              <w:bottom w:val="single" w:sz="4" w:space="0" w:color="auto"/>
              <w:right w:val="double" w:sz="6" w:space="0" w:color="auto"/>
            </w:tcBorders>
            <w:shd w:val="clear" w:color="auto" w:fill="auto"/>
            <w:noWrap/>
            <w:vAlign w:val="center"/>
            <w:hideMark/>
          </w:tcPr>
          <w:p w14:paraId="06297A99"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0.74%</w:t>
            </w:r>
          </w:p>
        </w:tc>
      </w:tr>
      <w:tr w:rsidR="00FF398B" w:rsidRPr="00FF398B" w14:paraId="3C799234" w14:textId="77777777" w:rsidTr="00FF398B">
        <w:trPr>
          <w:trHeight w:val="288"/>
        </w:trPr>
        <w:tc>
          <w:tcPr>
            <w:tcW w:w="506" w:type="dxa"/>
            <w:tcBorders>
              <w:top w:val="nil"/>
              <w:left w:val="double" w:sz="6" w:space="0" w:color="auto"/>
              <w:bottom w:val="nil"/>
              <w:right w:val="double" w:sz="6" w:space="0" w:color="auto"/>
            </w:tcBorders>
            <w:shd w:val="clear" w:color="auto" w:fill="auto"/>
            <w:noWrap/>
            <w:vAlign w:val="bottom"/>
            <w:hideMark/>
          </w:tcPr>
          <w:p w14:paraId="39E8B662" w14:textId="654EA1DD"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CN"/>
              </w:rPr>
            </w:pPr>
            <w:r>
              <w:rPr>
                <w:rFonts w:ascii="Calibri" w:hAnsi="Calibri" w:cs="Calibri"/>
                <w:b/>
                <w:bCs/>
                <w:color w:val="000000"/>
                <w:szCs w:val="22"/>
                <w:lang w:eastAsia="zh-CN"/>
              </w:rPr>
              <w:t>L</w:t>
            </w:r>
            <w:r w:rsidRPr="00FF398B">
              <w:rPr>
                <w:rFonts w:ascii="Calibri" w:hAnsi="Calibri" w:cs="Calibri"/>
                <w:b/>
                <w:bCs/>
                <w:color w:val="000000"/>
                <w:szCs w:val="22"/>
                <w:lang w:eastAsia="zh-CN"/>
              </w:rPr>
              <w:t>P</w:t>
            </w:r>
          </w:p>
        </w:tc>
        <w:tc>
          <w:tcPr>
            <w:tcW w:w="768" w:type="dxa"/>
            <w:gridSpan w:val="2"/>
            <w:tcBorders>
              <w:top w:val="nil"/>
              <w:left w:val="nil"/>
              <w:bottom w:val="nil"/>
              <w:right w:val="single" w:sz="4" w:space="0" w:color="auto"/>
            </w:tcBorders>
            <w:shd w:val="clear" w:color="auto" w:fill="auto"/>
            <w:noWrap/>
            <w:vAlign w:val="bottom"/>
            <w:hideMark/>
          </w:tcPr>
          <w:p w14:paraId="2FA9AC3D"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0.78</w:t>
            </w:r>
          </w:p>
        </w:tc>
        <w:tc>
          <w:tcPr>
            <w:tcW w:w="683" w:type="dxa"/>
            <w:tcBorders>
              <w:top w:val="nil"/>
              <w:left w:val="nil"/>
              <w:bottom w:val="nil"/>
              <w:right w:val="single" w:sz="4" w:space="0" w:color="auto"/>
            </w:tcBorders>
            <w:shd w:val="clear" w:color="auto" w:fill="auto"/>
            <w:noWrap/>
            <w:vAlign w:val="bottom"/>
            <w:hideMark/>
          </w:tcPr>
          <w:p w14:paraId="1B4171D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0.92</w:t>
            </w:r>
          </w:p>
        </w:tc>
        <w:tc>
          <w:tcPr>
            <w:tcW w:w="683" w:type="dxa"/>
            <w:tcBorders>
              <w:top w:val="nil"/>
              <w:left w:val="nil"/>
              <w:bottom w:val="nil"/>
              <w:right w:val="single" w:sz="4" w:space="0" w:color="auto"/>
            </w:tcBorders>
            <w:shd w:val="clear" w:color="auto" w:fill="auto"/>
            <w:noWrap/>
            <w:vAlign w:val="bottom"/>
            <w:hideMark/>
          </w:tcPr>
          <w:p w14:paraId="38B8D1C5"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0.93</w:t>
            </w:r>
          </w:p>
        </w:tc>
        <w:tc>
          <w:tcPr>
            <w:tcW w:w="814" w:type="dxa"/>
            <w:tcBorders>
              <w:top w:val="nil"/>
              <w:left w:val="nil"/>
              <w:bottom w:val="single" w:sz="4" w:space="0" w:color="auto"/>
              <w:right w:val="single" w:sz="4" w:space="0" w:color="auto"/>
            </w:tcBorders>
            <w:shd w:val="clear" w:color="auto" w:fill="auto"/>
            <w:noWrap/>
            <w:vAlign w:val="center"/>
            <w:hideMark/>
          </w:tcPr>
          <w:p w14:paraId="255440C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17.46%</w:t>
            </w:r>
          </w:p>
        </w:tc>
        <w:tc>
          <w:tcPr>
            <w:tcW w:w="814" w:type="dxa"/>
            <w:gridSpan w:val="2"/>
            <w:tcBorders>
              <w:top w:val="nil"/>
              <w:left w:val="nil"/>
              <w:bottom w:val="single" w:sz="4" w:space="0" w:color="auto"/>
              <w:right w:val="single" w:sz="4" w:space="0" w:color="auto"/>
            </w:tcBorders>
            <w:shd w:val="clear" w:color="auto" w:fill="auto"/>
            <w:noWrap/>
            <w:vAlign w:val="center"/>
            <w:hideMark/>
          </w:tcPr>
          <w:p w14:paraId="2C467780"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19.46%</w:t>
            </w:r>
          </w:p>
        </w:tc>
        <w:tc>
          <w:tcPr>
            <w:tcW w:w="729" w:type="dxa"/>
            <w:tcBorders>
              <w:top w:val="nil"/>
              <w:left w:val="nil"/>
              <w:bottom w:val="single" w:sz="4" w:space="0" w:color="auto"/>
              <w:right w:val="double" w:sz="6" w:space="0" w:color="auto"/>
            </w:tcBorders>
            <w:shd w:val="clear" w:color="auto" w:fill="auto"/>
            <w:noWrap/>
            <w:vAlign w:val="center"/>
            <w:hideMark/>
          </w:tcPr>
          <w:p w14:paraId="2663357B"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2.00%</w:t>
            </w:r>
          </w:p>
        </w:tc>
        <w:tc>
          <w:tcPr>
            <w:tcW w:w="769" w:type="dxa"/>
            <w:tcBorders>
              <w:top w:val="nil"/>
              <w:left w:val="nil"/>
              <w:bottom w:val="nil"/>
              <w:right w:val="single" w:sz="4" w:space="0" w:color="auto"/>
            </w:tcBorders>
            <w:shd w:val="clear" w:color="auto" w:fill="auto"/>
            <w:noWrap/>
            <w:vAlign w:val="bottom"/>
            <w:hideMark/>
          </w:tcPr>
          <w:p w14:paraId="47076A34"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1.18</w:t>
            </w:r>
          </w:p>
        </w:tc>
        <w:tc>
          <w:tcPr>
            <w:tcW w:w="684" w:type="dxa"/>
            <w:tcBorders>
              <w:top w:val="nil"/>
              <w:left w:val="nil"/>
              <w:bottom w:val="nil"/>
              <w:right w:val="single" w:sz="4" w:space="0" w:color="auto"/>
            </w:tcBorders>
            <w:shd w:val="clear" w:color="auto" w:fill="auto"/>
            <w:noWrap/>
            <w:vAlign w:val="bottom"/>
            <w:hideMark/>
          </w:tcPr>
          <w:p w14:paraId="0282216A"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1.30</w:t>
            </w:r>
          </w:p>
        </w:tc>
        <w:tc>
          <w:tcPr>
            <w:tcW w:w="684" w:type="dxa"/>
            <w:tcBorders>
              <w:top w:val="nil"/>
              <w:left w:val="nil"/>
              <w:bottom w:val="nil"/>
              <w:right w:val="single" w:sz="4" w:space="0" w:color="auto"/>
            </w:tcBorders>
            <w:shd w:val="clear" w:color="auto" w:fill="auto"/>
            <w:noWrap/>
            <w:vAlign w:val="bottom"/>
            <w:hideMark/>
          </w:tcPr>
          <w:p w14:paraId="55488EC9"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1.31</w:t>
            </w:r>
          </w:p>
        </w:tc>
        <w:tc>
          <w:tcPr>
            <w:tcW w:w="814" w:type="dxa"/>
            <w:tcBorders>
              <w:top w:val="nil"/>
              <w:left w:val="nil"/>
              <w:bottom w:val="single" w:sz="4" w:space="0" w:color="auto"/>
              <w:right w:val="single" w:sz="4" w:space="0" w:color="auto"/>
            </w:tcBorders>
            <w:shd w:val="clear" w:color="auto" w:fill="auto"/>
            <w:noWrap/>
            <w:vAlign w:val="center"/>
            <w:hideMark/>
          </w:tcPr>
          <w:p w14:paraId="5B9AA67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9.50%</w:t>
            </w:r>
          </w:p>
        </w:tc>
        <w:tc>
          <w:tcPr>
            <w:tcW w:w="814" w:type="dxa"/>
            <w:tcBorders>
              <w:top w:val="nil"/>
              <w:left w:val="nil"/>
              <w:bottom w:val="single" w:sz="4" w:space="0" w:color="auto"/>
              <w:right w:val="single" w:sz="4" w:space="0" w:color="auto"/>
            </w:tcBorders>
            <w:shd w:val="clear" w:color="auto" w:fill="auto"/>
            <w:noWrap/>
            <w:vAlign w:val="center"/>
            <w:hideMark/>
          </w:tcPr>
          <w:p w14:paraId="56F0EDDC"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F398B">
              <w:rPr>
                <w:color w:val="000000"/>
                <w:sz w:val="18"/>
                <w:szCs w:val="18"/>
                <w:lang w:eastAsia="zh-CN"/>
              </w:rPr>
              <w:t>10.24%</w:t>
            </w:r>
          </w:p>
        </w:tc>
        <w:tc>
          <w:tcPr>
            <w:tcW w:w="729" w:type="dxa"/>
            <w:tcBorders>
              <w:top w:val="nil"/>
              <w:left w:val="nil"/>
              <w:bottom w:val="single" w:sz="4" w:space="0" w:color="auto"/>
              <w:right w:val="double" w:sz="6" w:space="0" w:color="auto"/>
            </w:tcBorders>
            <w:shd w:val="clear" w:color="auto" w:fill="auto"/>
            <w:noWrap/>
            <w:vAlign w:val="center"/>
            <w:hideMark/>
          </w:tcPr>
          <w:p w14:paraId="73E1E776"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F398B">
              <w:rPr>
                <w:b/>
                <w:bCs/>
                <w:color w:val="000000"/>
                <w:sz w:val="18"/>
                <w:szCs w:val="18"/>
                <w:lang w:eastAsia="zh-CN"/>
              </w:rPr>
              <w:t>0.74%</w:t>
            </w:r>
          </w:p>
        </w:tc>
      </w:tr>
      <w:tr w:rsidR="00FF398B" w:rsidRPr="00FF398B" w14:paraId="2AA0203B" w14:textId="77777777" w:rsidTr="00FF398B">
        <w:trPr>
          <w:trHeight w:val="300"/>
        </w:trPr>
        <w:tc>
          <w:tcPr>
            <w:tcW w:w="9491" w:type="dxa"/>
            <w:gridSpan w:val="15"/>
            <w:tcBorders>
              <w:top w:val="single" w:sz="4" w:space="0" w:color="auto"/>
              <w:left w:val="double" w:sz="6" w:space="0" w:color="auto"/>
              <w:bottom w:val="double" w:sz="6" w:space="0" w:color="auto"/>
              <w:right w:val="double" w:sz="6" w:space="0" w:color="000000"/>
            </w:tcBorders>
            <w:shd w:val="clear" w:color="auto" w:fill="auto"/>
            <w:vAlign w:val="bottom"/>
            <w:hideMark/>
          </w:tcPr>
          <w:p w14:paraId="1EEAA3F1" w14:textId="77777777" w:rsidR="00FF398B" w:rsidRPr="00FF398B" w:rsidRDefault="00FF398B" w:rsidP="00FF3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FF398B">
              <w:rPr>
                <w:rFonts w:ascii="Calibri" w:hAnsi="Calibri" w:cs="Calibri"/>
                <w:color w:val="000000"/>
                <w:szCs w:val="22"/>
                <w:lang w:eastAsia="zh-CN"/>
              </w:rPr>
              <w:t xml:space="preserve">Note*: Percentage difference between VTM5.0 and VTM4.0 is measured against HM16.19 </w:t>
            </w:r>
          </w:p>
        </w:tc>
      </w:tr>
    </w:tbl>
    <w:p w14:paraId="16325B5C" w14:textId="24E7A8AC" w:rsidR="00D91CAE" w:rsidRPr="00DD0DB8" w:rsidRDefault="00D169C3" w:rsidP="00D91CAE">
      <w:pPr>
        <w:jc w:val="center"/>
        <w:rPr>
          <w:b/>
          <w:i/>
        </w:rPr>
      </w:pPr>
      <w:proofErr w:type="gramStart"/>
      <w:r w:rsidRPr="00820848">
        <w:rPr>
          <w:b/>
          <w:i/>
        </w:rPr>
        <w:t xml:space="preserve">Table </w:t>
      </w:r>
      <w:r w:rsidR="00CC2418">
        <w:rPr>
          <w:b/>
          <w:i/>
        </w:rPr>
        <w:t>2</w:t>
      </w:r>
      <w:r w:rsidRPr="00820848">
        <w:rPr>
          <w:b/>
          <w:i/>
        </w:rPr>
        <w:t>.</w:t>
      </w:r>
      <w:proofErr w:type="gramEnd"/>
      <w:r w:rsidRPr="00820848">
        <w:rPr>
          <w:b/>
          <w:i/>
        </w:rPr>
        <w:t xml:space="preserve"> </w:t>
      </w:r>
      <w:r w:rsidR="00D91CAE">
        <w:rPr>
          <w:b/>
          <w:i/>
        </w:rPr>
        <w:t>Bin to bit ratio increase from VTM4.0 to VTM5.0 (Overall)</w:t>
      </w:r>
    </w:p>
    <w:p w14:paraId="663E9690" w14:textId="34E5F915" w:rsidR="00D91CAE" w:rsidRPr="00D91CAE" w:rsidRDefault="00D91CAE" w:rsidP="00AA4DB6">
      <w:pPr>
        <w:rPr>
          <w:lang w:val="en-CA"/>
        </w:rPr>
      </w:pPr>
      <w:r>
        <w:rPr>
          <w:szCs w:val="22"/>
          <w:lang w:val="en-CA"/>
        </w:rPr>
        <w:t xml:space="preserve">It </w:t>
      </w:r>
      <w:r w:rsidR="002E65D9">
        <w:rPr>
          <w:szCs w:val="22"/>
          <w:lang w:val="en-CA"/>
        </w:rPr>
        <w:t>was also reported</w:t>
      </w:r>
      <w:r>
        <w:rPr>
          <w:szCs w:val="22"/>
          <w:lang w:val="en-CA"/>
        </w:rPr>
        <w:t xml:space="preserve"> that </w:t>
      </w:r>
      <w:r>
        <w:rPr>
          <w:lang w:val="en-CA"/>
        </w:rPr>
        <w:t xml:space="preserve">the weighted bin to bit ratio in class F sequences is already higher than the average numbers presented in Table 2. </w:t>
      </w:r>
    </w:p>
    <w:p w14:paraId="3A56A581" w14:textId="5F652C49" w:rsidR="00AA4DB6" w:rsidRPr="00CC2418" w:rsidRDefault="00CC2418" w:rsidP="00AA4DB6">
      <w:pPr>
        <w:rPr>
          <w:lang w:val="en-CA"/>
        </w:rPr>
      </w:pPr>
      <w:r>
        <w:rPr>
          <w:lang w:val="en-CA"/>
        </w:rPr>
        <w:t xml:space="preserve">In Table 2, a bypass bin is counted as 0.25 context coded bins in the weighted measurements; </w:t>
      </w:r>
      <w:r w:rsidR="00497BDA">
        <w:rPr>
          <w:lang w:val="en-CA"/>
        </w:rPr>
        <w:t xml:space="preserve">and </w:t>
      </w:r>
      <w:r>
        <w:rPr>
          <w:lang w:val="en-CA"/>
        </w:rPr>
        <w:t xml:space="preserve">a bypass bin and a context coded bin carry an equal weight (1:1) in the </w:t>
      </w:r>
      <w:proofErr w:type="spellStart"/>
      <w:r>
        <w:rPr>
          <w:lang w:val="en-CA"/>
        </w:rPr>
        <w:t>unweighted</w:t>
      </w:r>
      <w:proofErr w:type="spellEnd"/>
      <w:r>
        <w:rPr>
          <w:lang w:val="en-CA"/>
        </w:rPr>
        <w:t xml:space="preserve"> measurements.</w:t>
      </w:r>
    </w:p>
    <w:p w14:paraId="146F2867"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contributions</w:t>
      </w:r>
    </w:p>
    <w:p w14:paraId="076DC054" w14:textId="77777777" w:rsidR="00A723CB" w:rsidRDefault="00A723CB" w:rsidP="00A723CB">
      <w:pPr>
        <w:rPr>
          <w:szCs w:val="22"/>
          <w:lang w:val="en-CA"/>
        </w:rPr>
      </w:pPr>
      <w:r w:rsidRPr="003E2AF0">
        <w:rPr>
          <w:szCs w:val="22"/>
          <w:lang w:val="en-CA"/>
        </w:rPr>
        <w:t xml:space="preserve">The following contributions are identified for </w:t>
      </w:r>
      <w:r>
        <w:rPr>
          <w:szCs w:val="22"/>
          <w:lang w:val="en-CA"/>
        </w:rPr>
        <w:t xml:space="preserve">the </w:t>
      </w:r>
      <w:r w:rsidRPr="003E2AF0">
        <w:rPr>
          <w:szCs w:val="22"/>
          <w:lang w:val="en-CA"/>
        </w:rPr>
        <w:t xml:space="preserve">AHG. </w:t>
      </w:r>
    </w:p>
    <w:p w14:paraId="119DB88F" w14:textId="4DB00C7E" w:rsidR="006819C3" w:rsidRPr="00A92E27" w:rsidRDefault="000E48AA" w:rsidP="00A92E27">
      <w:pPr>
        <w:pStyle w:val="Heading2"/>
      </w:pPr>
      <w:r w:rsidRPr="00A92E27">
        <w:t>C</w:t>
      </w:r>
      <w:r w:rsidR="00117B41" w:rsidRPr="00A92E27">
        <w:t xml:space="preserve">ontributions related to </w:t>
      </w:r>
      <w:r w:rsidR="00A92E27">
        <w:t xml:space="preserve">the </w:t>
      </w:r>
      <w:proofErr w:type="spellStart"/>
      <w:r w:rsidR="00117B41" w:rsidRPr="00A92E27">
        <w:t>luma-chroma</w:t>
      </w:r>
      <w:proofErr w:type="spellEnd"/>
      <w:r w:rsidR="00117B41" w:rsidRPr="00A92E27">
        <w:t xml:space="preserve"> latency reduction for the combination of CCLM and dual-tree </w:t>
      </w:r>
    </w:p>
    <w:p w14:paraId="603D6F8A" w14:textId="77777777" w:rsidR="00117B41" w:rsidRPr="004651C4" w:rsidRDefault="007D23D7" w:rsidP="004651C4">
      <w:pPr>
        <w:pStyle w:val="ListParagraph"/>
        <w:numPr>
          <w:ilvl w:val="0"/>
          <w:numId w:val="44"/>
        </w:numPr>
      </w:pPr>
      <w:r w:rsidRPr="004651C4">
        <w:t xml:space="preserve">JVET-O0129, “Non-CE2: CCLM with Chroma Separate Tree”, </w:t>
      </w:r>
      <w:r w:rsidRPr="004651C4">
        <w:tab/>
        <w:t>C.-W.</w:t>
      </w:r>
      <w:r w:rsidR="00117B41" w:rsidRPr="004651C4">
        <w:t xml:space="preserve"> </w:t>
      </w:r>
      <w:proofErr w:type="spellStart"/>
      <w:r w:rsidR="00117B41" w:rsidRPr="004651C4">
        <w:t>Kuo</w:t>
      </w:r>
      <w:proofErr w:type="spellEnd"/>
      <w:r w:rsidR="00117B41" w:rsidRPr="004651C4">
        <w:t>, J. Li, C. Lim (Panasonic)</w:t>
      </w:r>
    </w:p>
    <w:p w14:paraId="139D2B01" w14:textId="77777777" w:rsidR="00117B41" w:rsidRPr="004651C4" w:rsidRDefault="007D23D7" w:rsidP="004651C4">
      <w:pPr>
        <w:pStyle w:val="ListParagraph"/>
        <w:numPr>
          <w:ilvl w:val="0"/>
          <w:numId w:val="44"/>
        </w:numPr>
      </w:pPr>
      <w:r w:rsidRPr="004651C4">
        <w:t>JVET-O0196, “CE2-related: CCLM for dual tree with 32x32 latency”,</w:t>
      </w:r>
      <w:r w:rsidR="00117B41" w:rsidRPr="004651C4">
        <w:tab/>
        <w:t>Y. Zhao, H. Yang (Huawei)</w:t>
      </w:r>
    </w:p>
    <w:p w14:paraId="6E2D21E5" w14:textId="0F878355" w:rsidR="007D23D7" w:rsidRPr="004651C4" w:rsidRDefault="007D23D7" w:rsidP="004651C4">
      <w:pPr>
        <w:pStyle w:val="ListParagraph"/>
        <w:numPr>
          <w:ilvl w:val="0"/>
          <w:numId w:val="44"/>
        </w:numPr>
      </w:pPr>
      <w:r w:rsidRPr="004651C4">
        <w:t xml:space="preserve">JVET-O0274, “CE2-related: </w:t>
      </w:r>
      <w:proofErr w:type="spellStart"/>
      <w:r w:rsidRPr="004651C4">
        <w:t>Luma-chroma</w:t>
      </w:r>
      <w:proofErr w:type="spellEnd"/>
      <w:r w:rsidRPr="004651C4">
        <w:t xml:space="preserve"> dependency reduction for </w:t>
      </w:r>
      <w:proofErr w:type="spellStart"/>
      <w:r w:rsidRPr="004651C4">
        <w:t>chroma</w:t>
      </w:r>
      <w:proofErr w:type="spellEnd"/>
      <w:r w:rsidRPr="004651C4">
        <w:t xml:space="preserve"> separate tree by constraining CCLM usage”,</w:t>
      </w:r>
      <w:r w:rsidRPr="004651C4">
        <w:tab/>
        <w:t>C.-M. Tsai, T.-D. Chuang, C.-W. Hsu, Y.-W. Huang, S.-M. Lei (</w:t>
      </w:r>
      <w:proofErr w:type="spellStart"/>
      <w:r w:rsidRPr="004651C4">
        <w:t>MediaTek</w:t>
      </w:r>
      <w:proofErr w:type="spellEnd"/>
      <w:r w:rsidRPr="004651C4">
        <w:t>)</w:t>
      </w:r>
    </w:p>
    <w:p w14:paraId="7C6C6528" w14:textId="42FF1D6F" w:rsidR="007D23D7" w:rsidRPr="004651C4" w:rsidRDefault="00316253" w:rsidP="004651C4">
      <w:pPr>
        <w:pStyle w:val="ListParagraph"/>
        <w:numPr>
          <w:ilvl w:val="0"/>
          <w:numId w:val="44"/>
        </w:numPr>
      </w:pPr>
      <w:r w:rsidRPr="004651C4">
        <w:t xml:space="preserve">JVET-O0524, </w:t>
      </w:r>
      <w:r w:rsidR="00117B41" w:rsidRPr="004651C4">
        <w:t xml:space="preserve">“Non-CE2: alternative solutions for reducing the </w:t>
      </w:r>
      <w:proofErr w:type="spellStart"/>
      <w:r w:rsidR="00117B41" w:rsidRPr="004651C4">
        <w:t>luma-chroma</w:t>
      </w:r>
      <w:proofErr w:type="spellEnd"/>
      <w:r w:rsidR="00117B41" w:rsidRPr="004651C4">
        <w:t xml:space="preserve"> latency”, T. Poirier, E. François, F. Le </w:t>
      </w:r>
      <w:proofErr w:type="spellStart"/>
      <w:r w:rsidR="00117B41" w:rsidRPr="004651C4">
        <w:t>Léannec</w:t>
      </w:r>
      <w:proofErr w:type="spellEnd"/>
      <w:r w:rsidR="00117B41" w:rsidRPr="004651C4">
        <w:t xml:space="preserve"> (</w:t>
      </w:r>
      <w:proofErr w:type="spellStart"/>
      <w:r w:rsidR="00117B41" w:rsidRPr="004651C4">
        <w:t>InterDigital</w:t>
      </w:r>
      <w:proofErr w:type="spellEnd"/>
      <w:r w:rsidR="00117B41" w:rsidRPr="004651C4">
        <w:t>)</w:t>
      </w:r>
    </w:p>
    <w:p w14:paraId="214F7212" w14:textId="77777777" w:rsidR="004651C4" w:rsidRDefault="00117B41" w:rsidP="004651C4">
      <w:pPr>
        <w:pStyle w:val="ListParagraph"/>
        <w:numPr>
          <w:ilvl w:val="0"/>
          <w:numId w:val="44"/>
        </w:numPr>
      </w:pPr>
      <w:r w:rsidRPr="004651C4">
        <w:t xml:space="preserve">JVET-O0611, “CE2-3 related: On CCLM restriction for 32x32 </w:t>
      </w:r>
      <w:proofErr w:type="spellStart"/>
      <w:r w:rsidRPr="004651C4">
        <w:t>luma</w:t>
      </w:r>
      <w:proofErr w:type="spellEnd"/>
      <w:r w:rsidRPr="004651C4">
        <w:t xml:space="preserve"> latency”,</w:t>
      </w:r>
      <w:r w:rsidRPr="004651C4">
        <w:tab/>
        <w:t>K. Kawamura, K. Unno, S. Naito (KDDI)</w:t>
      </w:r>
    </w:p>
    <w:p w14:paraId="220B2618" w14:textId="797C59C4" w:rsidR="00165EB9" w:rsidRDefault="00165EB9" w:rsidP="00165EB9">
      <w:pPr>
        <w:pStyle w:val="Heading2"/>
      </w:pPr>
      <w:r>
        <w:t xml:space="preserve">Contributions for </w:t>
      </w:r>
      <w:r w:rsidR="002C5D8C">
        <w:t>simplification of IBC vector validity check</w:t>
      </w:r>
    </w:p>
    <w:p w14:paraId="6374472C" w14:textId="351CA0EC" w:rsidR="00165EB9" w:rsidRDefault="00165EB9" w:rsidP="00165EB9">
      <w:pPr>
        <w:pStyle w:val="ListParagraph"/>
        <w:numPr>
          <w:ilvl w:val="0"/>
          <w:numId w:val="48"/>
        </w:numPr>
      </w:pPr>
      <w:r w:rsidRPr="00165EB9">
        <w:t>JVET-O0127</w:t>
      </w:r>
      <w:r>
        <w:t>, “</w:t>
      </w:r>
      <w:r w:rsidRPr="00165EB9">
        <w:t>CE8-related: IBC modifications</w:t>
      </w:r>
      <w:r>
        <w:t xml:space="preserve">”, </w:t>
      </w:r>
      <w:r w:rsidRPr="00165EB9">
        <w:t>J. Li, C.S. Lim (Panasonic)</w:t>
      </w:r>
    </w:p>
    <w:p w14:paraId="328CB5C1" w14:textId="662A1CF8" w:rsidR="002C5D8C" w:rsidRDefault="002C5D8C" w:rsidP="002C5D8C">
      <w:pPr>
        <w:pStyle w:val="ListParagraph"/>
        <w:numPr>
          <w:ilvl w:val="0"/>
          <w:numId w:val="48"/>
        </w:numPr>
      </w:pPr>
      <w:r w:rsidRPr="002C5D8C">
        <w:lastRenderedPageBreak/>
        <w:t>JVET-O0258</w:t>
      </w:r>
      <w:r>
        <w:t>, “</w:t>
      </w:r>
      <w:r w:rsidRPr="002C5D8C">
        <w:t>Non-CE8: Adaptive single/dual tree with IBC simplification</w:t>
      </w:r>
      <w:r>
        <w:t xml:space="preserve">”, </w:t>
      </w:r>
      <w:r w:rsidRPr="002C5D8C">
        <w:t>W. Zhu, J. Xu, L. Zhang (</w:t>
      </w:r>
      <w:proofErr w:type="spellStart"/>
      <w:r w:rsidRPr="002C5D8C">
        <w:t>Bytedance</w:t>
      </w:r>
      <w:proofErr w:type="spellEnd"/>
      <w:r w:rsidRPr="002C5D8C">
        <w:t>)</w:t>
      </w:r>
    </w:p>
    <w:p w14:paraId="00760A2F" w14:textId="20BAC228" w:rsidR="002C5D8C" w:rsidRDefault="002C5D8C" w:rsidP="002C5D8C">
      <w:pPr>
        <w:pStyle w:val="ListParagraph"/>
        <w:numPr>
          <w:ilvl w:val="0"/>
          <w:numId w:val="48"/>
        </w:numPr>
      </w:pPr>
      <w:r w:rsidRPr="002C5D8C">
        <w:t>JVET-O0248</w:t>
      </w:r>
      <w:r>
        <w:t>, “</w:t>
      </w:r>
      <w:r w:rsidRPr="002C5D8C">
        <w:t xml:space="preserve">CE8-related: Dedicated IBC reference buffer without </w:t>
      </w:r>
      <w:proofErr w:type="spellStart"/>
      <w:r w:rsidRPr="002C5D8C">
        <w:t>bitstream</w:t>
      </w:r>
      <w:proofErr w:type="spellEnd"/>
      <w:r w:rsidRPr="002C5D8C">
        <w:t xml:space="preserve"> restrictions</w:t>
      </w:r>
      <w:r>
        <w:t xml:space="preserve">”, </w:t>
      </w:r>
      <w:r w:rsidRPr="002C5D8C">
        <w:t xml:space="preserve">H. Gao, </w:t>
      </w:r>
      <w:proofErr w:type="spellStart"/>
      <w:r w:rsidRPr="002C5D8C">
        <w:t>A.Karabutov</w:t>
      </w:r>
      <w:proofErr w:type="spellEnd"/>
      <w:r w:rsidRPr="002C5D8C">
        <w:t xml:space="preserve">, S. Esenlik, S. Ikonin, B. Wang, A. </w:t>
      </w:r>
      <w:r>
        <w:t>M. Kotra, E. Alshina (Huawei)</w:t>
      </w:r>
    </w:p>
    <w:p w14:paraId="37B731C7" w14:textId="3A689226" w:rsidR="002C5D8C" w:rsidRDefault="002C5D8C" w:rsidP="002C5D8C">
      <w:pPr>
        <w:pStyle w:val="ListParagraph"/>
        <w:numPr>
          <w:ilvl w:val="0"/>
          <w:numId w:val="48"/>
        </w:numPr>
      </w:pPr>
      <w:r w:rsidRPr="002C5D8C">
        <w:t>JVET-O0482</w:t>
      </w:r>
      <w:r>
        <w:t>, “</w:t>
      </w:r>
      <w:r w:rsidRPr="002C5D8C">
        <w:t>CE8-related: Modulo operations for IBC block vectors</w:t>
      </w:r>
      <w:r>
        <w:t xml:space="preserve">”, </w:t>
      </w:r>
      <w:r w:rsidRPr="002C5D8C">
        <w:t>X. Xu, X. Li, S. Liu (</w:t>
      </w:r>
      <w:proofErr w:type="spellStart"/>
      <w:r w:rsidRPr="002C5D8C">
        <w:t>Tencent</w:t>
      </w:r>
      <w:proofErr w:type="spellEnd"/>
      <w:r w:rsidRPr="002C5D8C">
        <w:t>)</w:t>
      </w:r>
    </w:p>
    <w:p w14:paraId="5FC5DC5C" w14:textId="165D80E7" w:rsidR="00A14EAA" w:rsidRDefault="000A0CC3" w:rsidP="004651C4">
      <w:pPr>
        <w:pStyle w:val="Heading2"/>
      </w:pPr>
      <w:r w:rsidRPr="00216A17">
        <w:t>Contribution</w:t>
      </w:r>
      <w:r>
        <w:t>s</w:t>
      </w:r>
      <w:r w:rsidRPr="00216A17">
        <w:t xml:space="preserve"> </w:t>
      </w:r>
      <w:r w:rsidR="00A92E27">
        <w:t>related to</w:t>
      </w:r>
      <w:r w:rsidR="00A14EAA">
        <w:t xml:space="preserve"> the residual coding of transform skip mode</w:t>
      </w:r>
    </w:p>
    <w:p w14:paraId="4C1BE44D" w14:textId="3990333C" w:rsidR="00F53182" w:rsidRPr="004651C4" w:rsidRDefault="00F53182" w:rsidP="004651C4">
      <w:pPr>
        <w:pStyle w:val="ListParagraph"/>
        <w:numPr>
          <w:ilvl w:val="0"/>
          <w:numId w:val="45"/>
        </w:numPr>
      </w:pPr>
      <w:r w:rsidRPr="004651C4">
        <w:t xml:space="preserve">JVET-O0295, “CE7-related: Modified </w:t>
      </w:r>
      <w:proofErr w:type="spellStart"/>
      <w:r w:rsidRPr="004651C4">
        <w:t>subblock</w:t>
      </w:r>
      <w:proofErr w:type="spellEnd"/>
      <w:r w:rsidRPr="004651C4">
        <w:t xml:space="preserve"> coding passes for coding TS residual”, S.-T. Hsiang, S.-M. Lei (</w:t>
      </w:r>
      <w:proofErr w:type="spellStart"/>
      <w:r w:rsidRPr="004651C4">
        <w:t>MediaTek</w:t>
      </w:r>
      <w:proofErr w:type="spellEnd"/>
      <w:r w:rsidRPr="004651C4">
        <w:t>)</w:t>
      </w:r>
    </w:p>
    <w:p w14:paraId="4CA1C58C" w14:textId="77777777" w:rsidR="00F53182" w:rsidRPr="004651C4" w:rsidRDefault="00F53182" w:rsidP="004651C4">
      <w:pPr>
        <w:pStyle w:val="ListParagraph"/>
        <w:numPr>
          <w:ilvl w:val="0"/>
          <w:numId w:val="45"/>
        </w:numPr>
      </w:pPr>
      <w:r w:rsidRPr="004651C4">
        <w:t xml:space="preserve">JVET-O0558, “CE7-related: Reduction of </w:t>
      </w:r>
      <w:proofErr w:type="spellStart"/>
      <w:r w:rsidRPr="004651C4">
        <w:t>Gtx</w:t>
      </w:r>
      <w:proofErr w:type="spellEnd"/>
      <w:r w:rsidRPr="004651C4">
        <w:t xml:space="preserve"> passes in transform skip residual coding”, M. Karczewicz, Y.-H. Chao, H. Wang, M. Coban (Qualcomm)</w:t>
      </w:r>
    </w:p>
    <w:p w14:paraId="4EBC9EDA" w14:textId="6BA7C6AB" w:rsidR="000A0CC3" w:rsidRPr="004651C4" w:rsidRDefault="00A14EAA" w:rsidP="004651C4">
      <w:pPr>
        <w:pStyle w:val="ListParagraph"/>
        <w:numPr>
          <w:ilvl w:val="0"/>
          <w:numId w:val="45"/>
        </w:numPr>
      </w:pPr>
      <w:r w:rsidRPr="004651C4">
        <w:t>JVET-O0619, “Non-CE7: Simplification of transform skip residual coding”, M. G. Sarwer, Y. Ye (Alibaba)</w:t>
      </w:r>
    </w:p>
    <w:p w14:paraId="2FF6EAE1" w14:textId="630756FA" w:rsidR="00BE559A" w:rsidRPr="004651C4" w:rsidRDefault="00F53182" w:rsidP="004651C4">
      <w:pPr>
        <w:pStyle w:val="ListParagraph"/>
        <w:numPr>
          <w:ilvl w:val="0"/>
          <w:numId w:val="45"/>
        </w:numPr>
      </w:pPr>
      <w:r w:rsidRPr="004651C4">
        <w:t>JVET-O0623, “CE7-related: Interleaved coefficient coding for transform-skip mode”, M. Karczewicz, H. Wang, M. Coban, Y.-H. Chao (Qualcomm)</w:t>
      </w:r>
    </w:p>
    <w:p w14:paraId="688E2A56" w14:textId="12ABC3DE" w:rsidR="004916E5" w:rsidRDefault="004916E5" w:rsidP="004651C4">
      <w:pPr>
        <w:pStyle w:val="Heading2"/>
      </w:pPr>
      <w:r w:rsidRPr="00216A17">
        <w:t>Contribution</w:t>
      </w:r>
      <w:r>
        <w:t>s</w:t>
      </w:r>
      <w:r w:rsidRPr="00216A17">
        <w:t xml:space="preserve"> </w:t>
      </w:r>
      <w:r w:rsidR="00F85FC8">
        <w:t xml:space="preserve">related to </w:t>
      </w:r>
      <w:r w:rsidR="005E1730">
        <w:t>the MV</w:t>
      </w:r>
      <w:r w:rsidR="00F85FC8">
        <w:t xml:space="preserve"> context storage of triangle merg</w:t>
      </w:r>
      <w:r w:rsidR="005E1730">
        <w:t>e</w:t>
      </w:r>
      <w:r w:rsidR="00F85FC8">
        <w:t xml:space="preserve"> mode</w:t>
      </w:r>
    </w:p>
    <w:p w14:paraId="3BA15AED" w14:textId="0E74E139" w:rsidR="004916E5" w:rsidRDefault="004916E5" w:rsidP="004651C4">
      <w:pPr>
        <w:pStyle w:val="ListParagraph"/>
        <w:numPr>
          <w:ilvl w:val="0"/>
          <w:numId w:val="46"/>
        </w:numPr>
      </w:pPr>
      <w:r>
        <w:t xml:space="preserve">JVET-O0128, “Non-CE4: Simplification of triangle mode MV context storage”,  </w:t>
      </w:r>
      <w:r>
        <w:tab/>
        <w:t xml:space="preserve">J. Li, C.S. Lim </w:t>
      </w:r>
      <w:r w:rsidR="00F85FC8">
        <w:t>(Panasonic)</w:t>
      </w:r>
    </w:p>
    <w:p w14:paraId="5561CE7A" w14:textId="1B1D948B" w:rsidR="004916E5" w:rsidRDefault="004916E5" w:rsidP="004651C4">
      <w:pPr>
        <w:pStyle w:val="ListParagraph"/>
        <w:numPr>
          <w:ilvl w:val="0"/>
          <w:numId w:val="46"/>
        </w:numPr>
      </w:pPr>
      <w:r>
        <w:t>JVET-O0217, “Non-CE4: Simplification of motion vector storing process for triangle merge mode”, Y.</w:t>
      </w:r>
      <w:r w:rsidR="00F85FC8">
        <w:t xml:space="preserve"> Ahn, D. </w:t>
      </w:r>
      <w:proofErr w:type="spellStart"/>
      <w:r w:rsidR="00F85FC8">
        <w:t>Sim</w:t>
      </w:r>
      <w:proofErr w:type="spellEnd"/>
      <w:r w:rsidR="00F85FC8">
        <w:t xml:space="preserve"> (Digital Insights)</w:t>
      </w:r>
    </w:p>
    <w:p w14:paraId="35E26283" w14:textId="77777777" w:rsidR="00F85FC8" w:rsidRDefault="004916E5" w:rsidP="004651C4">
      <w:pPr>
        <w:pStyle w:val="ListParagraph"/>
        <w:numPr>
          <w:ilvl w:val="0"/>
          <w:numId w:val="46"/>
        </w:numPr>
      </w:pPr>
      <w:r>
        <w:t>JVET-O0279, “CE4-related: Simplification of motion vector storing process for triangle prediction mode”,</w:t>
      </w:r>
      <w:r>
        <w:tab/>
        <w:t>Y.-L. Hsiao, C.-C. Chen, C.-W. Hsu, Y.-W. Huang, S.-M. Lei (</w:t>
      </w:r>
      <w:proofErr w:type="spellStart"/>
      <w:r>
        <w:t>MediaTek</w:t>
      </w:r>
      <w:proofErr w:type="spellEnd"/>
      <w:r>
        <w:t>)</w:t>
      </w:r>
    </w:p>
    <w:p w14:paraId="70E46F0A" w14:textId="2BF4B9DB" w:rsidR="004651C4" w:rsidRDefault="004916E5" w:rsidP="004651C4">
      <w:pPr>
        <w:pStyle w:val="ListParagraph"/>
        <w:numPr>
          <w:ilvl w:val="0"/>
          <w:numId w:val="46"/>
        </w:numPr>
      </w:pPr>
      <w:r>
        <w:t xml:space="preserve">JVET-O0314, “Non-CE4: Modification of MV storage in triangle merge mode”, </w:t>
      </w:r>
      <w:r w:rsidR="004651C4">
        <w:tab/>
        <w:t>P.-H. Lin (Foxconn)</w:t>
      </w:r>
    </w:p>
    <w:p w14:paraId="0D5A7D5F" w14:textId="77777777" w:rsidR="004651C4" w:rsidRDefault="004916E5" w:rsidP="004651C4">
      <w:pPr>
        <w:pStyle w:val="ListParagraph"/>
        <w:numPr>
          <w:ilvl w:val="0"/>
          <w:numId w:val="46"/>
        </w:numPr>
      </w:pPr>
      <w:r>
        <w:t>JVET-O0329, “Non-CE4: Simplification of motion vector storage process for triangle merge mode”, H. Lee, S.-C. Lim, J.</w:t>
      </w:r>
      <w:r w:rsidR="004651C4">
        <w:t xml:space="preserve"> Lee, J. Kang, H. Y. Kim (ETRI)</w:t>
      </w:r>
    </w:p>
    <w:p w14:paraId="4B3DF593" w14:textId="77777777" w:rsidR="004651C4" w:rsidRDefault="004916E5" w:rsidP="004651C4">
      <w:pPr>
        <w:pStyle w:val="ListParagraph"/>
        <w:numPr>
          <w:ilvl w:val="0"/>
          <w:numId w:val="46"/>
        </w:numPr>
      </w:pPr>
      <w:r>
        <w:t>JVET-O0378, “Non-CE4: Simplification of MV context storage for triangle mode”,</w:t>
      </w:r>
      <w:r>
        <w:tab/>
        <w:t xml:space="preserve">F. Chen, L. </w:t>
      </w:r>
      <w:r w:rsidR="004651C4">
        <w:t>Wang(</w:t>
      </w:r>
      <w:proofErr w:type="spellStart"/>
      <w:r w:rsidR="004651C4">
        <w:t>Hikvision</w:t>
      </w:r>
      <w:proofErr w:type="spellEnd"/>
      <w:r w:rsidR="004651C4">
        <w:t>)</w:t>
      </w:r>
    </w:p>
    <w:p w14:paraId="1BF0B664" w14:textId="77777777" w:rsidR="004651C4" w:rsidRDefault="004916E5" w:rsidP="004651C4">
      <w:pPr>
        <w:pStyle w:val="ListParagraph"/>
        <w:numPr>
          <w:ilvl w:val="0"/>
          <w:numId w:val="46"/>
        </w:numPr>
      </w:pPr>
      <w:r>
        <w:t>JVET-O0411, “Non-CE4: Simplification of bi-prediction MV generation for triangle partition mode storage”,</w:t>
      </w:r>
      <w:r>
        <w:tab/>
        <w:t xml:space="preserve">K. </w:t>
      </w:r>
      <w:proofErr w:type="spellStart"/>
      <w:r>
        <w:t>ReuzÃ</w:t>
      </w:r>
      <w:proofErr w:type="spellEnd"/>
      <w:r>
        <w:t xml:space="preserve">©, C.-C Chen, W.-J. Chien, H. </w:t>
      </w:r>
      <w:r w:rsidR="004651C4">
        <w:t>Huang, M. Karczewicz (Qualcomm)</w:t>
      </w:r>
    </w:p>
    <w:p w14:paraId="6A0B0797" w14:textId="77777777" w:rsidR="004651C4" w:rsidRDefault="004916E5" w:rsidP="004651C4">
      <w:pPr>
        <w:pStyle w:val="ListParagraph"/>
        <w:numPr>
          <w:ilvl w:val="0"/>
          <w:numId w:val="46"/>
        </w:numPr>
      </w:pPr>
      <w:r>
        <w:t>JVET-O0418, “CE4-related: Simplification of motion vector storage operation for triangle merge mode”, X.W. Meng (PKU), X. Zheng</w:t>
      </w:r>
      <w:r w:rsidR="004651C4">
        <w:t xml:space="preserve"> (DJI), S.S Wang, S.W. Ma (PKU)</w:t>
      </w:r>
    </w:p>
    <w:p w14:paraId="7CDBC7BE" w14:textId="77777777" w:rsidR="004651C4" w:rsidRDefault="004916E5" w:rsidP="004651C4">
      <w:pPr>
        <w:pStyle w:val="ListParagraph"/>
        <w:numPr>
          <w:ilvl w:val="0"/>
          <w:numId w:val="46"/>
        </w:numPr>
      </w:pPr>
      <w:r>
        <w:t>JVET-O0601, “CE4-related: On motion vector population under triangle prediction mode</w:t>
      </w:r>
      <w:r>
        <w:tab/>
        <w:t>“, X. Wang, Y.-W. Che</w:t>
      </w:r>
      <w:r w:rsidR="004651C4">
        <w:t>n, X. Xiu, T.-C. Ma (</w:t>
      </w:r>
      <w:proofErr w:type="spellStart"/>
      <w:r w:rsidR="004651C4">
        <w:t>Kwai</w:t>
      </w:r>
      <w:proofErr w:type="spellEnd"/>
      <w:r w:rsidR="004651C4">
        <w:t xml:space="preserve"> Inc.)</w:t>
      </w:r>
    </w:p>
    <w:p w14:paraId="4F0E16C0" w14:textId="77777777" w:rsidR="004651C4" w:rsidRDefault="004916E5" w:rsidP="004651C4">
      <w:pPr>
        <w:pStyle w:val="ListParagraph"/>
        <w:numPr>
          <w:ilvl w:val="0"/>
          <w:numId w:val="46"/>
        </w:numPr>
      </w:pPr>
      <w:r>
        <w:t>JVET-O0629, “Non-CE4: Simplification of motion field for triangle partition</w:t>
      </w:r>
      <w:r w:rsidR="00F85FC8">
        <w:t>”,</w:t>
      </w:r>
      <w:r>
        <w:tab/>
        <w:t>R.-L.</w:t>
      </w:r>
      <w:r w:rsidR="004651C4">
        <w:t xml:space="preserve"> Liao, Y. Ye, J. Chen (Alibaba)</w:t>
      </w:r>
    </w:p>
    <w:p w14:paraId="6FDF0D37" w14:textId="39ACA5FE" w:rsidR="004916E5" w:rsidRPr="00216A17" w:rsidRDefault="00F85FC8" w:rsidP="004651C4">
      <w:pPr>
        <w:pStyle w:val="ListParagraph"/>
        <w:numPr>
          <w:ilvl w:val="0"/>
          <w:numId w:val="46"/>
        </w:numPr>
      </w:pPr>
      <w:r>
        <w:t>JVET-O0660, “</w:t>
      </w:r>
      <w:r w:rsidR="004916E5">
        <w:t>Simplification of MV storage for blending block in triangle mode</w:t>
      </w:r>
      <w:r>
        <w:t xml:space="preserve">”, </w:t>
      </w:r>
      <w:r w:rsidR="00165EB9">
        <w:tab/>
        <w:t>K. Panusopone, L. Wang (Nokia)</w:t>
      </w:r>
    </w:p>
    <w:p w14:paraId="6F29943E" w14:textId="759162EF" w:rsidR="004651C4" w:rsidRDefault="004651C4" w:rsidP="004651C4">
      <w:pPr>
        <w:pStyle w:val="Heading2"/>
      </w:pPr>
      <w:r>
        <w:t xml:space="preserve">Contributions for </w:t>
      </w:r>
      <w:r w:rsidR="002E65D9">
        <w:t xml:space="preserve">the </w:t>
      </w:r>
      <w:r>
        <w:t>LFNST latency reduction</w:t>
      </w:r>
    </w:p>
    <w:p w14:paraId="7CD27D55" w14:textId="77777777" w:rsidR="004651C4" w:rsidRPr="004651C4" w:rsidRDefault="004651C4" w:rsidP="004651C4">
      <w:pPr>
        <w:pStyle w:val="ListParagraph"/>
        <w:numPr>
          <w:ilvl w:val="0"/>
          <w:numId w:val="43"/>
        </w:numPr>
      </w:pPr>
      <w:r w:rsidRPr="004651C4">
        <w:t>JVET-O0213, “Non-CE6: Block size restriction of LFNST”, M. Koo, J. Nam, J. Lim, M. Salehifar, S. Kim (LGE)</w:t>
      </w:r>
    </w:p>
    <w:p w14:paraId="4C451C8E" w14:textId="321F2E1A" w:rsidR="004651C4" w:rsidRPr="004651C4" w:rsidRDefault="004651C4" w:rsidP="004651C4">
      <w:pPr>
        <w:pStyle w:val="ListParagraph"/>
        <w:numPr>
          <w:ilvl w:val="0"/>
          <w:numId w:val="43"/>
        </w:numPr>
      </w:pPr>
      <w:r w:rsidRPr="004651C4">
        <w:t>JVET-O0266, “Non-CE6: Simplifications on LFNST”, K. Zhang, L. Zhang, Z. Deng, H. Liu, N. Zhang (</w:t>
      </w:r>
      <w:proofErr w:type="spellStart"/>
      <w:r w:rsidRPr="004651C4">
        <w:t>Bytedance</w:t>
      </w:r>
      <w:proofErr w:type="spellEnd"/>
      <w:r w:rsidRPr="004651C4">
        <w:t>)</w:t>
      </w:r>
    </w:p>
    <w:p w14:paraId="5FE0E880" w14:textId="12656482" w:rsidR="004651C4" w:rsidRPr="004651C4" w:rsidRDefault="004651C4" w:rsidP="004651C4">
      <w:pPr>
        <w:pStyle w:val="ListParagraph"/>
        <w:numPr>
          <w:ilvl w:val="0"/>
          <w:numId w:val="43"/>
        </w:numPr>
      </w:pPr>
      <w:r w:rsidRPr="004651C4">
        <w:t>JVET-O0293, “CE6-related: Latency reduction for LFNST signaling”, M.-S. Chiang, C.-W. Hsu, T.-D. Chuang, C.-Y. Chen, Y.-W. Huang, S.-M. Lei (</w:t>
      </w:r>
      <w:proofErr w:type="spellStart"/>
      <w:r w:rsidRPr="004651C4">
        <w:t>MediaTek</w:t>
      </w:r>
      <w:proofErr w:type="spellEnd"/>
      <w:r w:rsidRPr="004651C4">
        <w:t>)</w:t>
      </w:r>
    </w:p>
    <w:p w14:paraId="582791F9" w14:textId="77777777" w:rsidR="004651C4" w:rsidRDefault="004651C4" w:rsidP="004651C4">
      <w:pPr>
        <w:pStyle w:val="ListParagraph"/>
        <w:numPr>
          <w:ilvl w:val="0"/>
          <w:numId w:val="43"/>
        </w:numPr>
      </w:pPr>
      <w:r w:rsidRPr="004651C4">
        <w:t>JVET-O0352, “Non-CE6: TU/TB-level LFNST index coding”, T. Tsukuba, M. Ikeda</w:t>
      </w:r>
      <w:r>
        <w:t xml:space="preserve">, Y. </w:t>
      </w:r>
      <w:proofErr w:type="spellStart"/>
      <w:r>
        <w:t>Yagasaki</w:t>
      </w:r>
      <w:proofErr w:type="spellEnd"/>
      <w:r>
        <w:t>, T. Suzuki (Sony)</w:t>
      </w:r>
    </w:p>
    <w:p w14:paraId="55DC38C4" w14:textId="77777777" w:rsidR="004651C4" w:rsidRDefault="004651C4" w:rsidP="004651C4">
      <w:pPr>
        <w:pStyle w:val="ListParagraph"/>
        <w:numPr>
          <w:ilvl w:val="0"/>
          <w:numId w:val="43"/>
        </w:numPr>
      </w:pPr>
      <w:r w:rsidRPr="004651C4">
        <w:t>JVET-O0476, “Non-CE6: Syntax change for LFNST”, D. Park, Y.-U. Yoon, J.-G. Ki</w:t>
      </w:r>
      <w:r>
        <w:t>m (KAU), J. Lee, J. Kang (ETRI)</w:t>
      </w:r>
    </w:p>
    <w:p w14:paraId="3277A3F3" w14:textId="023BDB19" w:rsidR="004651C4" w:rsidRDefault="004651C4" w:rsidP="00165EB9">
      <w:pPr>
        <w:pStyle w:val="ListParagraph"/>
        <w:numPr>
          <w:ilvl w:val="0"/>
          <w:numId w:val="43"/>
        </w:numPr>
      </w:pPr>
      <w:r w:rsidRPr="004651C4">
        <w:lastRenderedPageBreak/>
        <w:t xml:space="preserve">JVET-O0569, “Non-CE6: LFNST Signaling at the TU Level”, A. </w:t>
      </w:r>
      <w:proofErr w:type="spellStart"/>
      <w:r w:rsidRPr="004651C4">
        <w:t>Nalci</w:t>
      </w:r>
      <w:proofErr w:type="spellEnd"/>
      <w:r w:rsidRPr="004651C4">
        <w:t xml:space="preserve">, H. E. Egilmez, A. Said, M. Coban, V. Seregin, W.-J. </w:t>
      </w:r>
      <w:r>
        <w:t>Chien, M. Karczewicz (Qualcomm)</w:t>
      </w:r>
    </w:p>
    <w:p w14:paraId="1D68D3DD" w14:textId="6DD95DF1" w:rsidR="00165EB9" w:rsidRDefault="00165EB9" w:rsidP="00165EB9">
      <w:pPr>
        <w:pStyle w:val="Heading2"/>
      </w:pPr>
      <w:r>
        <w:t>Contributions for ALF padding unification and line buffer reduction</w:t>
      </w:r>
    </w:p>
    <w:p w14:paraId="71385776" w14:textId="539B97CB" w:rsidR="004651C4" w:rsidRDefault="004651C4" w:rsidP="00165EB9">
      <w:pPr>
        <w:pStyle w:val="ListParagraph"/>
        <w:numPr>
          <w:ilvl w:val="0"/>
          <w:numId w:val="47"/>
        </w:numPr>
      </w:pPr>
      <w:r w:rsidRPr="004651C4">
        <w:t>JVET-O0625</w:t>
      </w:r>
      <w:r>
        <w:t>, “</w:t>
      </w:r>
      <w:r w:rsidRPr="004651C4">
        <w:t>Non-CE5: Unified padding method for samples at variant boundaries in ALF</w:t>
      </w:r>
      <w:r>
        <w:t xml:space="preserve">”, </w:t>
      </w:r>
      <w:r w:rsidRPr="004651C4">
        <w:t>H. Liu, L. Zhang, K. Zhang, Z. Deng, N. Zhang, J. Xu (</w:t>
      </w:r>
      <w:proofErr w:type="spellStart"/>
      <w:r w:rsidRPr="004651C4">
        <w:t>Bytedance</w:t>
      </w:r>
      <w:proofErr w:type="spellEnd"/>
      <w:r w:rsidRPr="004651C4">
        <w:t>)</w:t>
      </w:r>
    </w:p>
    <w:p w14:paraId="0A31285F" w14:textId="77777777" w:rsidR="004651C4" w:rsidRDefault="004651C4" w:rsidP="00165EB9">
      <w:pPr>
        <w:pStyle w:val="Heading2"/>
      </w:pPr>
      <w:r>
        <w:t>Other AHG16-related contributions</w:t>
      </w:r>
    </w:p>
    <w:p w14:paraId="1AE681E1" w14:textId="77777777" w:rsidR="004651C4" w:rsidRDefault="004651C4" w:rsidP="004651C4">
      <w:pPr>
        <w:pStyle w:val="ListParagraph"/>
        <w:numPr>
          <w:ilvl w:val="0"/>
          <w:numId w:val="42"/>
        </w:numPr>
      </w:pPr>
      <w:r w:rsidRPr="00341926">
        <w:t xml:space="preserve">JVET-O0046, </w:t>
      </w:r>
      <w:r>
        <w:t>“</w:t>
      </w:r>
      <w:r w:rsidRPr="00341926">
        <w:t xml:space="preserve">AHG16: Changing </w:t>
      </w:r>
      <w:proofErr w:type="spellStart"/>
      <w:r w:rsidRPr="00341926">
        <w:t>cu_qp_delta</w:t>
      </w:r>
      <w:proofErr w:type="spellEnd"/>
      <w:r w:rsidRPr="00341926">
        <w:t xml:space="preserve"> </w:t>
      </w:r>
      <w:proofErr w:type="spellStart"/>
      <w:r w:rsidRPr="00341926">
        <w:t>signalling</w:t>
      </w:r>
      <w:proofErr w:type="spellEnd"/>
      <w:r w:rsidRPr="00341926">
        <w:t xml:space="preserve"> to facilitate VDPU-level processing</w:t>
      </w:r>
      <w:r>
        <w:t xml:space="preserve">”, </w:t>
      </w:r>
      <w:r w:rsidRPr="00341926">
        <w:t>B. Heng,</w:t>
      </w:r>
      <w:r>
        <w:t xml:space="preserve"> M. Zhou, T. Hellman (Broadcom)</w:t>
      </w:r>
    </w:p>
    <w:p w14:paraId="18116584" w14:textId="77777777" w:rsidR="004651C4" w:rsidRDefault="004651C4" w:rsidP="004651C4">
      <w:pPr>
        <w:pStyle w:val="ListParagraph"/>
        <w:numPr>
          <w:ilvl w:val="0"/>
          <w:numId w:val="42"/>
        </w:numPr>
      </w:pPr>
      <w:r w:rsidRPr="00341926">
        <w:t xml:space="preserve">JVET-O0068, </w:t>
      </w:r>
      <w:r>
        <w:t>“</w:t>
      </w:r>
      <w:r w:rsidRPr="00341926">
        <w:t>AHG16/Non-CE7: A study of bin to bit ratio for VTM5.0</w:t>
      </w:r>
      <w:r>
        <w:t xml:space="preserve">”, </w:t>
      </w:r>
      <w:r>
        <w:tab/>
        <w:t>M. Zhou (Broadcom)</w:t>
      </w:r>
    </w:p>
    <w:p w14:paraId="6E702515" w14:textId="77777777" w:rsidR="004651C4" w:rsidRDefault="004651C4" w:rsidP="004651C4">
      <w:pPr>
        <w:pStyle w:val="ListParagraph"/>
        <w:numPr>
          <w:ilvl w:val="0"/>
          <w:numId w:val="42"/>
        </w:numPr>
      </w:pPr>
      <w:r w:rsidRPr="00341926">
        <w:t xml:space="preserve">JVET-O0428, </w:t>
      </w:r>
      <w:r>
        <w:t xml:space="preserve"> “</w:t>
      </w:r>
      <w:r w:rsidRPr="00341926">
        <w:t>AHG16/AHG17: LMCS related clean-ups</w:t>
      </w:r>
      <w:r>
        <w:t>”,</w:t>
      </w:r>
      <w:r w:rsidRPr="00341926">
        <w:tab/>
        <w:t>T. Lu, F. Pu, P. Yin, S. McCarthy, W. Husak, T. Chen (Dolby), J. Zhao, S.H. Kim (LGE)</w:t>
      </w:r>
    </w:p>
    <w:p w14:paraId="5F4B964E" w14:textId="77777777" w:rsidR="004651C4" w:rsidRDefault="004651C4" w:rsidP="004651C4">
      <w:pPr>
        <w:pStyle w:val="ListParagraph"/>
        <w:numPr>
          <w:ilvl w:val="0"/>
          <w:numId w:val="42"/>
        </w:numPr>
      </w:pPr>
      <w:r w:rsidRPr="00341926">
        <w:t xml:space="preserve">JVET-O0525, </w:t>
      </w:r>
      <w:r>
        <w:t>“</w:t>
      </w:r>
      <w:r w:rsidRPr="00341926">
        <w:t>AHG16: Removal of PCM mode</w:t>
      </w:r>
      <w:r w:rsidRPr="00341926">
        <w:tab/>
      </w:r>
      <w:r>
        <w:t>“, T. Hellman (Broadcom)</w:t>
      </w:r>
    </w:p>
    <w:p w14:paraId="71D21BF4" w14:textId="77777777" w:rsidR="004651C4" w:rsidRDefault="004651C4" w:rsidP="004651C4">
      <w:pPr>
        <w:pStyle w:val="ListParagraph"/>
        <w:numPr>
          <w:ilvl w:val="0"/>
          <w:numId w:val="42"/>
        </w:numPr>
      </w:pPr>
      <w:r w:rsidRPr="00341926">
        <w:t xml:space="preserve">JVET-O0526, </w:t>
      </w:r>
      <w:r>
        <w:t xml:space="preserve"> “</w:t>
      </w:r>
      <w:r w:rsidRPr="00341926">
        <w:t>AHG16: Setting the minimum CTU size to 32x32</w:t>
      </w:r>
      <w:r>
        <w:t>”,</w:t>
      </w:r>
      <w:r>
        <w:tab/>
        <w:t>T. Hellman, M. Zhou (Broadcom)</w:t>
      </w:r>
    </w:p>
    <w:p w14:paraId="715AEAF9" w14:textId="77777777" w:rsidR="004651C4" w:rsidRDefault="004651C4" w:rsidP="004651C4"/>
    <w:p w14:paraId="12EFE82D"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18AACAE9" w14:textId="77777777" w:rsidR="00A723CB" w:rsidRDefault="00A723CB" w:rsidP="00A723CB">
      <w:pPr>
        <w:ind w:left="360"/>
        <w:rPr>
          <w:lang w:val="en-CA"/>
        </w:rPr>
      </w:pPr>
      <w:r>
        <w:rPr>
          <w:lang w:val="en-CA"/>
        </w:rPr>
        <w:t>The AHG recommends reviewing the input contributions.</w:t>
      </w:r>
    </w:p>
    <w:p w14:paraId="1E2C3554" w14:textId="091C1F0C" w:rsidR="00693CE0" w:rsidRPr="00ED4DD5" w:rsidRDefault="00693CE0" w:rsidP="0016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sectPr w:rsidR="00693CE0" w:rsidRPr="00ED4DD5"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1A213" w14:textId="77777777" w:rsidR="004F362D" w:rsidRDefault="004F362D">
      <w:r>
        <w:separator/>
      </w:r>
    </w:p>
  </w:endnote>
  <w:endnote w:type="continuationSeparator" w:id="0">
    <w:p w14:paraId="6E7A4D25" w14:textId="77777777" w:rsidR="004F362D" w:rsidRDefault="004F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8CB1917" w:rsidR="007A7C6F" w:rsidRPr="00C00DDE" w:rsidRDefault="007A7C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2F31">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62CC">
      <w:rPr>
        <w:rStyle w:val="PageNumber"/>
        <w:noProof/>
      </w:rPr>
      <w:t>2019-07-01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F4966" w14:textId="77777777" w:rsidR="004F362D" w:rsidRDefault="004F362D">
      <w:r>
        <w:separator/>
      </w:r>
    </w:p>
  </w:footnote>
  <w:footnote w:type="continuationSeparator" w:id="0">
    <w:p w14:paraId="7181A549" w14:textId="77777777" w:rsidR="004F362D" w:rsidRDefault="004F3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2989"/>
    <w:multiLevelType w:val="hybridMultilevel"/>
    <w:tmpl w:val="4A4C9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A34EF"/>
    <w:multiLevelType w:val="hybridMultilevel"/>
    <w:tmpl w:val="0596BE9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
    <w:nsid w:val="01733E2D"/>
    <w:multiLevelType w:val="hybridMultilevel"/>
    <w:tmpl w:val="15EAF10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E275C9"/>
    <w:multiLevelType w:val="multilevel"/>
    <w:tmpl w:val="BFDCE4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4CA71F6"/>
    <w:multiLevelType w:val="multilevel"/>
    <w:tmpl w:val="589230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64E167B"/>
    <w:multiLevelType w:val="hybridMultilevel"/>
    <w:tmpl w:val="3A46F0A0"/>
    <w:lvl w:ilvl="0" w:tplc="F716AEB0">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534DA"/>
    <w:multiLevelType w:val="hybridMultilevel"/>
    <w:tmpl w:val="893424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C37124"/>
    <w:multiLevelType w:val="multilevel"/>
    <w:tmpl w:val="79CABB2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18C6BAB"/>
    <w:multiLevelType w:val="hybridMultilevel"/>
    <w:tmpl w:val="BCE4E6EC"/>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3031580"/>
    <w:multiLevelType w:val="hybridMultilevel"/>
    <w:tmpl w:val="E842B19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671A4C"/>
    <w:multiLevelType w:val="hybridMultilevel"/>
    <w:tmpl w:val="37308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05727A"/>
    <w:multiLevelType w:val="multilevel"/>
    <w:tmpl w:val="E392FE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C1A481C"/>
    <w:multiLevelType w:val="multilevel"/>
    <w:tmpl w:val="37FAF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940002"/>
    <w:multiLevelType w:val="hybridMultilevel"/>
    <w:tmpl w:val="ED00B692"/>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003A47"/>
    <w:multiLevelType w:val="hybridMultilevel"/>
    <w:tmpl w:val="09C2BBA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B52D68"/>
    <w:multiLevelType w:val="hybridMultilevel"/>
    <w:tmpl w:val="6936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37137"/>
    <w:multiLevelType w:val="hybridMultilevel"/>
    <w:tmpl w:val="2AA6682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286A237E"/>
    <w:multiLevelType w:val="multilevel"/>
    <w:tmpl w:val="C0BA56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B2A23A2"/>
    <w:multiLevelType w:val="hybridMultilevel"/>
    <w:tmpl w:val="4B2E8A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BDA03C2"/>
    <w:multiLevelType w:val="hybridMultilevel"/>
    <w:tmpl w:val="B5AC391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3156229"/>
    <w:multiLevelType w:val="multilevel"/>
    <w:tmpl w:val="993AEA06"/>
    <w:lvl w:ilvl="0">
      <w:start w:val="1"/>
      <w:numFmt w:val="decimal"/>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6F80C02"/>
    <w:multiLevelType w:val="hybridMultilevel"/>
    <w:tmpl w:val="C6A2EBF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E86DA2"/>
    <w:multiLevelType w:val="hybridMultilevel"/>
    <w:tmpl w:val="829644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BA263EC"/>
    <w:multiLevelType w:val="hybridMultilevel"/>
    <w:tmpl w:val="335E2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3F0AB3"/>
    <w:multiLevelType w:val="hybridMultilevel"/>
    <w:tmpl w:val="6CD6EC7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21607AD"/>
    <w:multiLevelType w:val="hybridMultilevel"/>
    <w:tmpl w:val="3FDEA54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4F35BB"/>
    <w:multiLevelType w:val="hybridMultilevel"/>
    <w:tmpl w:val="02A82F6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9EA6B94"/>
    <w:multiLevelType w:val="multilevel"/>
    <w:tmpl w:val="A2F62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B5D732A"/>
    <w:multiLevelType w:val="hybridMultilevel"/>
    <w:tmpl w:val="DC74E6F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627967"/>
    <w:multiLevelType w:val="hybridMultilevel"/>
    <w:tmpl w:val="5E36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F42B29"/>
    <w:multiLevelType w:val="multilevel"/>
    <w:tmpl w:val="E47298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53727EA6"/>
    <w:multiLevelType w:val="hybridMultilevel"/>
    <w:tmpl w:val="0A34C7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005F5B"/>
    <w:multiLevelType w:val="hybridMultilevel"/>
    <w:tmpl w:val="02D031C2"/>
    <w:lvl w:ilvl="0" w:tplc="F716AEB0">
      <w:start w:val="1"/>
      <w:numFmt w:val="decimal"/>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035BFC"/>
    <w:multiLevelType w:val="hybridMultilevel"/>
    <w:tmpl w:val="331C009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365D31"/>
    <w:multiLevelType w:val="multilevel"/>
    <w:tmpl w:val="CE7C0C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9C45117"/>
    <w:multiLevelType w:val="hybridMultilevel"/>
    <w:tmpl w:val="5D3E7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364E42"/>
    <w:multiLevelType w:val="hybridMultilevel"/>
    <w:tmpl w:val="DEF866D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DE06AEE"/>
    <w:multiLevelType w:val="hybridMultilevel"/>
    <w:tmpl w:val="EB4C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56D4C"/>
    <w:multiLevelType w:val="multilevel"/>
    <w:tmpl w:val="891436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55922C1"/>
    <w:multiLevelType w:val="hybridMultilevel"/>
    <w:tmpl w:val="D90E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1A077A"/>
    <w:multiLevelType w:val="hybridMultilevel"/>
    <w:tmpl w:val="F0F45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E6DB8"/>
    <w:multiLevelType w:val="hybridMultilevel"/>
    <w:tmpl w:val="E2045BF4"/>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1541E7"/>
    <w:multiLevelType w:val="hybridMultilevel"/>
    <w:tmpl w:val="E1AA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011B79"/>
    <w:multiLevelType w:val="hybridMultilevel"/>
    <w:tmpl w:val="5186EB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941DDA"/>
    <w:multiLevelType w:val="hybridMultilevel"/>
    <w:tmpl w:val="B36A691A"/>
    <w:lvl w:ilvl="0" w:tplc="A4D65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F17577"/>
    <w:multiLevelType w:val="hybridMultilevel"/>
    <w:tmpl w:val="6A104188"/>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20"/>
  </w:num>
  <w:num w:numId="3">
    <w:abstractNumId w:val="15"/>
  </w:num>
  <w:num w:numId="4">
    <w:abstractNumId w:val="4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44"/>
  </w:num>
  <w:num w:numId="12">
    <w:abstractNumId w:val="38"/>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18"/>
  </w:num>
  <w:num w:numId="18">
    <w:abstractNumId w:val="0"/>
  </w:num>
  <w:num w:numId="19">
    <w:abstractNumId w:val="22"/>
  </w:num>
  <w:num w:numId="20">
    <w:abstractNumId w:val="5"/>
  </w:num>
  <w:num w:numId="21">
    <w:abstractNumId w:val="21"/>
  </w:num>
  <w:num w:numId="22">
    <w:abstractNumId w:val="25"/>
  </w:num>
  <w:num w:numId="23">
    <w:abstractNumId w:val="30"/>
  </w:num>
  <w:num w:numId="24">
    <w:abstractNumId w:val="27"/>
  </w:num>
  <w:num w:numId="25">
    <w:abstractNumId w:val="9"/>
  </w:num>
  <w:num w:numId="26">
    <w:abstractNumId w:val="23"/>
  </w:num>
  <w:num w:numId="27">
    <w:abstractNumId w:val="14"/>
  </w:num>
  <w:num w:numId="28">
    <w:abstractNumId w:val="13"/>
  </w:num>
  <w:num w:numId="29">
    <w:abstractNumId w:val="2"/>
  </w:num>
  <w:num w:numId="30">
    <w:abstractNumId w:val="8"/>
  </w:num>
  <w:num w:numId="31">
    <w:abstractNumId w:val="47"/>
  </w:num>
  <w:num w:numId="32">
    <w:abstractNumId w:val="26"/>
  </w:num>
  <w:num w:numId="33">
    <w:abstractNumId w:val="39"/>
  </w:num>
  <w:num w:numId="34">
    <w:abstractNumId w:val="10"/>
  </w:num>
  <w:num w:numId="35">
    <w:abstractNumId w:val="28"/>
  </w:num>
  <w:num w:numId="36">
    <w:abstractNumId w:val="42"/>
  </w:num>
  <w:num w:numId="37">
    <w:abstractNumId w:val="24"/>
  </w:num>
  <w:num w:numId="38">
    <w:abstractNumId w:val="1"/>
  </w:num>
  <w:num w:numId="39">
    <w:abstractNumId w:val="34"/>
  </w:num>
  <w:num w:numId="40">
    <w:abstractNumId w:val="43"/>
  </w:num>
  <w:num w:numId="41">
    <w:abstractNumId w:val="16"/>
  </w:num>
  <w:num w:numId="42">
    <w:abstractNumId w:val="35"/>
  </w:num>
  <w:num w:numId="43">
    <w:abstractNumId w:val="37"/>
  </w:num>
  <w:num w:numId="44">
    <w:abstractNumId w:val="45"/>
  </w:num>
  <w:num w:numId="45">
    <w:abstractNumId w:val="33"/>
  </w:num>
  <w:num w:numId="46">
    <w:abstractNumId w:val="19"/>
  </w:num>
  <w:num w:numId="47">
    <w:abstractNumId w:val="46"/>
  </w:num>
  <w:num w:numId="4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20907"/>
    <w:rsid w:val="000308A3"/>
    <w:rsid w:val="000314A6"/>
    <w:rsid w:val="0003771F"/>
    <w:rsid w:val="00040513"/>
    <w:rsid w:val="00044C72"/>
    <w:rsid w:val="000458BC"/>
    <w:rsid w:val="00045C41"/>
    <w:rsid w:val="00046C03"/>
    <w:rsid w:val="000512A6"/>
    <w:rsid w:val="00054362"/>
    <w:rsid w:val="00057932"/>
    <w:rsid w:val="0006098B"/>
    <w:rsid w:val="00063366"/>
    <w:rsid w:val="00065039"/>
    <w:rsid w:val="0007614F"/>
    <w:rsid w:val="00076C25"/>
    <w:rsid w:val="00091B0F"/>
    <w:rsid w:val="00092AE9"/>
    <w:rsid w:val="000957D6"/>
    <w:rsid w:val="000A0CC3"/>
    <w:rsid w:val="000A1929"/>
    <w:rsid w:val="000A6BD3"/>
    <w:rsid w:val="000A739A"/>
    <w:rsid w:val="000B0C0F"/>
    <w:rsid w:val="000B1C6B"/>
    <w:rsid w:val="000B4FF9"/>
    <w:rsid w:val="000C09AC"/>
    <w:rsid w:val="000C2785"/>
    <w:rsid w:val="000D3099"/>
    <w:rsid w:val="000D44BB"/>
    <w:rsid w:val="000E00F3"/>
    <w:rsid w:val="000E1377"/>
    <w:rsid w:val="000E48AA"/>
    <w:rsid w:val="000E4DDE"/>
    <w:rsid w:val="000E6746"/>
    <w:rsid w:val="000F158C"/>
    <w:rsid w:val="00100FBD"/>
    <w:rsid w:val="00102F3D"/>
    <w:rsid w:val="00104A5F"/>
    <w:rsid w:val="00114623"/>
    <w:rsid w:val="00115046"/>
    <w:rsid w:val="00117B41"/>
    <w:rsid w:val="00124E38"/>
    <w:rsid w:val="0012580B"/>
    <w:rsid w:val="00127D37"/>
    <w:rsid w:val="00131F90"/>
    <w:rsid w:val="0013458C"/>
    <w:rsid w:val="0013526E"/>
    <w:rsid w:val="00146152"/>
    <w:rsid w:val="00146ADF"/>
    <w:rsid w:val="00150359"/>
    <w:rsid w:val="00155526"/>
    <w:rsid w:val="00157581"/>
    <w:rsid w:val="00160264"/>
    <w:rsid w:val="0016229B"/>
    <w:rsid w:val="0016335F"/>
    <w:rsid w:val="00164B58"/>
    <w:rsid w:val="00165CCD"/>
    <w:rsid w:val="00165EB9"/>
    <w:rsid w:val="00171371"/>
    <w:rsid w:val="00175A24"/>
    <w:rsid w:val="00187E58"/>
    <w:rsid w:val="001A0F79"/>
    <w:rsid w:val="001A297E"/>
    <w:rsid w:val="001A368E"/>
    <w:rsid w:val="001A45B5"/>
    <w:rsid w:val="001A7329"/>
    <w:rsid w:val="001A792F"/>
    <w:rsid w:val="001B24FA"/>
    <w:rsid w:val="001B4E28"/>
    <w:rsid w:val="001B5056"/>
    <w:rsid w:val="001B6433"/>
    <w:rsid w:val="001C3525"/>
    <w:rsid w:val="001C3AFB"/>
    <w:rsid w:val="001D1BD2"/>
    <w:rsid w:val="001D4D28"/>
    <w:rsid w:val="001E02BE"/>
    <w:rsid w:val="001E273C"/>
    <w:rsid w:val="001E3613"/>
    <w:rsid w:val="001E3B37"/>
    <w:rsid w:val="001F1210"/>
    <w:rsid w:val="001F2312"/>
    <w:rsid w:val="001F2594"/>
    <w:rsid w:val="001F4C2D"/>
    <w:rsid w:val="001F50F2"/>
    <w:rsid w:val="002003E2"/>
    <w:rsid w:val="00204279"/>
    <w:rsid w:val="002055A6"/>
    <w:rsid w:val="00206460"/>
    <w:rsid w:val="002069B4"/>
    <w:rsid w:val="00207E8C"/>
    <w:rsid w:val="002124D1"/>
    <w:rsid w:val="00215DFC"/>
    <w:rsid w:val="00216A17"/>
    <w:rsid w:val="00216F69"/>
    <w:rsid w:val="002212A6"/>
    <w:rsid w:val="002212DF"/>
    <w:rsid w:val="0022157E"/>
    <w:rsid w:val="0022285C"/>
    <w:rsid w:val="00222CD4"/>
    <w:rsid w:val="0022301C"/>
    <w:rsid w:val="00223628"/>
    <w:rsid w:val="00225016"/>
    <w:rsid w:val="002264A6"/>
    <w:rsid w:val="00227BA7"/>
    <w:rsid w:val="0023011C"/>
    <w:rsid w:val="002375C1"/>
    <w:rsid w:val="0024039D"/>
    <w:rsid w:val="00246756"/>
    <w:rsid w:val="00246E62"/>
    <w:rsid w:val="00254946"/>
    <w:rsid w:val="00256112"/>
    <w:rsid w:val="00260A20"/>
    <w:rsid w:val="00263398"/>
    <w:rsid w:val="00263608"/>
    <w:rsid w:val="002647AC"/>
    <w:rsid w:val="00265D86"/>
    <w:rsid w:val="00266F06"/>
    <w:rsid w:val="00275BCF"/>
    <w:rsid w:val="00280531"/>
    <w:rsid w:val="00291E36"/>
    <w:rsid w:val="00292257"/>
    <w:rsid w:val="002929C7"/>
    <w:rsid w:val="002A54E0"/>
    <w:rsid w:val="002B1595"/>
    <w:rsid w:val="002B191D"/>
    <w:rsid w:val="002B585B"/>
    <w:rsid w:val="002C50BD"/>
    <w:rsid w:val="002C5D8C"/>
    <w:rsid w:val="002C75B5"/>
    <w:rsid w:val="002C7CEF"/>
    <w:rsid w:val="002D0AF6"/>
    <w:rsid w:val="002D0C6B"/>
    <w:rsid w:val="002D2071"/>
    <w:rsid w:val="002E6357"/>
    <w:rsid w:val="002E65D9"/>
    <w:rsid w:val="002F164D"/>
    <w:rsid w:val="002F197E"/>
    <w:rsid w:val="002F5A3A"/>
    <w:rsid w:val="003021BC"/>
    <w:rsid w:val="00303627"/>
    <w:rsid w:val="003048F2"/>
    <w:rsid w:val="00306206"/>
    <w:rsid w:val="00307999"/>
    <w:rsid w:val="00316253"/>
    <w:rsid w:val="00317D85"/>
    <w:rsid w:val="00320E67"/>
    <w:rsid w:val="00327C56"/>
    <w:rsid w:val="003315A1"/>
    <w:rsid w:val="003373EC"/>
    <w:rsid w:val="00341926"/>
    <w:rsid w:val="00342DAC"/>
    <w:rsid w:val="00342FF4"/>
    <w:rsid w:val="00346148"/>
    <w:rsid w:val="00347D8C"/>
    <w:rsid w:val="00356CBA"/>
    <w:rsid w:val="0035738A"/>
    <w:rsid w:val="00362A73"/>
    <w:rsid w:val="003669EA"/>
    <w:rsid w:val="00366A09"/>
    <w:rsid w:val="003706CC"/>
    <w:rsid w:val="00370CDB"/>
    <w:rsid w:val="003722F5"/>
    <w:rsid w:val="003746C6"/>
    <w:rsid w:val="00377710"/>
    <w:rsid w:val="00381620"/>
    <w:rsid w:val="00384DAF"/>
    <w:rsid w:val="00385C32"/>
    <w:rsid w:val="00395462"/>
    <w:rsid w:val="00396244"/>
    <w:rsid w:val="00396443"/>
    <w:rsid w:val="003A2D8E"/>
    <w:rsid w:val="003A7CE6"/>
    <w:rsid w:val="003B1EE9"/>
    <w:rsid w:val="003B5699"/>
    <w:rsid w:val="003C20E4"/>
    <w:rsid w:val="003C7458"/>
    <w:rsid w:val="003D5CFF"/>
    <w:rsid w:val="003D6342"/>
    <w:rsid w:val="003E1041"/>
    <w:rsid w:val="003E12BA"/>
    <w:rsid w:val="003E179E"/>
    <w:rsid w:val="003E2AF0"/>
    <w:rsid w:val="003E6F90"/>
    <w:rsid w:val="003E7C70"/>
    <w:rsid w:val="003F2CBA"/>
    <w:rsid w:val="003F3080"/>
    <w:rsid w:val="003F5D0F"/>
    <w:rsid w:val="00401C98"/>
    <w:rsid w:val="00406957"/>
    <w:rsid w:val="00414101"/>
    <w:rsid w:val="00416A7B"/>
    <w:rsid w:val="004219CF"/>
    <w:rsid w:val="00422FF6"/>
    <w:rsid w:val="004234F0"/>
    <w:rsid w:val="004271ED"/>
    <w:rsid w:val="00433DDB"/>
    <w:rsid w:val="00435A29"/>
    <w:rsid w:val="00437619"/>
    <w:rsid w:val="00444026"/>
    <w:rsid w:val="00452618"/>
    <w:rsid w:val="00454ECC"/>
    <w:rsid w:val="004651C4"/>
    <w:rsid w:val="00465277"/>
    <w:rsid w:val="00465A1E"/>
    <w:rsid w:val="0047410B"/>
    <w:rsid w:val="00486945"/>
    <w:rsid w:val="00490C69"/>
    <w:rsid w:val="004916E5"/>
    <w:rsid w:val="00493C87"/>
    <w:rsid w:val="00497BDA"/>
    <w:rsid w:val="004A2A63"/>
    <w:rsid w:val="004A4674"/>
    <w:rsid w:val="004B1E72"/>
    <w:rsid w:val="004B210C"/>
    <w:rsid w:val="004B4588"/>
    <w:rsid w:val="004C47D1"/>
    <w:rsid w:val="004D405F"/>
    <w:rsid w:val="004E4F4F"/>
    <w:rsid w:val="004E6789"/>
    <w:rsid w:val="004E79F4"/>
    <w:rsid w:val="004F0D03"/>
    <w:rsid w:val="004F20B8"/>
    <w:rsid w:val="004F29EB"/>
    <w:rsid w:val="004F362D"/>
    <w:rsid w:val="004F61E3"/>
    <w:rsid w:val="004F67DE"/>
    <w:rsid w:val="004F6817"/>
    <w:rsid w:val="00502D08"/>
    <w:rsid w:val="00502E10"/>
    <w:rsid w:val="0050579A"/>
    <w:rsid w:val="0051015C"/>
    <w:rsid w:val="005114D1"/>
    <w:rsid w:val="00516CF1"/>
    <w:rsid w:val="005267C6"/>
    <w:rsid w:val="005302D9"/>
    <w:rsid w:val="00531AE9"/>
    <w:rsid w:val="0053694F"/>
    <w:rsid w:val="00543A9C"/>
    <w:rsid w:val="00550A66"/>
    <w:rsid w:val="00562834"/>
    <w:rsid w:val="005646DE"/>
    <w:rsid w:val="00564861"/>
    <w:rsid w:val="00567EC7"/>
    <w:rsid w:val="00570013"/>
    <w:rsid w:val="00571E32"/>
    <w:rsid w:val="005801A2"/>
    <w:rsid w:val="00583110"/>
    <w:rsid w:val="00586E02"/>
    <w:rsid w:val="005952A5"/>
    <w:rsid w:val="005A12E1"/>
    <w:rsid w:val="005A33A1"/>
    <w:rsid w:val="005A44E1"/>
    <w:rsid w:val="005A5A68"/>
    <w:rsid w:val="005A7D15"/>
    <w:rsid w:val="005B07B4"/>
    <w:rsid w:val="005B217D"/>
    <w:rsid w:val="005B381D"/>
    <w:rsid w:val="005B5782"/>
    <w:rsid w:val="005C0E85"/>
    <w:rsid w:val="005C34FD"/>
    <w:rsid w:val="005C385F"/>
    <w:rsid w:val="005C4E9C"/>
    <w:rsid w:val="005C51AB"/>
    <w:rsid w:val="005D04DC"/>
    <w:rsid w:val="005D5202"/>
    <w:rsid w:val="005D72A5"/>
    <w:rsid w:val="005E1618"/>
    <w:rsid w:val="005E1730"/>
    <w:rsid w:val="005E1AC6"/>
    <w:rsid w:val="005F1802"/>
    <w:rsid w:val="005F6F1B"/>
    <w:rsid w:val="00615995"/>
    <w:rsid w:val="0061741C"/>
    <w:rsid w:val="00620C10"/>
    <w:rsid w:val="00623E0F"/>
    <w:rsid w:val="00624B33"/>
    <w:rsid w:val="0063041A"/>
    <w:rsid w:val="00630AA2"/>
    <w:rsid w:val="00642368"/>
    <w:rsid w:val="00646707"/>
    <w:rsid w:val="006479E6"/>
    <w:rsid w:val="00657F7E"/>
    <w:rsid w:val="00661221"/>
    <w:rsid w:val="00662E58"/>
    <w:rsid w:val="006637F2"/>
    <w:rsid w:val="006642A5"/>
    <w:rsid w:val="00664DCF"/>
    <w:rsid w:val="006800E7"/>
    <w:rsid w:val="006819C3"/>
    <w:rsid w:val="006908DA"/>
    <w:rsid w:val="00693CE0"/>
    <w:rsid w:val="00697539"/>
    <w:rsid w:val="006A6DF2"/>
    <w:rsid w:val="006B4CC7"/>
    <w:rsid w:val="006B78DD"/>
    <w:rsid w:val="006C5D39"/>
    <w:rsid w:val="006C6E9E"/>
    <w:rsid w:val="006D1E44"/>
    <w:rsid w:val="006D32E2"/>
    <w:rsid w:val="006D6D9B"/>
    <w:rsid w:val="006E03B8"/>
    <w:rsid w:val="006E2810"/>
    <w:rsid w:val="006E5417"/>
    <w:rsid w:val="006F70FA"/>
    <w:rsid w:val="007023DE"/>
    <w:rsid w:val="00712F60"/>
    <w:rsid w:val="00720E3B"/>
    <w:rsid w:val="00730565"/>
    <w:rsid w:val="00731F77"/>
    <w:rsid w:val="00733969"/>
    <w:rsid w:val="00740075"/>
    <w:rsid w:val="0074393F"/>
    <w:rsid w:val="00744AF7"/>
    <w:rsid w:val="00744B4A"/>
    <w:rsid w:val="00745F6B"/>
    <w:rsid w:val="007501A8"/>
    <w:rsid w:val="007508E2"/>
    <w:rsid w:val="007547C4"/>
    <w:rsid w:val="0075585E"/>
    <w:rsid w:val="00756A86"/>
    <w:rsid w:val="00765D0A"/>
    <w:rsid w:val="00765E22"/>
    <w:rsid w:val="00770571"/>
    <w:rsid w:val="007768FF"/>
    <w:rsid w:val="00781655"/>
    <w:rsid w:val="007824D3"/>
    <w:rsid w:val="00787FE0"/>
    <w:rsid w:val="00792087"/>
    <w:rsid w:val="00795F8A"/>
    <w:rsid w:val="00796EE3"/>
    <w:rsid w:val="007A7C6F"/>
    <w:rsid w:val="007A7D29"/>
    <w:rsid w:val="007B4AB8"/>
    <w:rsid w:val="007C2DDC"/>
    <w:rsid w:val="007C3050"/>
    <w:rsid w:val="007C5998"/>
    <w:rsid w:val="007D1181"/>
    <w:rsid w:val="007D23D7"/>
    <w:rsid w:val="007D515F"/>
    <w:rsid w:val="007D61B1"/>
    <w:rsid w:val="007E01A3"/>
    <w:rsid w:val="007E13F2"/>
    <w:rsid w:val="007F1F8B"/>
    <w:rsid w:val="007F67A1"/>
    <w:rsid w:val="00800B17"/>
    <w:rsid w:val="00810412"/>
    <w:rsid w:val="00811C05"/>
    <w:rsid w:val="008206C8"/>
    <w:rsid w:val="00820848"/>
    <w:rsid w:val="00825413"/>
    <w:rsid w:val="008254AB"/>
    <w:rsid w:val="00825743"/>
    <w:rsid w:val="00826215"/>
    <w:rsid w:val="008311A6"/>
    <w:rsid w:val="00833FDF"/>
    <w:rsid w:val="00836E16"/>
    <w:rsid w:val="008374A8"/>
    <w:rsid w:val="008377DF"/>
    <w:rsid w:val="00846EC6"/>
    <w:rsid w:val="00850C43"/>
    <w:rsid w:val="008512AF"/>
    <w:rsid w:val="00854662"/>
    <w:rsid w:val="00861C0B"/>
    <w:rsid w:val="0086387C"/>
    <w:rsid w:val="00866B87"/>
    <w:rsid w:val="00874A6C"/>
    <w:rsid w:val="0087694A"/>
    <w:rsid w:val="00876C65"/>
    <w:rsid w:val="00877ADF"/>
    <w:rsid w:val="008A05E9"/>
    <w:rsid w:val="008A4B4C"/>
    <w:rsid w:val="008B4DDD"/>
    <w:rsid w:val="008B6D8E"/>
    <w:rsid w:val="008C239F"/>
    <w:rsid w:val="008C23AF"/>
    <w:rsid w:val="008C4F97"/>
    <w:rsid w:val="008E467B"/>
    <w:rsid w:val="008E480C"/>
    <w:rsid w:val="008E7653"/>
    <w:rsid w:val="00905447"/>
    <w:rsid w:val="00907757"/>
    <w:rsid w:val="00912521"/>
    <w:rsid w:val="00913F65"/>
    <w:rsid w:val="0091526D"/>
    <w:rsid w:val="009212B0"/>
    <w:rsid w:val="00921FA1"/>
    <w:rsid w:val="009234A5"/>
    <w:rsid w:val="00926BB2"/>
    <w:rsid w:val="00933453"/>
    <w:rsid w:val="009336F7"/>
    <w:rsid w:val="009357DC"/>
    <w:rsid w:val="0093636C"/>
    <w:rsid w:val="009374A7"/>
    <w:rsid w:val="00940F1C"/>
    <w:rsid w:val="00942E2E"/>
    <w:rsid w:val="00952FA9"/>
    <w:rsid w:val="00955F6D"/>
    <w:rsid w:val="00971AEC"/>
    <w:rsid w:val="00977C16"/>
    <w:rsid w:val="00982792"/>
    <w:rsid w:val="00982967"/>
    <w:rsid w:val="0098551D"/>
    <w:rsid w:val="00991648"/>
    <w:rsid w:val="0099518F"/>
    <w:rsid w:val="009A2191"/>
    <w:rsid w:val="009A40BC"/>
    <w:rsid w:val="009A41B1"/>
    <w:rsid w:val="009A523D"/>
    <w:rsid w:val="009B02A1"/>
    <w:rsid w:val="009B550E"/>
    <w:rsid w:val="009C56B1"/>
    <w:rsid w:val="009D3B1E"/>
    <w:rsid w:val="009D4ED9"/>
    <w:rsid w:val="009D7CE6"/>
    <w:rsid w:val="009F496B"/>
    <w:rsid w:val="009F5978"/>
    <w:rsid w:val="009F7897"/>
    <w:rsid w:val="00A01439"/>
    <w:rsid w:val="00A02E61"/>
    <w:rsid w:val="00A03523"/>
    <w:rsid w:val="00A05CFF"/>
    <w:rsid w:val="00A13048"/>
    <w:rsid w:val="00A13DE7"/>
    <w:rsid w:val="00A14EAA"/>
    <w:rsid w:val="00A21366"/>
    <w:rsid w:val="00A46647"/>
    <w:rsid w:val="00A46843"/>
    <w:rsid w:val="00A52970"/>
    <w:rsid w:val="00A530C3"/>
    <w:rsid w:val="00A537B5"/>
    <w:rsid w:val="00A56B97"/>
    <w:rsid w:val="00A6093D"/>
    <w:rsid w:val="00A61294"/>
    <w:rsid w:val="00A67AE6"/>
    <w:rsid w:val="00A723CB"/>
    <w:rsid w:val="00A767DC"/>
    <w:rsid w:val="00A76A6D"/>
    <w:rsid w:val="00A82B2F"/>
    <w:rsid w:val="00A83253"/>
    <w:rsid w:val="00A8567C"/>
    <w:rsid w:val="00A92E27"/>
    <w:rsid w:val="00A95649"/>
    <w:rsid w:val="00AA1840"/>
    <w:rsid w:val="00AA1B0B"/>
    <w:rsid w:val="00AA4DB6"/>
    <w:rsid w:val="00AA6E84"/>
    <w:rsid w:val="00AB0528"/>
    <w:rsid w:val="00AB1A1C"/>
    <w:rsid w:val="00AB4242"/>
    <w:rsid w:val="00AC1FC0"/>
    <w:rsid w:val="00AC49D2"/>
    <w:rsid w:val="00AC6143"/>
    <w:rsid w:val="00AD05A8"/>
    <w:rsid w:val="00AD131C"/>
    <w:rsid w:val="00AD7A6F"/>
    <w:rsid w:val="00AE341B"/>
    <w:rsid w:val="00AF5038"/>
    <w:rsid w:val="00B00B53"/>
    <w:rsid w:val="00B0661A"/>
    <w:rsid w:val="00B07CA7"/>
    <w:rsid w:val="00B1279A"/>
    <w:rsid w:val="00B23D21"/>
    <w:rsid w:val="00B27498"/>
    <w:rsid w:val="00B4194A"/>
    <w:rsid w:val="00B4195B"/>
    <w:rsid w:val="00B4257F"/>
    <w:rsid w:val="00B42E51"/>
    <w:rsid w:val="00B437E8"/>
    <w:rsid w:val="00B4745F"/>
    <w:rsid w:val="00B51EBD"/>
    <w:rsid w:val="00B5222E"/>
    <w:rsid w:val="00B53179"/>
    <w:rsid w:val="00B56525"/>
    <w:rsid w:val="00B600CD"/>
    <w:rsid w:val="00B61C96"/>
    <w:rsid w:val="00B67626"/>
    <w:rsid w:val="00B73A2A"/>
    <w:rsid w:val="00B7522A"/>
    <w:rsid w:val="00B752E3"/>
    <w:rsid w:val="00B75A51"/>
    <w:rsid w:val="00B812C7"/>
    <w:rsid w:val="00B827C6"/>
    <w:rsid w:val="00B90401"/>
    <w:rsid w:val="00B94B06"/>
    <w:rsid w:val="00B94C28"/>
    <w:rsid w:val="00B94EBF"/>
    <w:rsid w:val="00B95F71"/>
    <w:rsid w:val="00BA1455"/>
    <w:rsid w:val="00BA2E15"/>
    <w:rsid w:val="00BC10BA"/>
    <w:rsid w:val="00BC13CD"/>
    <w:rsid w:val="00BC5A20"/>
    <w:rsid w:val="00BC5AFD"/>
    <w:rsid w:val="00BD4464"/>
    <w:rsid w:val="00BD7810"/>
    <w:rsid w:val="00BE559A"/>
    <w:rsid w:val="00BF2DAD"/>
    <w:rsid w:val="00C00DDE"/>
    <w:rsid w:val="00C04F43"/>
    <w:rsid w:val="00C0609D"/>
    <w:rsid w:val="00C062D7"/>
    <w:rsid w:val="00C115AB"/>
    <w:rsid w:val="00C17A16"/>
    <w:rsid w:val="00C26CCB"/>
    <w:rsid w:val="00C275BB"/>
    <w:rsid w:val="00C30249"/>
    <w:rsid w:val="00C3723B"/>
    <w:rsid w:val="00C42466"/>
    <w:rsid w:val="00C50A90"/>
    <w:rsid w:val="00C604A2"/>
    <w:rsid w:val="00C606C9"/>
    <w:rsid w:val="00C654E3"/>
    <w:rsid w:val="00C660AD"/>
    <w:rsid w:val="00C80288"/>
    <w:rsid w:val="00C8108A"/>
    <w:rsid w:val="00C8243B"/>
    <w:rsid w:val="00C84003"/>
    <w:rsid w:val="00C87ACA"/>
    <w:rsid w:val="00C90650"/>
    <w:rsid w:val="00C94C19"/>
    <w:rsid w:val="00C962CC"/>
    <w:rsid w:val="00C97D78"/>
    <w:rsid w:val="00CA6F9A"/>
    <w:rsid w:val="00CA7A8A"/>
    <w:rsid w:val="00CB2793"/>
    <w:rsid w:val="00CC15FB"/>
    <w:rsid w:val="00CC2418"/>
    <w:rsid w:val="00CC26AE"/>
    <w:rsid w:val="00CC2AAE"/>
    <w:rsid w:val="00CC4C7D"/>
    <w:rsid w:val="00CC5A42"/>
    <w:rsid w:val="00CD0EAB"/>
    <w:rsid w:val="00CD6956"/>
    <w:rsid w:val="00CE2DA9"/>
    <w:rsid w:val="00CE347E"/>
    <w:rsid w:val="00CE5E02"/>
    <w:rsid w:val="00CF34DB"/>
    <w:rsid w:val="00CF558F"/>
    <w:rsid w:val="00CF5DB7"/>
    <w:rsid w:val="00CF7E19"/>
    <w:rsid w:val="00D010C0"/>
    <w:rsid w:val="00D02FCE"/>
    <w:rsid w:val="00D073E2"/>
    <w:rsid w:val="00D07936"/>
    <w:rsid w:val="00D169C3"/>
    <w:rsid w:val="00D17C8F"/>
    <w:rsid w:val="00D26AA7"/>
    <w:rsid w:val="00D33AA6"/>
    <w:rsid w:val="00D446EC"/>
    <w:rsid w:val="00D51BF0"/>
    <w:rsid w:val="00D531DB"/>
    <w:rsid w:val="00D53948"/>
    <w:rsid w:val="00D55942"/>
    <w:rsid w:val="00D6172C"/>
    <w:rsid w:val="00D665A4"/>
    <w:rsid w:val="00D66DA5"/>
    <w:rsid w:val="00D80308"/>
    <w:rsid w:val="00D807BF"/>
    <w:rsid w:val="00D82FCC"/>
    <w:rsid w:val="00D91CAE"/>
    <w:rsid w:val="00D9705B"/>
    <w:rsid w:val="00DA17FC"/>
    <w:rsid w:val="00DA7887"/>
    <w:rsid w:val="00DB2C26"/>
    <w:rsid w:val="00DC2F31"/>
    <w:rsid w:val="00DD02F4"/>
    <w:rsid w:val="00DD2FB6"/>
    <w:rsid w:val="00DD6622"/>
    <w:rsid w:val="00DE1C7C"/>
    <w:rsid w:val="00DE2742"/>
    <w:rsid w:val="00DE6B43"/>
    <w:rsid w:val="00DF678A"/>
    <w:rsid w:val="00DF7A45"/>
    <w:rsid w:val="00E01231"/>
    <w:rsid w:val="00E11923"/>
    <w:rsid w:val="00E15BCA"/>
    <w:rsid w:val="00E16031"/>
    <w:rsid w:val="00E17EA5"/>
    <w:rsid w:val="00E262D4"/>
    <w:rsid w:val="00E27200"/>
    <w:rsid w:val="00E3307B"/>
    <w:rsid w:val="00E36250"/>
    <w:rsid w:val="00E44AAF"/>
    <w:rsid w:val="00E454B8"/>
    <w:rsid w:val="00E54511"/>
    <w:rsid w:val="00E57C4B"/>
    <w:rsid w:val="00E61DAC"/>
    <w:rsid w:val="00E620DF"/>
    <w:rsid w:val="00E653F3"/>
    <w:rsid w:val="00E66BC2"/>
    <w:rsid w:val="00E72B80"/>
    <w:rsid w:val="00E74191"/>
    <w:rsid w:val="00E75FE3"/>
    <w:rsid w:val="00E83B70"/>
    <w:rsid w:val="00E86C4C"/>
    <w:rsid w:val="00E87CE1"/>
    <w:rsid w:val="00E907A3"/>
    <w:rsid w:val="00E909BC"/>
    <w:rsid w:val="00E911DD"/>
    <w:rsid w:val="00EA5AE0"/>
    <w:rsid w:val="00EA7539"/>
    <w:rsid w:val="00EB3475"/>
    <w:rsid w:val="00EB56E1"/>
    <w:rsid w:val="00EB748C"/>
    <w:rsid w:val="00EB7AB1"/>
    <w:rsid w:val="00ED42C6"/>
    <w:rsid w:val="00ED4DD5"/>
    <w:rsid w:val="00ED5310"/>
    <w:rsid w:val="00EE0DFA"/>
    <w:rsid w:val="00EE1944"/>
    <w:rsid w:val="00EE5D0C"/>
    <w:rsid w:val="00EE7CD8"/>
    <w:rsid w:val="00EF16B1"/>
    <w:rsid w:val="00EF48CC"/>
    <w:rsid w:val="00EF529B"/>
    <w:rsid w:val="00F00801"/>
    <w:rsid w:val="00F16944"/>
    <w:rsid w:val="00F177FA"/>
    <w:rsid w:val="00F21F57"/>
    <w:rsid w:val="00F2488D"/>
    <w:rsid w:val="00F278B9"/>
    <w:rsid w:val="00F36B1E"/>
    <w:rsid w:val="00F36EFB"/>
    <w:rsid w:val="00F4311B"/>
    <w:rsid w:val="00F53182"/>
    <w:rsid w:val="00F601A0"/>
    <w:rsid w:val="00F70D9E"/>
    <w:rsid w:val="00F73032"/>
    <w:rsid w:val="00F7354D"/>
    <w:rsid w:val="00F84563"/>
    <w:rsid w:val="00F848FC"/>
    <w:rsid w:val="00F85FC8"/>
    <w:rsid w:val="00F87F53"/>
    <w:rsid w:val="00F906F6"/>
    <w:rsid w:val="00F927AC"/>
    <w:rsid w:val="00F9282A"/>
    <w:rsid w:val="00F96BAD"/>
    <w:rsid w:val="00FA139D"/>
    <w:rsid w:val="00FA3320"/>
    <w:rsid w:val="00FA4DEE"/>
    <w:rsid w:val="00FA61D3"/>
    <w:rsid w:val="00FB0E84"/>
    <w:rsid w:val="00FB114E"/>
    <w:rsid w:val="00FB53B3"/>
    <w:rsid w:val="00FB6E71"/>
    <w:rsid w:val="00FD01C2"/>
    <w:rsid w:val="00FD271E"/>
    <w:rsid w:val="00FE0A10"/>
    <w:rsid w:val="00FE595C"/>
    <w:rsid w:val="00FF0CE3"/>
    <w:rsid w:val="00FF0D72"/>
    <w:rsid w:val="00FF3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156190479">
      <w:bodyDiv w:val="1"/>
      <w:marLeft w:val="0"/>
      <w:marRight w:val="0"/>
      <w:marTop w:val="0"/>
      <w:marBottom w:val="0"/>
      <w:divBdr>
        <w:top w:val="none" w:sz="0" w:space="0" w:color="auto"/>
        <w:left w:val="none" w:sz="0" w:space="0" w:color="auto"/>
        <w:bottom w:val="none" w:sz="0" w:space="0" w:color="auto"/>
        <w:right w:val="none" w:sz="0" w:space="0" w:color="auto"/>
      </w:divBdr>
    </w:div>
    <w:div w:id="172841311">
      <w:bodyDiv w:val="1"/>
      <w:marLeft w:val="0"/>
      <w:marRight w:val="0"/>
      <w:marTop w:val="0"/>
      <w:marBottom w:val="0"/>
      <w:divBdr>
        <w:top w:val="none" w:sz="0" w:space="0" w:color="auto"/>
        <w:left w:val="none" w:sz="0" w:space="0" w:color="auto"/>
        <w:bottom w:val="none" w:sz="0" w:space="0" w:color="auto"/>
        <w:right w:val="none" w:sz="0" w:space="0" w:color="auto"/>
      </w:divBdr>
    </w:div>
    <w:div w:id="204829636">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84979978">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42881500">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327518345">
      <w:bodyDiv w:val="1"/>
      <w:marLeft w:val="0"/>
      <w:marRight w:val="0"/>
      <w:marTop w:val="0"/>
      <w:marBottom w:val="0"/>
      <w:divBdr>
        <w:top w:val="none" w:sz="0" w:space="0" w:color="auto"/>
        <w:left w:val="none" w:sz="0" w:space="0" w:color="auto"/>
        <w:bottom w:val="none" w:sz="0" w:space="0" w:color="auto"/>
        <w:right w:val="none" w:sz="0" w:space="0" w:color="auto"/>
      </w:divBdr>
    </w:div>
    <w:div w:id="1394767599">
      <w:bodyDiv w:val="1"/>
      <w:marLeft w:val="0"/>
      <w:marRight w:val="0"/>
      <w:marTop w:val="0"/>
      <w:marBottom w:val="0"/>
      <w:divBdr>
        <w:top w:val="none" w:sz="0" w:space="0" w:color="auto"/>
        <w:left w:val="none" w:sz="0" w:space="0" w:color="auto"/>
        <w:bottom w:val="none" w:sz="0" w:space="0" w:color="auto"/>
        <w:right w:val="none" w:sz="0" w:space="0" w:color="auto"/>
      </w:divBdr>
    </w:div>
    <w:div w:id="1395659786">
      <w:bodyDiv w:val="1"/>
      <w:marLeft w:val="0"/>
      <w:marRight w:val="0"/>
      <w:marTop w:val="0"/>
      <w:marBottom w:val="0"/>
      <w:divBdr>
        <w:top w:val="none" w:sz="0" w:space="0" w:color="auto"/>
        <w:left w:val="none" w:sz="0" w:space="0" w:color="auto"/>
        <w:bottom w:val="none" w:sz="0" w:space="0" w:color="auto"/>
        <w:right w:val="none" w:sz="0" w:space="0" w:color="auto"/>
      </w:divBdr>
    </w:div>
    <w:div w:id="1396780036">
      <w:bodyDiv w:val="1"/>
      <w:marLeft w:val="0"/>
      <w:marRight w:val="0"/>
      <w:marTop w:val="0"/>
      <w:marBottom w:val="0"/>
      <w:divBdr>
        <w:top w:val="none" w:sz="0" w:space="0" w:color="auto"/>
        <w:left w:val="none" w:sz="0" w:space="0" w:color="auto"/>
        <w:bottom w:val="none" w:sz="0" w:space="0" w:color="auto"/>
        <w:right w:val="none" w:sz="0" w:space="0" w:color="auto"/>
      </w:divBdr>
    </w:div>
    <w:div w:id="1428113368">
      <w:bodyDiv w:val="1"/>
      <w:marLeft w:val="0"/>
      <w:marRight w:val="0"/>
      <w:marTop w:val="0"/>
      <w:marBottom w:val="0"/>
      <w:divBdr>
        <w:top w:val="none" w:sz="0" w:space="0" w:color="auto"/>
        <w:left w:val="none" w:sz="0" w:space="0" w:color="auto"/>
        <w:bottom w:val="none" w:sz="0" w:space="0" w:color="auto"/>
        <w:right w:val="none" w:sz="0" w:space="0" w:color="auto"/>
      </w:divBdr>
    </w:div>
    <w:div w:id="1478952927">
      <w:bodyDiv w:val="1"/>
      <w:marLeft w:val="0"/>
      <w:marRight w:val="0"/>
      <w:marTop w:val="0"/>
      <w:marBottom w:val="0"/>
      <w:divBdr>
        <w:top w:val="none" w:sz="0" w:space="0" w:color="auto"/>
        <w:left w:val="none" w:sz="0" w:space="0" w:color="auto"/>
        <w:bottom w:val="none" w:sz="0" w:space="0" w:color="auto"/>
        <w:right w:val="none" w:sz="0" w:space="0" w:color="auto"/>
      </w:divBdr>
    </w:div>
    <w:div w:id="1577279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953372">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1864976999">
      <w:bodyDiv w:val="1"/>
      <w:marLeft w:val="0"/>
      <w:marRight w:val="0"/>
      <w:marTop w:val="0"/>
      <w:marBottom w:val="0"/>
      <w:divBdr>
        <w:top w:val="none" w:sz="0" w:space="0" w:color="auto"/>
        <w:left w:val="none" w:sz="0" w:space="0" w:color="auto"/>
        <w:bottom w:val="none" w:sz="0" w:space="0" w:color="auto"/>
        <w:right w:val="none" w:sz="0" w:space="0" w:color="auto"/>
      </w:divBdr>
    </w:div>
    <w:div w:id="1945266217">
      <w:bodyDiv w:val="1"/>
      <w:marLeft w:val="0"/>
      <w:marRight w:val="0"/>
      <w:marTop w:val="0"/>
      <w:marBottom w:val="0"/>
      <w:divBdr>
        <w:top w:val="none" w:sz="0" w:space="0" w:color="auto"/>
        <w:left w:val="none" w:sz="0" w:space="0" w:color="auto"/>
        <w:bottom w:val="none" w:sz="0" w:space="0" w:color="auto"/>
        <w:right w:val="none" w:sz="0" w:space="0" w:color="auto"/>
      </w:divBdr>
    </w:div>
    <w:div w:id="2039575696">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ric.chai@ublnx.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jicheng.ajc@alibaba-inc.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jvet@lists.rwth-aachen.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thsieh@qti.qualcomm.com"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riram.sethuraman@itti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60894-4EF3-4F0F-8C0A-F01247AC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7</Pages>
  <Words>2500</Words>
  <Characters>14253</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264</cp:revision>
  <cp:lastPrinted>1901-01-01T08:00:00Z</cp:lastPrinted>
  <dcterms:created xsi:type="dcterms:W3CDTF">2018-09-21T17:15:00Z</dcterms:created>
  <dcterms:modified xsi:type="dcterms:W3CDTF">2019-07-01T14:09:00Z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