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5F7E4F5" w:rsidR="008A4B4C" w:rsidRPr="005B217D" w:rsidRDefault="00E61DAC" w:rsidP="00E254D6">
            <w:pPr>
              <w:tabs>
                <w:tab w:val="left" w:pos="7200"/>
              </w:tabs>
              <w:rPr>
                <w:u w:val="single"/>
                <w:lang w:val="en-CA"/>
              </w:rPr>
            </w:pPr>
            <w:r w:rsidRPr="005B217D">
              <w:rPr>
                <w:lang w:val="en-CA"/>
              </w:rPr>
              <w:t>Document</w:t>
            </w:r>
            <w:r w:rsidR="006C5D39" w:rsidRPr="005B217D">
              <w:rPr>
                <w:lang w:val="en-CA"/>
              </w:rPr>
              <w:t xml:space="preserve">: </w:t>
            </w:r>
            <w:r w:rsidR="000F5F96" w:rsidRPr="0090582E">
              <w:rPr>
                <w:lang w:val="en-CA"/>
              </w:rPr>
              <w:t>JVET-</w:t>
            </w:r>
            <w:r w:rsidR="0090582E" w:rsidRPr="0090582E">
              <w:rPr>
                <w:lang w:val="en-CA"/>
              </w:rPr>
              <w:t>M0901-v1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47EDFC4" w:rsidR="00E61DAC" w:rsidRPr="005B217D" w:rsidRDefault="00C25CDB" w:rsidP="009D7CE6">
            <w:pPr>
              <w:spacing w:before="60" w:after="60"/>
              <w:rPr>
                <w:b/>
                <w:szCs w:val="22"/>
                <w:lang w:val="en-CA"/>
              </w:rPr>
            </w:pPr>
            <w:proofErr w:type="spellStart"/>
            <w:r>
              <w:rPr>
                <w:b/>
                <w:szCs w:val="22"/>
                <w:lang w:val="en-CA"/>
              </w:rPr>
              <w:t>BoG</w:t>
            </w:r>
            <w:proofErr w:type="spellEnd"/>
            <w:r>
              <w:rPr>
                <w:b/>
                <w:szCs w:val="22"/>
                <w:lang w:val="en-CA"/>
              </w:rPr>
              <w:t xml:space="preserve"> report on quantization related</w:t>
            </w:r>
            <w:r w:rsidR="00263B07" w:rsidRPr="00AA0632">
              <w:rPr>
                <w:b/>
                <w:szCs w:val="22"/>
                <w:lang w:val="en-CA"/>
              </w:rPr>
              <w:t xml:space="preserve">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6A93164" w:rsidR="00141602" w:rsidRPr="005B217D" w:rsidRDefault="00E254D6" w:rsidP="00141602">
            <w:pPr>
              <w:spacing w:before="60" w:after="60"/>
              <w:rPr>
                <w:szCs w:val="22"/>
                <w:lang w:val="en-CA"/>
              </w:rPr>
            </w:pPr>
            <w:r>
              <w:rPr>
                <w:szCs w:val="22"/>
                <w:lang w:val="en-CA" w:eastAsia="zh-CN"/>
              </w:rPr>
              <w:t>Yan Ye</w:t>
            </w:r>
            <w:bookmarkStart w:id="0" w:name="_GoBack"/>
            <w:bookmarkEnd w:id="0"/>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177F1AB1" w14:textId="638C18C1" w:rsidR="00141602" w:rsidRDefault="00141602" w:rsidP="00141602">
            <w:pPr>
              <w:spacing w:before="60" w:after="60"/>
              <w:rPr>
                <w:szCs w:val="22"/>
                <w:lang w:val="en-CA"/>
              </w:rPr>
            </w:pPr>
          </w:p>
          <w:p w14:paraId="32C2ABFD" w14:textId="56046FCC" w:rsidR="00E254D6" w:rsidRPr="005B217D" w:rsidRDefault="00E254D6" w:rsidP="00141602">
            <w:pPr>
              <w:spacing w:before="60" w:after="60"/>
              <w:rPr>
                <w:szCs w:val="22"/>
                <w:lang w:val="en-CA"/>
              </w:rPr>
            </w:pPr>
            <w:r>
              <w:rPr>
                <w:szCs w:val="22"/>
                <w:lang w:val="en-CA"/>
              </w:rPr>
              <w:t>yan.ye@alibaba-inc.com</w:t>
            </w:r>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18A23EA1" w:rsidR="001B7CCD" w:rsidRDefault="00E6070F" w:rsidP="002D407C">
      <w:pPr>
        <w:rPr>
          <w:szCs w:val="22"/>
          <w:lang w:val="en-CA" w:eastAsia="zh-CN"/>
        </w:rPr>
      </w:pPr>
      <w:r>
        <w:rPr>
          <w:szCs w:val="22"/>
          <w:lang w:val="en-CA" w:eastAsia="zh-CN"/>
        </w:rPr>
        <w:t xml:space="preserve">There are </w:t>
      </w:r>
      <w:r w:rsidR="008D63AA">
        <w:rPr>
          <w:szCs w:val="22"/>
          <w:lang w:val="en-CA" w:eastAsia="zh-CN"/>
        </w:rPr>
        <w:t>8</w:t>
      </w:r>
      <w:r>
        <w:rPr>
          <w:szCs w:val="22"/>
          <w:lang w:val="en-CA" w:eastAsia="zh-CN"/>
        </w:rPr>
        <w:t xml:space="preserve"> technical contributions in the </w:t>
      </w:r>
      <w:r w:rsidR="00174240">
        <w:rPr>
          <w:szCs w:val="22"/>
          <w:lang w:val="en-CA" w:eastAsia="zh-CN"/>
        </w:rPr>
        <w:t>quantization</w:t>
      </w:r>
      <w:r>
        <w:rPr>
          <w:szCs w:val="22"/>
          <w:lang w:val="en-CA" w:eastAsia="zh-CN"/>
        </w:rPr>
        <w:t xml:space="preserve"> category. </w:t>
      </w:r>
    </w:p>
    <w:p w14:paraId="08AE9C6E" w14:textId="77777777" w:rsidR="00454D51" w:rsidRDefault="00454D51" w:rsidP="002D407C">
      <w:pPr>
        <w:rPr>
          <w:szCs w:val="22"/>
          <w:lang w:val="en-CA" w:eastAsia="zh-CN"/>
        </w:rPr>
      </w:pPr>
    </w:p>
    <w:p w14:paraId="03B4C6A9" w14:textId="1AA0A302" w:rsidR="002D407C" w:rsidRDefault="00F46711" w:rsidP="002D407C">
      <w:pPr>
        <w:rPr>
          <w:szCs w:val="22"/>
          <w:lang w:val="en-CA" w:eastAsia="zh-CN"/>
        </w:rPr>
      </w:pPr>
      <w:r>
        <w:rPr>
          <w:szCs w:val="22"/>
          <w:lang w:val="en-CA" w:eastAsia="zh-CN"/>
        </w:rPr>
        <w:t xml:space="preserve">The first </w:t>
      </w:r>
      <w:proofErr w:type="spellStart"/>
      <w:r>
        <w:rPr>
          <w:szCs w:val="22"/>
          <w:lang w:val="en-CA" w:eastAsia="zh-CN"/>
        </w:rPr>
        <w:t>BoG</w:t>
      </w:r>
      <w:proofErr w:type="spellEnd"/>
      <w:r>
        <w:rPr>
          <w:szCs w:val="22"/>
          <w:lang w:val="en-CA" w:eastAsia="zh-CN"/>
        </w:rPr>
        <w:t xml:space="preserve"> session was </w:t>
      </w:r>
      <w:r w:rsidR="00E6070F">
        <w:rPr>
          <w:szCs w:val="22"/>
          <w:lang w:val="en-CA" w:eastAsia="zh-CN"/>
        </w:rPr>
        <w:t xml:space="preserve">held </w:t>
      </w:r>
      <w:r w:rsidR="00CB4C6C">
        <w:rPr>
          <w:szCs w:val="22"/>
          <w:lang w:val="en-CA" w:eastAsia="zh-CN"/>
        </w:rPr>
        <w:t>20</w:t>
      </w:r>
      <w:r w:rsidR="008F36C0" w:rsidRPr="008F36C0">
        <w:rPr>
          <w:szCs w:val="22"/>
          <w:lang w:val="en-CA" w:eastAsia="zh-CN"/>
        </w:rPr>
        <w:t>00</w:t>
      </w:r>
      <w:r w:rsidR="00E6070F" w:rsidRPr="008F36C0">
        <w:rPr>
          <w:szCs w:val="22"/>
          <w:lang w:val="en-CA" w:eastAsia="zh-CN"/>
        </w:rPr>
        <w:t xml:space="preserve"> </w:t>
      </w:r>
      <w:r w:rsidR="00E6070F" w:rsidRPr="00026FC7">
        <w:rPr>
          <w:szCs w:val="22"/>
          <w:lang w:val="en-CA" w:eastAsia="zh-CN"/>
        </w:rPr>
        <w:t xml:space="preserve">– </w:t>
      </w:r>
      <w:r w:rsidR="00376C53" w:rsidRPr="00376C53">
        <w:rPr>
          <w:szCs w:val="22"/>
          <w:lang w:val="en-CA" w:eastAsia="zh-CN"/>
        </w:rPr>
        <w:t>2330</w:t>
      </w:r>
      <w:r w:rsidR="00E6070F">
        <w:rPr>
          <w:szCs w:val="22"/>
          <w:lang w:val="en-CA" w:eastAsia="zh-CN"/>
        </w:rPr>
        <w:t xml:space="preserve"> on </w:t>
      </w:r>
      <w:r w:rsidR="00CB4C6C">
        <w:rPr>
          <w:szCs w:val="22"/>
          <w:lang w:val="en-CA" w:eastAsia="zh-CN"/>
        </w:rPr>
        <w:t>Jan 15</w:t>
      </w:r>
      <w:r>
        <w:rPr>
          <w:szCs w:val="22"/>
          <w:lang w:val="en-CA" w:eastAsia="zh-CN"/>
        </w:rPr>
        <w:t xml:space="preserve"> 2019</w:t>
      </w:r>
      <w:r w:rsidR="00E6070F">
        <w:rPr>
          <w:szCs w:val="22"/>
          <w:lang w:val="en-CA" w:eastAsia="zh-CN"/>
        </w:rPr>
        <w:t xml:space="preserve"> in </w:t>
      </w:r>
      <w:r w:rsidR="00CB4C6C">
        <w:rPr>
          <w:szCs w:val="22"/>
          <w:lang w:val="en-CA" w:eastAsia="zh-CN"/>
        </w:rPr>
        <w:t>Olympia</w:t>
      </w:r>
      <w:r w:rsidR="004F645E">
        <w:rPr>
          <w:szCs w:val="22"/>
          <w:lang w:val="en-CA" w:eastAsia="zh-CN"/>
        </w:rPr>
        <w:t xml:space="preserve">. Section 1 of this document summarizes the </w:t>
      </w:r>
      <w:proofErr w:type="spellStart"/>
      <w:r w:rsidR="004F645E">
        <w:rPr>
          <w:szCs w:val="22"/>
          <w:lang w:val="en-CA" w:eastAsia="zh-CN"/>
        </w:rPr>
        <w:t>BoG’s</w:t>
      </w:r>
      <w:proofErr w:type="spellEnd"/>
      <w:r w:rsidR="004F645E">
        <w:rPr>
          <w:szCs w:val="22"/>
          <w:lang w:val="en-CA" w:eastAsia="zh-CN"/>
        </w:rPr>
        <w:t xml:space="preserve"> recommendations. Section 2 of this document contains detailed notes on </w:t>
      </w:r>
      <w:proofErr w:type="spellStart"/>
      <w:r w:rsidR="004F645E">
        <w:rPr>
          <w:szCs w:val="22"/>
          <w:lang w:val="en-CA" w:eastAsia="zh-CN"/>
        </w:rPr>
        <w:t>BoG</w:t>
      </w:r>
      <w:proofErr w:type="spellEnd"/>
      <w:r w:rsidR="004F645E">
        <w:rPr>
          <w:szCs w:val="22"/>
          <w:lang w:val="en-CA" w:eastAsia="zh-CN"/>
        </w:rPr>
        <w:t xml:space="preserve"> discussion.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54F15D57" w:rsidR="002D407C"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61715174" w14:textId="18EB78C3" w:rsidR="00C24F8E" w:rsidRPr="00DE7530" w:rsidRDefault="00376C53" w:rsidP="00DE7530">
      <w:pPr>
        <w:pStyle w:val="ListParagraph"/>
        <w:numPr>
          <w:ilvl w:val="0"/>
          <w:numId w:val="38"/>
        </w:numPr>
        <w:rPr>
          <w:rFonts w:ascii="Times New Roman" w:hAnsi="Times New Roman" w:cs="Times New Roman"/>
        </w:rPr>
      </w:pPr>
      <w:r w:rsidRPr="00376C53">
        <w:rPr>
          <w:rFonts w:ascii="Times New Roman" w:hAnsi="Times New Roman" w:cs="Times New Roman"/>
        </w:rPr>
        <w:t>M0188</w:t>
      </w:r>
      <w:r w:rsidR="00DE7530">
        <w:rPr>
          <w:rFonts w:ascii="Times New Roman" w:hAnsi="Times New Roman" w:cs="Times New Roman"/>
        </w:rPr>
        <w:t xml:space="preserve"> (</w:t>
      </w:r>
      <w:r w:rsidR="00DE7530" w:rsidRPr="00DE7530">
        <w:rPr>
          <w:rFonts w:ascii="Times New Roman" w:hAnsi="Times New Roman" w:cs="Times New Roman"/>
        </w:rPr>
        <w:t>On quantization parameter</w:t>
      </w:r>
      <w:r w:rsidR="00DE7530">
        <w:rPr>
          <w:rFonts w:ascii="Times New Roman" w:hAnsi="Times New Roman" w:cs="Times New Roman"/>
        </w:rPr>
        <w:t xml:space="preserve"> </w:t>
      </w:r>
      <w:proofErr w:type="spellStart"/>
      <w:r w:rsidR="00DE7530">
        <w:rPr>
          <w:rFonts w:ascii="Times New Roman" w:hAnsi="Times New Roman" w:cs="Times New Roman"/>
        </w:rPr>
        <w:t>signalling</w:t>
      </w:r>
      <w:proofErr w:type="spellEnd"/>
      <w:r w:rsidR="00DE7530">
        <w:rPr>
          <w:rFonts w:ascii="Times New Roman" w:hAnsi="Times New Roman" w:cs="Times New Roman"/>
        </w:rPr>
        <w:t xml:space="preserve"> considering CU area) and </w:t>
      </w:r>
      <w:r w:rsidRPr="00376C53">
        <w:rPr>
          <w:rFonts w:ascii="Times New Roman" w:hAnsi="Times New Roman" w:cs="Times New Roman"/>
        </w:rPr>
        <w:t>M0113</w:t>
      </w:r>
      <w:r w:rsidR="00DE7530">
        <w:rPr>
          <w:rFonts w:ascii="Times New Roman" w:hAnsi="Times New Roman" w:cs="Times New Roman"/>
        </w:rPr>
        <w:t xml:space="preserve"> (</w:t>
      </w:r>
      <w:r w:rsidR="00DE7530" w:rsidRPr="00DE7530">
        <w:rPr>
          <w:rFonts w:ascii="Times New Roman" w:hAnsi="Times New Roman" w:cs="Times New Roman"/>
        </w:rPr>
        <w:t>CE7-related: Quantization Group size uniformity</w:t>
      </w:r>
      <w:r w:rsidR="00DE7530">
        <w:rPr>
          <w:rFonts w:ascii="Times New Roman" w:hAnsi="Times New Roman" w:cs="Times New Roman"/>
        </w:rPr>
        <w:t>)</w:t>
      </w:r>
    </w:p>
    <w:p w14:paraId="4A96B4D6" w14:textId="3D20E464" w:rsidR="00376C53" w:rsidRDefault="00C24F8E" w:rsidP="00C24F8E">
      <w:pPr>
        <w:pStyle w:val="ListParagraph"/>
        <w:numPr>
          <w:ilvl w:val="1"/>
          <w:numId w:val="38"/>
        </w:numPr>
        <w:rPr>
          <w:rFonts w:ascii="Times New Roman" w:hAnsi="Times New Roman" w:cs="Times New Roman"/>
        </w:rPr>
      </w:pPr>
      <w:r>
        <w:rPr>
          <w:rFonts w:ascii="Times New Roman" w:hAnsi="Times New Roman" w:cs="Times New Roman"/>
        </w:rPr>
        <w:t xml:space="preserve">These two proposals solved the same problem </w:t>
      </w:r>
      <w:r w:rsidR="00DE7530">
        <w:rPr>
          <w:rFonts w:ascii="Times New Roman" w:hAnsi="Times New Roman" w:cs="Times New Roman"/>
        </w:rPr>
        <w:t xml:space="preserve">of incoherent quantization group (QG) definition in VVC draft 3. They proposed </w:t>
      </w:r>
      <w:r>
        <w:rPr>
          <w:rFonts w:ascii="Times New Roman" w:hAnsi="Times New Roman" w:cs="Times New Roman"/>
        </w:rPr>
        <w:t>essentially the same solution</w:t>
      </w:r>
      <w:r w:rsidR="00376C53" w:rsidRPr="00376C53">
        <w:rPr>
          <w:rFonts w:ascii="Times New Roman" w:hAnsi="Times New Roman" w:cs="Times New Roman"/>
        </w:rPr>
        <w:t xml:space="preserve">. </w:t>
      </w:r>
      <w:r>
        <w:rPr>
          <w:rFonts w:ascii="Times New Roman" w:hAnsi="Times New Roman" w:cs="Times New Roman"/>
        </w:rPr>
        <w:t xml:space="preserve">However, the two proposals had different ways of expressing their solution in terms of WD text change. </w:t>
      </w:r>
      <w:r w:rsidR="00376C53" w:rsidRPr="00376C53">
        <w:rPr>
          <w:rFonts w:ascii="Times New Roman" w:hAnsi="Times New Roman" w:cs="Times New Roman"/>
        </w:rPr>
        <w:t xml:space="preserve">The proponents </w:t>
      </w:r>
      <w:r>
        <w:rPr>
          <w:rFonts w:ascii="Times New Roman" w:hAnsi="Times New Roman" w:cs="Times New Roman"/>
        </w:rPr>
        <w:t>were</w:t>
      </w:r>
      <w:r w:rsidR="00376C53" w:rsidRPr="00376C53">
        <w:rPr>
          <w:rFonts w:ascii="Times New Roman" w:hAnsi="Times New Roman" w:cs="Times New Roman"/>
        </w:rPr>
        <w:t xml:space="preserve"> encouraged to harmonize the suggested WD changes, and the final decision </w:t>
      </w:r>
      <w:r w:rsidR="0021185B">
        <w:rPr>
          <w:rFonts w:ascii="Times New Roman" w:hAnsi="Times New Roman" w:cs="Times New Roman"/>
        </w:rPr>
        <w:t xml:space="preserve">on WD text change </w:t>
      </w:r>
      <w:r w:rsidR="00376C53" w:rsidRPr="00376C53">
        <w:rPr>
          <w:rFonts w:ascii="Times New Roman" w:hAnsi="Times New Roman" w:cs="Times New Roman"/>
        </w:rPr>
        <w:t>should be deferred to the editors.</w:t>
      </w:r>
    </w:p>
    <w:p w14:paraId="1E2320F7" w14:textId="77777777" w:rsidR="00376C53" w:rsidRPr="00376C53" w:rsidRDefault="00376C53" w:rsidP="00376C53">
      <w:pPr>
        <w:pStyle w:val="ListParagraph"/>
        <w:numPr>
          <w:ilvl w:val="0"/>
          <w:numId w:val="38"/>
        </w:numPr>
        <w:rPr>
          <w:rFonts w:ascii="Times New Roman" w:hAnsi="Times New Roman" w:cs="Times New Roman"/>
        </w:rPr>
      </w:pPr>
    </w:p>
    <w:p w14:paraId="5E1148EC" w14:textId="273F166A" w:rsidR="002D407C" w:rsidRDefault="002D407C" w:rsidP="000348B9">
      <w:pPr>
        <w:pStyle w:val="Heading3"/>
        <w:rPr>
          <w:rStyle w:val="Strong"/>
          <w:b/>
          <w:bCs/>
        </w:rPr>
      </w:pPr>
      <w:r w:rsidRPr="000348B9">
        <w:rPr>
          <w:rStyle w:val="Strong"/>
          <w:b/>
          <w:bCs/>
        </w:rPr>
        <w:t xml:space="preserve">Recommended CE tests </w:t>
      </w:r>
    </w:p>
    <w:p w14:paraId="07C35E67" w14:textId="671B3535" w:rsidR="00526DE9" w:rsidRDefault="00D35856" w:rsidP="004136B1">
      <w:pPr>
        <w:pStyle w:val="Heading9"/>
        <w:spacing w:before="0"/>
        <w:rPr>
          <w:rFonts w:eastAsia="Times New Roman"/>
          <w:b w:val="0"/>
          <w:szCs w:val="24"/>
          <w:lang w:val="en-CA" w:eastAsia="de-DE"/>
        </w:rPr>
      </w:pPr>
      <w:proofErr w:type="spellStart"/>
      <w:proofErr w:type="gramStart"/>
      <w:r w:rsidRPr="00D35856">
        <w:rPr>
          <w:b w:val="0"/>
          <w:highlight w:val="yellow"/>
        </w:rPr>
        <w:t>xxxx</w:t>
      </w:r>
      <w:proofErr w:type="spellEnd"/>
      <w:proofErr w:type="gramEnd"/>
    </w:p>
    <w:p w14:paraId="75E15620" w14:textId="77777777" w:rsidR="00376C53" w:rsidRPr="000348B9" w:rsidRDefault="00376C53" w:rsidP="00376C53">
      <w:pPr>
        <w:pStyle w:val="Heading3"/>
        <w:rPr>
          <w:lang w:val="en-CA" w:eastAsia="zh-CN"/>
        </w:rPr>
      </w:pPr>
      <w:r w:rsidRPr="000348B9">
        <w:rPr>
          <w:rFonts w:hint="eastAsia"/>
          <w:lang w:val="en-CA" w:eastAsia="zh-CN"/>
        </w:rPr>
        <w:t>Revisit</w:t>
      </w:r>
      <w:r>
        <w:rPr>
          <w:lang w:val="en-CA" w:eastAsia="zh-CN"/>
        </w:rPr>
        <w:t xml:space="preserve"> in track</w:t>
      </w:r>
    </w:p>
    <w:p w14:paraId="60B1F632" w14:textId="77777777" w:rsidR="00376C53" w:rsidRPr="00454D51" w:rsidRDefault="00376C53" w:rsidP="00376C53">
      <w:pPr>
        <w:pStyle w:val="Heading3"/>
        <w:numPr>
          <w:ilvl w:val="0"/>
          <w:numId w:val="0"/>
        </w:numPr>
        <w:rPr>
          <w:rStyle w:val="Strong"/>
          <w:sz w:val="22"/>
        </w:rPr>
      </w:pPr>
      <w:proofErr w:type="spellStart"/>
      <w:proofErr w:type="gramStart"/>
      <w:r w:rsidRPr="00454D51">
        <w:rPr>
          <w:rStyle w:val="Strong"/>
          <w:sz w:val="22"/>
          <w:highlight w:val="yellow"/>
        </w:rPr>
        <w:t>xxxx</w:t>
      </w:r>
      <w:proofErr w:type="spellEnd"/>
      <w:proofErr w:type="gramEnd"/>
    </w:p>
    <w:p w14:paraId="7F9188A0" w14:textId="60C6A5CC" w:rsidR="00122B29" w:rsidRDefault="00376C53" w:rsidP="00376C53">
      <w:pPr>
        <w:pStyle w:val="Heading3"/>
        <w:rPr>
          <w:lang w:val="en-CA"/>
        </w:rPr>
      </w:pPr>
      <w:r>
        <w:rPr>
          <w:lang w:val="en-CA"/>
        </w:rPr>
        <w:t xml:space="preserve">Other recommendations:  </w:t>
      </w:r>
    </w:p>
    <w:p w14:paraId="1BA4F056" w14:textId="2E944C4F" w:rsidR="00376C53" w:rsidRPr="00376C53" w:rsidRDefault="00376C53" w:rsidP="00376C53">
      <w:pPr>
        <w:pStyle w:val="ListParagraph"/>
        <w:numPr>
          <w:ilvl w:val="0"/>
          <w:numId w:val="38"/>
        </w:numPr>
        <w:rPr>
          <w:rFonts w:ascii="Times New Roman" w:hAnsi="Times New Roman" w:cs="Times New Roman"/>
          <w:lang w:val="en-CA"/>
        </w:rPr>
      </w:pPr>
      <w:r>
        <w:rPr>
          <w:rFonts w:ascii="Times New Roman" w:hAnsi="Times New Roman" w:cs="Times New Roman"/>
          <w:lang w:val="en-CA"/>
        </w:rPr>
        <w:t>To e</w:t>
      </w:r>
      <w:r w:rsidRPr="00376C53">
        <w:rPr>
          <w:rFonts w:ascii="Times New Roman" w:hAnsi="Times New Roman" w:cs="Times New Roman"/>
        </w:rPr>
        <w:t>s</w:t>
      </w:r>
      <w:r w:rsidRPr="00376C53">
        <w:rPr>
          <w:rFonts w:ascii="Times New Roman" w:hAnsi="Times New Roman" w:cs="Times New Roman"/>
        </w:rPr>
        <w:t>tablish an AHG o</w:t>
      </w:r>
      <w:r w:rsidRPr="00376C53">
        <w:rPr>
          <w:rFonts w:ascii="Times New Roman" w:hAnsi="Times New Roman" w:cs="Times New Roman"/>
        </w:rPr>
        <w:t xml:space="preserve">n quantization related matters with the following mandates: </w:t>
      </w:r>
    </w:p>
    <w:p w14:paraId="42237CC9" w14:textId="1F271C10" w:rsidR="00376C53" w:rsidRPr="00376C53" w:rsidRDefault="00376C53" w:rsidP="00376C53">
      <w:pPr>
        <w:pStyle w:val="ListParagraph"/>
        <w:numPr>
          <w:ilvl w:val="1"/>
          <w:numId w:val="38"/>
        </w:numPr>
        <w:rPr>
          <w:rFonts w:ascii="Times New Roman" w:hAnsi="Times New Roman" w:cs="Times New Roman"/>
          <w:lang w:val="en-CA"/>
        </w:rPr>
      </w:pPr>
      <w:r>
        <w:rPr>
          <w:rFonts w:ascii="Times New Roman" w:hAnsi="Times New Roman" w:cs="Times New Roman"/>
          <w:lang w:val="en-CA"/>
        </w:rPr>
        <w:t xml:space="preserve">To </w:t>
      </w:r>
      <w:r w:rsidRPr="00376C53">
        <w:rPr>
          <w:rFonts w:ascii="Times New Roman" w:hAnsi="Times New Roman" w:cs="Times New Roman"/>
          <w:lang w:val="en-CA"/>
        </w:rPr>
        <w:t xml:space="preserve">come up with suggestions on how to evaluate adaptive </w:t>
      </w:r>
      <w:proofErr w:type="spellStart"/>
      <w:r w:rsidRPr="00376C53">
        <w:rPr>
          <w:rFonts w:ascii="Times New Roman" w:hAnsi="Times New Roman" w:cs="Times New Roman"/>
          <w:lang w:val="en-CA"/>
        </w:rPr>
        <w:t>chroma</w:t>
      </w:r>
      <w:proofErr w:type="spellEnd"/>
      <w:r w:rsidRPr="00376C53">
        <w:rPr>
          <w:rFonts w:ascii="Times New Roman" w:hAnsi="Times New Roman" w:cs="Times New Roman"/>
          <w:lang w:val="en-CA"/>
        </w:rPr>
        <w:t xml:space="preserve"> QP signalling at the CU level. </w:t>
      </w:r>
    </w:p>
    <w:p w14:paraId="7DFB13FF" w14:textId="25C3CD77" w:rsidR="00B6153E" w:rsidRPr="00C24F8E" w:rsidRDefault="00376C53" w:rsidP="0070295D">
      <w:pPr>
        <w:pStyle w:val="ListParagraph"/>
        <w:numPr>
          <w:ilvl w:val="1"/>
          <w:numId w:val="38"/>
        </w:numPr>
        <w:rPr>
          <w:rFonts w:ascii="Times New Roman" w:hAnsi="Times New Roman" w:cs="Times New Roman"/>
          <w:lang w:val="en-CA"/>
        </w:rPr>
      </w:pPr>
      <w:r>
        <w:rPr>
          <w:rFonts w:ascii="Times New Roman" w:hAnsi="Times New Roman" w:cs="Times New Roman"/>
          <w:lang w:val="en-CA"/>
        </w:rPr>
        <w:t xml:space="preserve">To </w:t>
      </w:r>
      <w:r w:rsidRPr="00376C53">
        <w:rPr>
          <w:rFonts w:ascii="Times New Roman" w:hAnsi="Times New Roman" w:cs="Times New Roman"/>
          <w:lang w:val="en-CA"/>
        </w:rPr>
        <w:t xml:space="preserve">study the interactions between </w:t>
      </w:r>
      <w:proofErr w:type="spellStart"/>
      <w:r w:rsidRPr="00376C53">
        <w:rPr>
          <w:rFonts w:ascii="Times New Roman" w:hAnsi="Times New Roman" w:cs="Times New Roman"/>
          <w:lang w:val="en-CA"/>
        </w:rPr>
        <w:t>chroma</w:t>
      </w:r>
      <w:proofErr w:type="spellEnd"/>
      <w:r w:rsidRPr="00376C53">
        <w:rPr>
          <w:rFonts w:ascii="Times New Roman" w:hAnsi="Times New Roman" w:cs="Times New Roman"/>
          <w:lang w:val="en-CA"/>
        </w:rPr>
        <w:t xml:space="preserve"> residual scaling </w:t>
      </w:r>
      <w:r w:rsidR="00C24F8E">
        <w:rPr>
          <w:rFonts w:ascii="Times New Roman" w:hAnsi="Times New Roman" w:cs="Times New Roman"/>
          <w:lang w:val="en-CA"/>
        </w:rPr>
        <w:t xml:space="preserve">(which is a part of JVET-M0427) and adaptive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QP, for example, when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residual scaling is turned off when </w:t>
      </w:r>
      <w:r w:rsidR="00C24F8E" w:rsidRPr="00C24F8E">
        <w:rPr>
          <w:rFonts w:ascii="Times New Roman" w:hAnsi="Times New Roman" w:cs="Times New Roman"/>
          <w:lang w:val="en-CA"/>
        </w:rPr>
        <w:t>separate tree is used</w:t>
      </w:r>
      <w:r w:rsidR="00C24F8E">
        <w:rPr>
          <w:rFonts w:ascii="Times New Roman" w:hAnsi="Times New Roman" w:cs="Times New Roman"/>
          <w:lang w:val="en-CA"/>
        </w:rPr>
        <w:t xml:space="preserve">, adaptive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QP could be used to </w:t>
      </w:r>
      <w:r w:rsidR="00C24F8E" w:rsidRPr="00C24F8E">
        <w:rPr>
          <w:rFonts w:ascii="Times New Roman" w:hAnsi="Times New Roman" w:cs="Times New Roman"/>
          <w:lang w:val="en-CA"/>
        </w:rPr>
        <w:t>compensate for that loss</w:t>
      </w:r>
      <w:r w:rsidR="00C24F8E">
        <w:rPr>
          <w:rFonts w:ascii="Times New Roman" w:hAnsi="Times New Roman" w:cs="Times New Roman"/>
          <w:lang w:val="en-CA"/>
        </w:rPr>
        <w:t>.</w:t>
      </w:r>
    </w:p>
    <w:p w14:paraId="39BFC927" w14:textId="50C61BA4" w:rsidR="00B6153E" w:rsidRDefault="008D63AA" w:rsidP="00B6153E">
      <w:pPr>
        <w:pStyle w:val="Heading1"/>
        <w:rPr>
          <w:lang w:val="en-CA" w:eastAsia="de-DE"/>
        </w:rPr>
      </w:pPr>
      <w:r>
        <w:rPr>
          <w:lang w:val="en-CA" w:eastAsia="de-DE"/>
        </w:rPr>
        <w:lastRenderedPageBreak/>
        <w:t>Quantization</w:t>
      </w:r>
      <w:r w:rsidR="00E74486">
        <w:rPr>
          <w:lang w:val="en-CA" w:eastAsia="de-DE"/>
        </w:rPr>
        <w:t xml:space="preserve"> related</w:t>
      </w:r>
      <w:r w:rsidR="001B6C63">
        <w:rPr>
          <w:lang w:val="en-CA" w:eastAsia="de-DE"/>
        </w:rPr>
        <w:t xml:space="preserve"> contributions</w:t>
      </w:r>
      <w:r w:rsidR="00B6153E">
        <w:rPr>
          <w:lang w:val="en-CA" w:eastAsia="de-DE"/>
        </w:rPr>
        <w:t xml:space="preserve">: </w:t>
      </w:r>
    </w:p>
    <w:p w14:paraId="4AFE1F64" w14:textId="6FF2A3D8" w:rsidR="00B6153E" w:rsidRDefault="00B6153E" w:rsidP="0070295D">
      <w:pPr>
        <w:rPr>
          <w:lang w:val="en-CA" w:eastAsia="de-DE"/>
        </w:rPr>
      </w:pPr>
    </w:p>
    <w:p w14:paraId="1A7D2391" w14:textId="77777777" w:rsidR="00174240" w:rsidRPr="007A28E0" w:rsidRDefault="00174240" w:rsidP="00174240">
      <w:pPr>
        <w:pStyle w:val="Heading9"/>
        <w:rPr>
          <w:rFonts w:eastAsia="Times New Roman"/>
          <w:szCs w:val="24"/>
          <w:lang w:val="en-CA" w:eastAsia="de-DE"/>
        </w:rPr>
      </w:pPr>
      <w:hyperlink r:id="rId10" w:history="1">
        <w:r w:rsidRPr="007A28E0">
          <w:rPr>
            <w:rFonts w:eastAsia="Times New Roman"/>
            <w:color w:val="0000FF"/>
            <w:szCs w:val="24"/>
            <w:u w:val="single"/>
            <w:lang w:val="en-CA" w:eastAsia="de-DE"/>
          </w:rPr>
          <w:t>JVET-M0083</w:t>
        </w:r>
      </w:hyperlink>
      <w:r w:rsidRPr="007A28E0">
        <w:rPr>
          <w:rFonts w:eastAsia="Times New Roman"/>
          <w:szCs w:val="24"/>
          <w:lang w:val="en-CA" w:eastAsia="de-DE"/>
        </w:rPr>
        <w:t xml:space="preserve"> AHG10: Quantization matrices for MTS [T. </w:t>
      </w:r>
      <w:proofErr w:type="spellStart"/>
      <w:r w:rsidRPr="007A28E0">
        <w:rPr>
          <w:rFonts w:eastAsia="Times New Roman"/>
          <w:szCs w:val="24"/>
          <w:lang w:val="en-CA" w:eastAsia="de-DE"/>
        </w:rPr>
        <w:t>Toma</w:t>
      </w:r>
      <w:proofErr w:type="spellEnd"/>
      <w:r w:rsidRPr="007A28E0">
        <w:rPr>
          <w:rFonts w:eastAsia="Times New Roman"/>
          <w:szCs w:val="24"/>
          <w:lang w:val="en-CA" w:eastAsia="de-DE"/>
        </w:rPr>
        <w:t>, K. Abe (Panasonic)]</w:t>
      </w:r>
    </w:p>
    <w:p w14:paraId="430A3557" w14:textId="77777777" w:rsidR="00CB7A81" w:rsidRDefault="00CB7A81" w:rsidP="00CB7A81">
      <w:pPr>
        <w:rPr>
          <w:color w:val="000000"/>
          <w:szCs w:val="22"/>
        </w:rPr>
      </w:pPr>
      <w:r>
        <w:rPr>
          <w:color w:val="000000"/>
          <w:szCs w:val="22"/>
        </w:rPr>
        <w:t>This contribution discusses necessity of quantization matrices customized for MTS basis functions. At first, difference in characteristics of transform coefficients between DCT2 and MTS basis functions are shown. Then additional syntax to support quantization matrices customized for MTS is proposed on top of the syntax for non-MTS (DCT2). This syntax is implemented in VTM3.0.</w:t>
      </w:r>
    </w:p>
    <w:p w14:paraId="4DCA4419" w14:textId="485E8346" w:rsidR="00174240" w:rsidRDefault="00174240" w:rsidP="00174240">
      <w:pPr>
        <w:pStyle w:val="BodyText"/>
      </w:pPr>
    </w:p>
    <w:p w14:paraId="6CDEEEDE" w14:textId="2E12AEB9" w:rsidR="00D9033E" w:rsidRDefault="00D9033E" w:rsidP="00174240">
      <w:pPr>
        <w:pStyle w:val="BodyText"/>
      </w:pPr>
      <w:r>
        <w:t xml:space="preserve">Two questions on quantization matrices: </w:t>
      </w:r>
    </w:p>
    <w:p w14:paraId="54C9FF79" w14:textId="05FCF5E5" w:rsidR="00D9033E" w:rsidRDefault="00D9033E" w:rsidP="00D9033E">
      <w:pPr>
        <w:pStyle w:val="BodyText"/>
        <w:numPr>
          <w:ilvl w:val="0"/>
          <w:numId w:val="33"/>
        </w:numPr>
      </w:pPr>
      <w:r>
        <w:t>Do the different MTS basis function sets require different matrices?</w:t>
      </w:r>
    </w:p>
    <w:p w14:paraId="3FC3E96F" w14:textId="34E199A3" w:rsidR="00D9033E" w:rsidRDefault="00D9033E" w:rsidP="00D9033E">
      <w:pPr>
        <w:pStyle w:val="BodyText"/>
        <w:numPr>
          <w:ilvl w:val="0"/>
          <w:numId w:val="33"/>
        </w:numPr>
      </w:pPr>
      <w:r>
        <w:t>Is it really necessary to specify default matrices?</w:t>
      </w:r>
    </w:p>
    <w:p w14:paraId="4DCFDCA7" w14:textId="5E194D92" w:rsidR="00D9033E" w:rsidRDefault="00D9033E" w:rsidP="00D9033E">
      <w:pPr>
        <w:pStyle w:val="BodyText"/>
      </w:pPr>
      <w:r>
        <w:t xml:space="preserve">This contribution tries to answer the first question. </w:t>
      </w:r>
    </w:p>
    <w:p w14:paraId="0BC1C0FE" w14:textId="6AE7CD22" w:rsidR="00D9033E" w:rsidRDefault="00D9033E" w:rsidP="00D9033E">
      <w:pPr>
        <w:pStyle w:val="BodyText"/>
      </w:pPr>
      <w:r>
        <w:t>Based on intra and inter-coded block statistics, statistics</w:t>
      </w:r>
      <w:r w:rsidRPr="00D9033E">
        <w:t xml:space="preserve"> of</w:t>
      </w:r>
      <w:r>
        <w:t xml:space="preserve"> </w:t>
      </w:r>
      <w:r w:rsidRPr="00D9033E">
        <w:t xml:space="preserve">transform coefficients </w:t>
      </w:r>
      <w:r>
        <w:t xml:space="preserve">(e.g., mean and standard deviation) seem to be similar between </w:t>
      </w:r>
      <w:r w:rsidRPr="00D9033E">
        <w:t xml:space="preserve">DCT2 and </w:t>
      </w:r>
      <w:r>
        <w:t xml:space="preserve">other transforms used in </w:t>
      </w:r>
      <w:r w:rsidR="003450B4">
        <w:t xml:space="preserve">MTS (some differences are observed but those seem to be relatively small). </w:t>
      </w:r>
    </w:p>
    <w:p w14:paraId="237E9657" w14:textId="530E3F48" w:rsidR="00D9033E" w:rsidRDefault="00D9033E" w:rsidP="00D9033E">
      <w:pPr>
        <w:pStyle w:val="BodyText"/>
      </w:pPr>
      <w:r>
        <w:t xml:space="preserve">The proposal suggests to send quantization matrices for other transforms in MTS in a similar manner as matrices for DCT2 (for </w:t>
      </w:r>
      <w:proofErr w:type="spellStart"/>
      <w:r>
        <w:t>luma</w:t>
      </w:r>
      <w:proofErr w:type="spellEnd"/>
      <w:r>
        <w:t xml:space="preserve"> only since other transforms in MTS are only used for </w:t>
      </w:r>
      <w:proofErr w:type="spellStart"/>
      <w:r>
        <w:t>luma</w:t>
      </w:r>
      <w:proofErr w:type="spellEnd"/>
      <w:r>
        <w:t xml:space="preserve">). </w:t>
      </w:r>
    </w:p>
    <w:p w14:paraId="649E94A1" w14:textId="14B39F4C" w:rsidR="00D9033E" w:rsidRDefault="00D9033E" w:rsidP="00D9033E">
      <w:pPr>
        <w:pStyle w:val="BodyText"/>
      </w:pPr>
      <w:r>
        <w:t>Simulation setting</w:t>
      </w:r>
      <w:r w:rsidR="005B0B79">
        <w:t xml:space="preserve"> and result as follows</w:t>
      </w:r>
      <w:r>
        <w:t xml:space="preserve">: </w:t>
      </w:r>
    </w:p>
    <w:p w14:paraId="13A2D082" w14:textId="4ADDF781" w:rsidR="003450B4" w:rsidRDefault="003450B4" w:rsidP="003450B4">
      <w:pPr>
        <w:pStyle w:val="BodyText"/>
        <w:numPr>
          <w:ilvl w:val="0"/>
          <w:numId w:val="35"/>
        </w:numPr>
      </w:pPr>
      <w:r>
        <w:t xml:space="preserve">The matrices used in the contribution are described in JVET-L0121 (same HEVC matrices are used for existing transform sizes, and those existing matrices are extended to support new transform sizes in VVC) </w:t>
      </w:r>
    </w:p>
    <w:p w14:paraId="4CE6DFF1" w14:textId="0C30727E" w:rsidR="003450B4" w:rsidRDefault="003450B4" w:rsidP="003450B4">
      <w:pPr>
        <w:pStyle w:val="BodyText"/>
        <w:numPr>
          <w:ilvl w:val="0"/>
          <w:numId w:val="35"/>
        </w:numPr>
      </w:pPr>
      <w:r>
        <w:t>Simulation results are compared between</w:t>
      </w:r>
      <w:r w:rsidR="005B0B79">
        <w:t xml:space="preserve"> when</w:t>
      </w:r>
      <w:r>
        <w:t xml:space="preserve"> the proposed matrices </w:t>
      </w:r>
      <w:r w:rsidR="005B0B79">
        <w:t xml:space="preserve">are used </w:t>
      </w:r>
      <w:r>
        <w:t xml:space="preserve">and </w:t>
      </w:r>
      <w:r w:rsidR="005B0B79">
        <w:t xml:space="preserve">the </w:t>
      </w:r>
      <w:r>
        <w:t>VTM-3.0 anchors</w:t>
      </w:r>
    </w:p>
    <w:p w14:paraId="1AA407FB" w14:textId="60098C99" w:rsidR="003450B4" w:rsidRDefault="003450B4" w:rsidP="003450B4">
      <w:pPr>
        <w:pStyle w:val="BodyText"/>
        <w:numPr>
          <w:ilvl w:val="0"/>
          <w:numId w:val="35"/>
        </w:numPr>
      </w:pPr>
      <w:r>
        <w:t xml:space="preserve">Coding loss of 1.64%/0.48%/1.09% for AI/RA/LB </w:t>
      </w:r>
      <w:r w:rsidR="005B0B79">
        <w:t xml:space="preserve">is observed </w:t>
      </w:r>
      <w:r>
        <w:t xml:space="preserve">for </w:t>
      </w:r>
      <w:proofErr w:type="spellStart"/>
      <w:r>
        <w:t>luma</w:t>
      </w:r>
      <w:proofErr w:type="spellEnd"/>
      <w:r>
        <w:t xml:space="preserve"> </w:t>
      </w:r>
    </w:p>
    <w:p w14:paraId="57BEFB57" w14:textId="75DAD790" w:rsidR="0025752B" w:rsidRDefault="0025752B" w:rsidP="00D9033E">
      <w:pPr>
        <w:pStyle w:val="BodyText"/>
      </w:pPr>
      <w:r>
        <w:t xml:space="preserve">Compared to JVET-L0121, it was reported that the proposed quantization matrices achieve similar performance but with faster encoding time due to better software implementation. </w:t>
      </w:r>
    </w:p>
    <w:p w14:paraId="2B0D56CF" w14:textId="4BC524B1" w:rsidR="0025752B" w:rsidRDefault="0025752B" w:rsidP="00D9033E">
      <w:pPr>
        <w:pStyle w:val="BodyText"/>
      </w:pPr>
      <w:r>
        <w:t xml:space="preserve">The proponent suggested that </w:t>
      </w:r>
    </w:p>
    <w:p w14:paraId="076D68E9" w14:textId="41C0D921" w:rsidR="0025752B" w:rsidRDefault="0025752B" w:rsidP="0025752B">
      <w:pPr>
        <w:pStyle w:val="BodyText"/>
        <w:numPr>
          <w:ilvl w:val="0"/>
          <w:numId w:val="34"/>
        </w:numPr>
      </w:pPr>
      <w:r>
        <w:t xml:space="preserve">support of quantization matrices for all transform types in MTS should be provided in VTM; </w:t>
      </w:r>
    </w:p>
    <w:p w14:paraId="6D9396FB" w14:textId="1A6EC263" w:rsidR="0025752B" w:rsidRDefault="0025752B" w:rsidP="0025752B">
      <w:pPr>
        <w:pStyle w:val="BodyText"/>
        <w:numPr>
          <w:ilvl w:val="0"/>
          <w:numId w:val="34"/>
        </w:numPr>
      </w:pPr>
      <w:proofErr w:type="gramStart"/>
      <w:r>
        <w:t>quantization</w:t>
      </w:r>
      <w:proofErr w:type="gramEnd"/>
      <w:r>
        <w:t xml:space="preserve"> matrices should be adopted into VTM using shared matrices between DCT2 and other transforms in MTS, and further study should be conducted on other methods of support for quantization matrices. </w:t>
      </w:r>
    </w:p>
    <w:p w14:paraId="0619204C" w14:textId="77777777" w:rsidR="004442D5" w:rsidRDefault="005B0B79" w:rsidP="00D9033E">
      <w:pPr>
        <w:pStyle w:val="BodyText"/>
      </w:pPr>
      <w:r>
        <w:t xml:space="preserve">In terms of default matrices, the proponent suggests to use the same default matrices as in HEVC. </w:t>
      </w:r>
    </w:p>
    <w:p w14:paraId="38D73BD6" w14:textId="77777777" w:rsidR="004442D5" w:rsidRDefault="004442D5" w:rsidP="004442D5">
      <w:pPr>
        <w:pStyle w:val="BodyText"/>
        <w:numPr>
          <w:ilvl w:val="0"/>
          <w:numId w:val="35"/>
        </w:numPr>
      </w:pPr>
      <w:r>
        <w:t>F</w:t>
      </w:r>
      <w:r w:rsidR="005B0B79">
        <w:t xml:space="preserve">or square blocks, for </w:t>
      </w:r>
      <w:r w:rsidR="005B0B79" w:rsidRPr="0032798F">
        <w:t>4x4 and 8x8</w:t>
      </w:r>
      <w:r w:rsidR="005B0B79">
        <w:t xml:space="preserve">, use the same ones as in HEVC, and for other sizes, if and when </w:t>
      </w:r>
      <w:proofErr w:type="spellStart"/>
      <w:r w:rsidR="005B0B79">
        <w:t>upsampling</w:t>
      </w:r>
      <w:proofErr w:type="spellEnd"/>
      <w:r w:rsidR="005B0B79">
        <w:t xml:space="preserve"> is necessary, the same </w:t>
      </w:r>
      <w:proofErr w:type="spellStart"/>
      <w:r w:rsidR="005B0B79">
        <w:t>upsampling</w:t>
      </w:r>
      <w:proofErr w:type="spellEnd"/>
      <w:r w:rsidR="005B0B79">
        <w:t xml:space="preserve"> method as in HEVC is applied. </w:t>
      </w:r>
    </w:p>
    <w:p w14:paraId="36D1DFD8" w14:textId="784355CB" w:rsidR="0025752B" w:rsidRDefault="005B0B79" w:rsidP="004442D5">
      <w:pPr>
        <w:pStyle w:val="BodyText"/>
        <w:numPr>
          <w:ilvl w:val="0"/>
          <w:numId w:val="35"/>
        </w:numPr>
      </w:pPr>
      <w:r>
        <w:t xml:space="preserve">For the rectangular </w:t>
      </w:r>
      <w:r w:rsidR="00783501">
        <w:t>blocks</w:t>
      </w:r>
      <w:r>
        <w:t xml:space="preserve">, </w:t>
      </w:r>
      <w:r w:rsidR="00783501">
        <w:t xml:space="preserve">they are </w:t>
      </w:r>
      <w:proofErr w:type="spellStart"/>
      <w:r w:rsidR="00783501">
        <w:t>downsampled</w:t>
      </w:r>
      <w:proofErr w:type="spellEnd"/>
      <w:r w:rsidR="00783501">
        <w:t xml:space="preserve"> from a corresponding square block</w:t>
      </w:r>
      <w:r>
        <w:t xml:space="preserve"> to the appropriate dimension, e.g., for 32x16,</w:t>
      </w:r>
      <w:r w:rsidR="00783501">
        <w:t xml:space="preserve"> 32x32 matrix is used in </w:t>
      </w:r>
      <w:proofErr w:type="spellStart"/>
      <w:r w:rsidR="00783501">
        <w:t>downsampling</w:t>
      </w:r>
      <w:proofErr w:type="spellEnd"/>
      <w:r w:rsidR="00783501">
        <w:t>, and a</w:t>
      </w:r>
      <w:r>
        <w:t xml:space="preserve"> factor of 2 </w:t>
      </w:r>
      <w:proofErr w:type="spellStart"/>
      <w:r>
        <w:t>downsampling</w:t>
      </w:r>
      <w:proofErr w:type="spellEnd"/>
      <w:r>
        <w:t xml:space="preserve"> is applied in the </w:t>
      </w:r>
      <w:r w:rsidR="0032798F">
        <w:t>vertical</w:t>
      </w:r>
      <w:r>
        <w:t xml:space="preserve"> direction.</w:t>
      </w:r>
    </w:p>
    <w:p w14:paraId="56A2C402" w14:textId="2B933F61" w:rsidR="0032798F" w:rsidRDefault="0032798F" w:rsidP="00D9033E">
      <w:pPr>
        <w:pStyle w:val="BodyText"/>
      </w:pPr>
      <w:r>
        <w:t xml:space="preserve">It was asked how the default quantization matrix is defined for the 2x2 </w:t>
      </w:r>
      <w:proofErr w:type="spellStart"/>
      <w:r>
        <w:t>chroma</w:t>
      </w:r>
      <w:proofErr w:type="spellEnd"/>
      <w:r>
        <w:t xml:space="preserve"> case. The proponent responded that a “flat” matrix (i.e., all positions have the same value) was used.</w:t>
      </w:r>
    </w:p>
    <w:p w14:paraId="4AF329D5" w14:textId="5EDFE814" w:rsidR="0032798F" w:rsidRDefault="0032798F" w:rsidP="00D9033E">
      <w:pPr>
        <w:pStyle w:val="BodyText"/>
      </w:pPr>
      <w:r>
        <w:t xml:space="preserve">It was asked if VVC needs default quantization matrices. It was remarked that HEVC had these. </w:t>
      </w:r>
    </w:p>
    <w:p w14:paraId="4ED72B5F" w14:textId="3192F7EF" w:rsidR="0032798F" w:rsidRDefault="0032798F" w:rsidP="00D9033E">
      <w:pPr>
        <w:pStyle w:val="BodyText"/>
      </w:pPr>
      <w:r>
        <w:lastRenderedPageBreak/>
        <w:t xml:space="preserve">It was commented by a non-proponent that the HEVC default matrices can be used at this moment, with the proposed necessary changes to handle the new sizes, and that further study should be encouraged to come up with potentially better quantization matrices. </w:t>
      </w:r>
    </w:p>
    <w:p w14:paraId="6E3E5DDE" w14:textId="25C5A901" w:rsidR="00FC18EF" w:rsidRDefault="00FC18EF" w:rsidP="00D9033E">
      <w:pPr>
        <w:pStyle w:val="BodyText"/>
      </w:pPr>
      <w:r>
        <w:t xml:space="preserve">It was also commented that having the default matrices is not an urgent matter at this moment. </w:t>
      </w:r>
    </w:p>
    <w:p w14:paraId="5D49755D" w14:textId="0AAF54D1" w:rsidR="00FC18EF" w:rsidRDefault="00FC18EF" w:rsidP="00D9033E">
      <w:pPr>
        <w:pStyle w:val="BodyText"/>
      </w:pPr>
      <w:r w:rsidRPr="00FC18EF">
        <w:rPr>
          <w:highlight w:val="yellow"/>
        </w:rPr>
        <w:t>Recommendation</w:t>
      </w:r>
      <w:r>
        <w:t xml:space="preserve"> regarding the default matrices: further study is encouraged.</w:t>
      </w:r>
    </w:p>
    <w:p w14:paraId="03559A31" w14:textId="0E3D4327" w:rsidR="00FC18EF" w:rsidRDefault="00FC18EF" w:rsidP="00D9033E">
      <w:pPr>
        <w:pStyle w:val="BodyText"/>
      </w:pPr>
      <w:r>
        <w:t xml:space="preserve">In terms of signalling the quantization matrices, the proponent suggests the same signalling method as </w:t>
      </w:r>
      <w:r w:rsidR="00247D9E">
        <w:t xml:space="preserve">in </w:t>
      </w:r>
      <w:r>
        <w:t xml:space="preserve">HEVC </w:t>
      </w:r>
      <w:r w:rsidR="00247D9E">
        <w:t xml:space="preserve">be used for all transform types in MTS. </w:t>
      </w:r>
    </w:p>
    <w:p w14:paraId="5F45DB00" w14:textId="6C0C710F" w:rsidR="00247D9E" w:rsidRDefault="00247D9E" w:rsidP="00D9033E">
      <w:pPr>
        <w:pStyle w:val="BodyText"/>
      </w:pPr>
      <w:r>
        <w:t xml:space="preserve">It was commented that the signalling of the quantization matrices is not an urgent matter at this moment, especially given that we don’t yet have default matrices. It was further commented that the default matrices should be specified before we consider explicitly signalling these matrices. </w:t>
      </w:r>
    </w:p>
    <w:p w14:paraId="02D1669C" w14:textId="6F50EA06" w:rsidR="00247D9E" w:rsidRDefault="00247D9E" w:rsidP="00247D9E">
      <w:pPr>
        <w:pStyle w:val="BodyText"/>
      </w:pPr>
      <w:r w:rsidRPr="00FC18EF">
        <w:rPr>
          <w:highlight w:val="yellow"/>
        </w:rPr>
        <w:t>Recommendation</w:t>
      </w:r>
      <w:r>
        <w:t xml:space="preserve"> regarding signalling of the matrices: further study is encouraged in combination with the study on default quantization matrices.</w:t>
      </w:r>
    </w:p>
    <w:p w14:paraId="0E2ED3B5" w14:textId="4AACCF91" w:rsidR="00247D9E" w:rsidRDefault="00247D9E" w:rsidP="00247D9E">
      <w:pPr>
        <w:pStyle w:val="BodyText"/>
      </w:pPr>
      <w:r>
        <w:t xml:space="preserve">The proponent was encouraged to make their software available as part of their contribution package. </w:t>
      </w:r>
    </w:p>
    <w:p w14:paraId="63A3456D" w14:textId="58441116" w:rsidR="00174240" w:rsidRPr="007A28E0" w:rsidRDefault="00174240" w:rsidP="00174240">
      <w:pPr>
        <w:pStyle w:val="Heading9"/>
        <w:rPr>
          <w:rFonts w:eastAsia="Times New Roman"/>
          <w:szCs w:val="24"/>
          <w:lang w:val="en-CA" w:eastAsia="de-DE"/>
        </w:rPr>
      </w:pPr>
      <w:hyperlink r:id="rId11" w:history="1">
        <w:r w:rsidRPr="007A28E0">
          <w:rPr>
            <w:rFonts w:eastAsia="Times New Roman"/>
            <w:color w:val="0000FF"/>
            <w:szCs w:val="24"/>
            <w:u w:val="single"/>
            <w:lang w:val="en-CA" w:eastAsia="de-DE"/>
          </w:rPr>
          <w:t>JVET-M0342</w:t>
        </w:r>
      </w:hyperlink>
      <w:r w:rsidRPr="007A28E0">
        <w:rPr>
          <w:rFonts w:eastAsia="Times New Roman"/>
          <w:szCs w:val="24"/>
          <w:lang w:val="en-CA" w:eastAsia="de-DE"/>
        </w:rPr>
        <w:t xml:space="preserve"> Crosscheck of JVET-M0083 (AHG10: Quantization matrices for MTS) [M. Ikeda (Sony)]</w:t>
      </w:r>
    </w:p>
    <w:p w14:paraId="09AB5858" w14:textId="77777777" w:rsidR="00174240" w:rsidRPr="007A28E0" w:rsidRDefault="00174240" w:rsidP="00174240">
      <w:pPr>
        <w:pStyle w:val="BodyText"/>
      </w:pPr>
    </w:p>
    <w:p w14:paraId="0D68D11C" w14:textId="77777777" w:rsidR="00174240" w:rsidRPr="007A28E0" w:rsidRDefault="00174240" w:rsidP="00174240">
      <w:pPr>
        <w:pStyle w:val="Heading9"/>
        <w:rPr>
          <w:rFonts w:eastAsia="Times New Roman"/>
          <w:szCs w:val="24"/>
          <w:lang w:val="en-CA" w:eastAsia="de-DE"/>
        </w:rPr>
      </w:pPr>
      <w:hyperlink r:id="rId12" w:history="1">
        <w:r w:rsidRPr="007A28E0">
          <w:rPr>
            <w:rFonts w:eastAsia="Times New Roman"/>
            <w:color w:val="0000FF"/>
            <w:szCs w:val="24"/>
            <w:u w:val="single"/>
            <w:lang w:val="en-CA" w:eastAsia="de-DE"/>
          </w:rPr>
          <w:t>JVET-M0105</w:t>
        </w:r>
      </w:hyperlink>
      <w:r w:rsidRPr="007A28E0">
        <w:rPr>
          <w:rFonts w:eastAsia="Times New Roman"/>
          <w:szCs w:val="24"/>
          <w:lang w:val="en-CA" w:eastAsia="de-DE"/>
        </w:rPr>
        <w:t xml:space="preserve"> Delta QP for Chroma CU [R. </w:t>
      </w:r>
      <w:proofErr w:type="spellStart"/>
      <w:r w:rsidRPr="007A28E0">
        <w:rPr>
          <w:rFonts w:eastAsia="Times New Roman"/>
          <w:szCs w:val="24"/>
          <w:lang w:val="en-CA" w:eastAsia="de-DE"/>
        </w:rPr>
        <w:t>Chernyak</w:t>
      </w:r>
      <w:proofErr w:type="spellEnd"/>
      <w:r w:rsidRPr="007A28E0">
        <w:rPr>
          <w:rFonts w:eastAsia="Times New Roman"/>
          <w:szCs w:val="24"/>
          <w:lang w:val="en-CA" w:eastAsia="de-DE"/>
        </w:rPr>
        <w:t xml:space="preserve">, S. </w:t>
      </w:r>
      <w:proofErr w:type="spellStart"/>
      <w:r w:rsidRPr="007A28E0">
        <w:rPr>
          <w:rFonts w:eastAsia="Times New Roman"/>
          <w:szCs w:val="24"/>
          <w:lang w:val="en-CA" w:eastAsia="de-DE"/>
        </w:rPr>
        <w:t>Ikonin</w:t>
      </w:r>
      <w:proofErr w:type="spellEnd"/>
      <w:r w:rsidRPr="007A28E0">
        <w:rPr>
          <w:rFonts w:eastAsia="Times New Roman"/>
          <w:szCs w:val="24"/>
          <w:lang w:val="en-CA" w:eastAsia="de-DE"/>
        </w:rPr>
        <w:t>, J. Chen (Huawei)]</w:t>
      </w:r>
    </w:p>
    <w:p w14:paraId="1E355CA9" w14:textId="77777777" w:rsidR="00CB7A81" w:rsidRDefault="00CB7A81" w:rsidP="00CB7A81">
      <w:pPr>
        <w:rPr>
          <w:lang w:val="en-CA"/>
        </w:rPr>
      </w:pPr>
      <w:r>
        <w:rPr>
          <w:lang w:val="en-CA"/>
        </w:rPr>
        <w:t xml:space="preserve">This contribution proposes a scheme of applying delta QP for Chroma CU into VVC codec, taking into account separate tree mechanism. </w:t>
      </w:r>
    </w:p>
    <w:p w14:paraId="092AC7F0" w14:textId="0C6685AC" w:rsidR="00174240" w:rsidRDefault="00174240" w:rsidP="00174240">
      <w:pPr>
        <w:pStyle w:val="BodyText"/>
      </w:pPr>
    </w:p>
    <w:p w14:paraId="68BD1A9F" w14:textId="77777777" w:rsidR="00860357" w:rsidRDefault="00C27D64" w:rsidP="00C27D64">
      <w:r>
        <w:t xml:space="preserve">This contribution was based on a previous contribution </w:t>
      </w:r>
      <w:r w:rsidR="00860357">
        <w:t>JVET-L0428 from the same proponent.</w:t>
      </w:r>
      <w:r>
        <w:t xml:space="preserve"> </w:t>
      </w:r>
    </w:p>
    <w:p w14:paraId="39EF9C99" w14:textId="6341453A" w:rsidR="00C27D64" w:rsidRDefault="00860357" w:rsidP="00C27D64">
      <w:r>
        <w:t>First, i</w:t>
      </w:r>
      <w:r w:rsidR="00C27D64">
        <w:t xml:space="preserve">t proposes to signal delta QP for </w:t>
      </w:r>
      <w:proofErr w:type="spellStart"/>
      <w:r w:rsidR="00C27D64">
        <w:t>chroma</w:t>
      </w:r>
      <w:proofErr w:type="spellEnd"/>
      <w:r w:rsidR="00C27D64">
        <w:t xml:space="preserve"> CU when separate tree is used. This removes one condition in the VVC draft 3 when delta QP is </w:t>
      </w:r>
      <w:proofErr w:type="spellStart"/>
      <w:r w:rsidR="00C27D64">
        <w:t>signalled</w:t>
      </w:r>
      <w:proofErr w:type="spellEnd"/>
      <w:r w:rsidR="00C27D64">
        <w:t xml:space="preserve">. </w:t>
      </w:r>
    </w:p>
    <w:p w14:paraId="558160E5" w14:textId="1E603E7B" w:rsidR="00C27D64" w:rsidRDefault="00860357" w:rsidP="00C27D64">
      <w:r>
        <w:t xml:space="preserve">Secondly, this </w:t>
      </w:r>
      <w:r w:rsidR="00C27D64">
        <w:t xml:space="preserve">contribution proposes a </w:t>
      </w:r>
      <w:proofErr w:type="spellStart"/>
      <w:r w:rsidR="00C27D64">
        <w:t>chroma</w:t>
      </w:r>
      <w:proofErr w:type="spellEnd"/>
      <w:r w:rsidR="00C27D64">
        <w:t xml:space="preserve"> </w:t>
      </w:r>
      <w:r w:rsidR="009C1A22">
        <w:t xml:space="preserve">delta </w:t>
      </w:r>
      <w:r w:rsidR="00C27D64">
        <w:t>QP prediction method that uses the de</w:t>
      </w:r>
      <w:r w:rsidR="00C27D64" w:rsidRPr="00C27D64">
        <w:t>lta QP between</w:t>
      </w:r>
      <w:r w:rsidR="00C27D64">
        <w:t xml:space="preserve"> the</w:t>
      </w:r>
      <w:r w:rsidR="00C27D64" w:rsidRPr="00C27D64">
        <w:t xml:space="preserve"> </w:t>
      </w:r>
      <w:r w:rsidR="00C27D64">
        <w:t xml:space="preserve">neighboring </w:t>
      </w:r>
      <w:proofErr w:type="spellStart"/>
      <w:r w:rsidR="00C27D64" w:rsidRPr="00C27D64">
        <w:t>chroma</w:t>
      </w:r>
      <w:proofErr w:type="spellEnd"/>
      <w:r w:rsidR="00C27D64" w:rsidRPr="00C27D64">
        <w:t xml:space="preserve"> </w:t>
      </w:r>
      <w:r w:rsidR="00C27D64">
        <w:t xml:space="preserve">block </w:t>
      </w:r>
      <w:r w:rsidR="00C27D64" w:rsidRPr="00C27D64">
        <w:t xml:space="preserve">and </w:t>
      </w:r>
      <w:r w:rsidR="00C27D64">
        <w:t xml:space="preserve">the corresponding neighboring </w:t>
      </w:r>
      <w:proofErr w:type="spellStart"/>
      <w:r w:rsidR="00C27D64" w:rsidRPr="00C27D64">
        <w:t>luma</w:t>
      </w:r>
      <w:proofErr w:type="spellEnd"/>
      <w:r w:rsidR="00C27D64" w:rsidRPr="00C27D64">
        <w:t xml:space="preserve"> block </w:t>
      </w:r>
      <w:r w:rsidR="00C27D64">
        <w:t>a</w:t>
      </w:r>
      <w:r w:rsidR="00C27D64" w:rsidRPr="00C27D64">
        <w:t xml:space="preserve">s </w:t>
      </w:r>
      <w:r w:rsidR="00C27D64">
        <w:t xml:space="preserve">a </w:t>
      </w:r>
      <w:r w:rsidR="00C27D64" w:rsidRPr="00C27D64">
        <w:t xml:space="preserve">predictor for </w:t>
      </w:r>
      <w:r w:rsidR="00C27D64">
        <w:t xml:space="preserve">the delta QP of the current </w:t>
      </w:r>
      <w:proofErr w:type="spellStart"/>
      <w:r w:rsidR="00C27D64">
        <w:t>c</w:t>
      </w:r>
      <w:r w:rsidR="00C27D64" w:rsidRPr="00C27D64">
        <w:t>hroma</w:t>
      </w:r>
      <w:proofErr w:type="spellEnd"/>
      <w:r w:rsidR="00C27D64" w:rsidRPr="00C27D64">
        <w:t xml:space="preserve"> CU</w:t>
      </w:r>
      <w:r w:rsidR="00C27D64">
        <w:t>.</w:t>
      </w:r>
    </w:p>
    <w:p w14:paraId="5778608A" w14:textId="77777777" w:rsidR="009C1A22" w:rsidRDefault="009C1A22" w:rsidP="00C27D64">
      <w:r>
        <w:t xml:space="preserve">Simulation had not been conducted for the proposed approach, because the VTM 3.0 does not support adaptive signaling mechanism for </w:t>
      </w:r>
      <w:proofErr w:type="spellStart"/>
      <w:r>
        <w:t>chroma</w:t>
      </w:r>
      <w:proofErr w:type="spellEnd"/>
      <w:r>
        <w:t xml:space="preserve"> delta QP, which means that a proper anchor could not be obtained using the VTM 3.0. Further, such simulation will be outside of the CTC. </w:t>
      </w:r>
    </w:p>
    <w:p w14:paraId="6732E83B" w14:textId="374436F8" w:rsidR="00413D32" w:rsidRDefault="009C1A22" w:rsidP="00C27D64">
      <w:r>
        <w:t xml:space="preserve">It was commented that we could establish an </w:t>
      </w:r>
      <w:proofErr w:type="spellStart"/>
      <w:r>
        <w:t>AhG</w:t>
      </w:r>
      <w:proofErr w:type="spellEnd"/>
      <w:r>
        <w:t xml:space="preserve"> to study quantization related matters, and have a mandate for that </w:t>
      </w:r>
      <w:proofErr w:type="spellStart"/>
      <w:r>
        <w:t>AhG</w:t>
      </w:r>
      <w:proofErr w:type="spellEnd"/>
      <w:r>
        <w:t xml:space="preserve"> to come up with suggestions on how to evaluate adaptive </w:t>
      </w:r>
      <w:proofErr w:type="spellStart"/>
      <w:r>
        <w:t>chroma</w:t>
      </w:r>
      <w:proofErr w:type="spellEnd"/>
      <w:r>
        <w:t xml:space="preserve"> QP </w:t>
      </w:r>
      <w:proofErr w:type="spellStart"/>
      <w:r>
        <w:t>signalling</w:t>
      </w:r>
      <w:proofErr w:type="spellEnd"/>
      <w:r>
        <w:t xml:space="preserve"> at the CU level. </w:t>
      </w:r>
    </w:p>
    <w:p w14:paraId="61AED226" w14:textId="77777777" w:rsidR="00413D32" w:rsidRDefault="00F73BD5" w:rsidP="00C27D64">
      <w:r>
        <w:t xml:space="preserve">It was commented that this seemed to be related to the in-loop </w:t>
      </w:r>
      <w:proofErr w:type="spellStart"/>
      <w:r>
        <w:t>reshaper</w:t>
      </w:r>
      <w:proofErr w:type="spellEnd"/>
      <w:r>
        <w:t xml:space="preserve"> in JVET-M0427. The </w:t>
      </w:r>
      <w:proofErr w:type="spellStart"/>
      <w:r>
        <w:t>chroma</w:t>
      </w:r>
      <w:proofErr w:type="spellEnd"/>
      <w:r>
        <w:t xml:space="preserve"> residual scaling method in that contribution was suggested to be turned off when separate tree is used in order to avoid potential hardware implementation issues, and that caused some performance loss in </w:t>
      </w:r>
      <w:proofErr w:type="spellStart"/>
      <w:r>
        <w:t>chroma</w:t>
      </w:r>
      <w:proofErr w:type="spellEnd"/>
      <w:r>
        <w:t xml:space="preserve">. In order to compensate for that loss, one potential method is to use adaptive </w:t>
      </w:r>
      <w:proofErr w:type="spellStart"/>
      <w:r>
        <w:t>chroma</w:t>
      </w:r>
      <w:proofErr w:type="spellEnd"/>
      <w:r>
        <w:t xml:space="preserve"> QP. It was suggested that the AHG on quantization related matters should also study </w:t>
      </w:r>
      <w:r w:rsidR="00333828">
        <w:t xml:space="preserve">the interactions between </w:t>
      </w:r>
      <w:proofErr w:type="spellStart"/>
      <w:r w:rsidR="00333828">
        <w:t>chroma</w:t>
      </w:r>
      <w:proofErr w:type="spellEnd"/>
      <w:r w:rsidR="00333828">
        <w:t xml:space="preserve"> residual scaling and adaptive </w:t>
      </w:r>
      <w:proofErr w:type="spellStart"/>
      <w:r w:rsidR="00333828">
        <w:t>chroma</w:t>
      </w:r>
      <w:proofErr w:type="spellEnd"/>
      <w:r w:rsidR="00333828">
        <w:t xml:space="preserve"> QP. </w:t>
      </w:r>
    </w:p>
    <w:p w14:paraId="3036485E" w14:textId="4423354E" w:rsidR="00F73BD5" w:rsidRDefault="00413D32" w:rsidP="00C27D64">
      <w:r>
        <w:t xml:space="preserve">It was remarked that HEVC has an existing signaling scheme for </w:t>
      </w:r>
      <w:proofErr w:type="spellStart"/>
      <w:r>
        <w:t>chroma</w:t>
      </w:r>
      <w:proofErr w:type="spellEnd"/>
      <w:r>
        <w:t xml:space="preserve"> QP signaling, and that method could be extended to support separate trees in a straightforward manner. It was remarked that the previous contribution L0428 had this straightforward extension. </w:t>
      </w:r>
    </w:p>
    <w:p w14:paraId="5422D2E7" w14:textId="720F1A47" w:rsidR="00EA14F4" w:rsidRDefault="00413D32" w:rsidP="00174240">
      <w:pPr>
        <w:pStyle w:val="BodyText"/>
        <w:rPr>
          <w:lang w:val="en-US"/>
        </w:rPr>
      </w:pPr>
      <w:r w:rsidRPr="00413D32">
        <w:rPr>
          <w:highlight w:val="yellow"/>
          <w:lang w:val="en-US"/>
        </w:rPr>
        <w:t>Recommendation</w:t>
      </w:r>
      <w:r>
        <w:rPr>
          <w:lang w:val="en-US"/>
        </w:rPr>
        <w:t xml:space="preserve">: establish an AHG on quantization related matters, and further study the method proposed in this contribution and the previous method in L0428 </w:t>
      </w:r>
    </w:p>
    <w:p w14:paraId="3956AD86" w14:textId="77777777" w:rsidR="00413D32" w:rsidRPr="00C27D64" w:rsidRDefault="00413D32" w:rsidP="00174240">
      <w:pPr>
        <w:pStyle w:val="BodyText"/>
        <w:rPr>
          <w:lang w:val="en-US"/>
        </w:rPr>
      </w:pPr>
    </w:p>
    <w:p w14:paraId="4944EE78" w14:textId="77777777" w:rsidR="00174240" w:rsidRPr="007A28E0" w:rsidRDefault="00174240" w:rsidP="00174240">
      <w:pPr>
        <w:pStyle w:val="Heading9"/>
        <w:rPr>
          <w:rFonts w:eastAsia="Times New Roman"/>
          <w:szCs w:val="24"/>
          <w:lang w:val="en-CA" w:eastAsia="de-DE"/>
        </w:rPr>
      </w:pPr>
      <w:hyperlink r:id="rId13" w:history="1">
        <w:r w:rsidRPr="007A28E0">
          <w:rPr>
            <w:rFonts w:eastAsia="Times New Roman"/>
            <w:color w:val="0000FF"/>
            <w:szCs w:val="24"/>
            <w:u w:val="single"/>
            <w:lang w:val="en-CA" w:eastAsia="de-DE"/>
          </w:rPr>
          <w:t>JVET-M0188</w:t>
        </w:r>
      </w:hyperlink>
      <w:r w:rsidRPr="007A28E0">
        <w:rPr>
          <w:rFonts w:eastAsia="Times New Roman"/>
          <w:szCs w:val="24"/>
          <w:lang w:val="en-CA" w:eastAsia="de-DE"/>
        </w:rPr>
        <w:t xml:space="preserve"> On quantization parameter signalling considering CU area [O. </w:t>
      </w:r>
      <w:proofErr w:type="spellStart"/>
      <w:r w:rsidRPr="007A28E0">
        <w:rPr>
          <w:rFonts w:eastAsia="Times New Roman"/>
          <w:szCs w:val="24"/>
          <w:lang w:val="en-CA" w:eastAsia="de-DE"/>
        </w:rPr>
        <w:t>Chubach</w:t>
      </w:r>
      <w:proofErr w:type="spellEnd"/>
      <w:r w:rsidRPr="007A28E0">
        <w:rPr>
          <w:rFonts w:eastAsia="Times New Roman"/>
          <w:szCs w:val="24"/>
          <w:lang w:val="en-CA" w:eastAsia="de-DE"/>
        </w:rPr>
        <w:t>, T.-D. Chuang, C.-W. Hsu, C.-Y. Chen, Y.-W. Huang, S.-M. Lei (</w:t>
      </w:r>
      <w:proofErr w:type="spellStart"/>
      <w:r w:rsidRPr="007A28E0">
        <w:rPr>
          <w:rFonts w:eastAsia="Times New Roman"/>
          <w:szCs w:val="24"/>
          <w:lang w:val="en-CA" w:eastAsia="de-DE"/>
        </w:rPr>
        <w:t>MediaTek</w:t>
      </w:r>
      <w:proofErr w:type="spellEnd"/>
      <w:r w:rsidRPr="007A28E0">
        <w:rPr>
          <w:rFonts w:eastAsia="Times New Roman"/>
          <w:szCs w:val="24"/>
          <w:lang w:val="en-CA" w:eastAsia="de-DE"/>
        </w:rPr>
        <w:t>)]</w:t>
      </w:r>
    </w:p>
    <w:p w14:paraId="7FD18975" w14:textId="77777777" w:rsidR="00C226E5" w:rsidRDefault="00C226E5" w:rsidP="00C226E5">
      <w:r>
        <w:rPr>
          <w:lang w:val="en-CA" w:eastAsia="zh-CN"/>
        </w:rPr>
        <w:t xml:space="preserve">In </w:t>
      </w:r>
      <w:r>
        <w:rPr>
          <w:lang w:val="en-CA"/>
        </w:rPr>
        <w:t xml:space="preserve">this contribution, a method is proposed for updating the concept of quantization group </w:t>
      </w:r>
      <w:r>
        <w:rPr>
          <w:lang w:val="en-CA" w:eastAsia="zh-TW"/>
        </w:rPr>
        <w:t>in the context of QT-MTT partitioning framework, such that it is taking into account area of the block, and not only its current depth</w:t>
      </w:r>
      <w:r>
        <w:rPr>
          <w:lang w:val="en-CA"/>
        </w:rPr>
        <w:t xml:space="preserve">. </w:t>
      </w:r>
      <w:r>
        <w:t xml:space="preserve">It is reported that the proposed method leads to Y: -0.13%, U: -1.03%, V: -1.04% BD-rates on average for VTM3.0+CTC with </w:t>
      </w:r>
      <w:proofErr w:type="spellStart"/>
      <w:r>
        <w:rPr>
          <w:szCs w:val="22"/>
          <w:lang w:val="en-CA" w:eastAsia="zh-TW"/>
        </w:rPr>
        <w:t>MaxCuDQPDepth</w:t>
      </w:r>
      <w:proofErr w:type="spellEnd"/>
      <w:r>
        <w:rPr>
          <w:szCs w:val="22"/>
          <w:lang w:val="en-CA" w:eastAsia="zh-TW"/>
        </w:rPr>
        <w:t xml:space="preserve">=2 and </w:t>
      </w:r>
      <w:proofErr w:type="spellStart"/>
      <w:r>
        <w:rPr>
          <w:szCs w:val="22"/>
          <w:lang w:val="en-CA" w:eastAsia="zh-TW"/>
        </w:rPr>
        <w:t>MaxDeltaQp</w:t>
      </w:r>
      <w:proofErr w:type="spellEnd"/>
      <w:r>
        <w:rPr>
          <w:szCs w:val="22"/>
          <w:lang w:val="en-CA" w:eastAsia="zh-TW"/>
        </w:rPr>
        <w:t>=1</w:t>
      </w:r>
      <w:r>
        <w:t>.</w:t>
      </w:r>
    </w:p>
    <w:p w14:paraId="747D58D8" w14:textId="09334342" w:rsidR="00174240" w:rsidRDefault="00174240" w:rsidP="00174240">
      <w:pPr>
        <w:pStyle w:val="BodyText"/>
        <w:rPr>
          <w:lang w:val="en-US"/>
        </w:rPr>
      </w:pPr>
    </w:p>
    <w:p w14:paraId="0EA7FCD8" w14:textId="0C699E8E" w:rsidR="00BB0355" w:rsidRDefault="006E6FA1" w:rsidP="00174240">
      <w:pPr>
        <w:pStyle w:val="BodyText"/>
        <w:rPr>
          <w:lang w:val="en-US"/>
        </w:rPr>
      </w:pPr>
      <w:r>
        <w:rPr>
          <w:lang w:val="en-US"/>
        </w:rPr>
        <w:t>It was reported that, in VVC draft 3,</w:t>
      </w:r>
      <w:r w:rsidRPr="006E6FA1">
        <w:rPr>
          <w:lang w:val="en-US"/>
        </w:rPr>
        <w:t xml:space="preserve"> a </w:t>
      </w:r>
      <w:r>
        <w:rPr>
          <w:lang w:val="en-US"/>
        </w:rPr>
        <w:t>quantization group (</w:t>
      </w:r>
      <w:r w:rsidRPr="006E6FA1">
        <w:rPr>
          <w:lang w:val="en-US"/>
        </w:rPr>
        <w:t>QG</w:t>
      </w:r>
      <w:r>
        <w:rPr>
          <w:lang w:val="en-US"/>
        </w:rPr>
        <w:t xml:space="preserve">) is defined according to </w:t>
      </w:r>
      <w:r w:rsidRPr="006E6FA1">
        <w:rPr>
          <w:lang w:val="en-US"/>
        </w:rPr>
        <w:t xml:space="preserve">the </w:t>
      </w:r>
      <w:r w:rsidR="00C50201">
        <w:rPr>
          <w:lang w:val="en-US"/>
        </w:rPr>
        <w:t>depth</w:t>
      </w:r>
      <w:r>
        <w:rPr>
          <w:lang w:val="en-US"/>
        </w:rPr>
        <w:t xml:space="preserve"> of the </w:t>
      </w:r>
      <w:r w:rsidR="00C50201">
        <w:rPr>
          <w:lang w:val="en-US"/>
        </w:rPr>
        <w:t>CU</w:t>
      </w:r>
      <w:r>
        <w:rPr>
          <w:lang w:val="en-US"/>
        </w:rPr>
        <w:t>. Consequently, th</w:t>
      </w:r>
      <w:r w:rsidRPr="006E6FA1">
        <w:rPr>
          <w:lang w:val="en-US"/>
        </w:rPr>
        <w:t xml:space="preserve">e size of two QGs </w:t>
      </w:r>
      <w:r>
        <w:rPr>
          <w:lang w:val="en-US"/>
        </w:rPr>
        <w:t>could</w:t>
      </w:r>
      <w:r w:rsidRPr="006E6FA1">
        <w:rPr>
          <w:lang w:val="en-US"/>
        </w:rPr>
        <w:t xml:space="preserve"> be differen</w:t>
      </w:r>
      <w:r>
        <w:rPr>
          <w:lang w:val="en-US"/>
        </w:rPr>
        <w:t>t</w:t>
      </w:r>
      <w:r w:rsidR="00C50201">
        <w:rPr>
          <w:lang w:val="en-US"/>
        </w:rPr>
        <w:t xml:space="preserve"> by a factor of </w:t>
      </w:r>
      <w:r w:rsidR="00C50201" w:rsidRPr="006E6FA1">
        <w:rPr>
          <w:lang w:val="en-US"/>
        </w:rPr>
        <w:t>16x</w:t>
      </w:r>
      <w:r>
        <w:rPr>
          <w:lang w:val="en-US"/>
        </w:rPr>
        <w:t xml:space="preserve">. </w:t>
      </w:r>
      <w:r w:rsidR="00C50201">
        <w:rPr>
          <w:lang w:val="en-US"/>
        </w:rPr>
        <w:t xml:space="preserve">It was suggested that this was not the design intention. </w:t>
      </w:r>
    </w:p>
    <w:p w14:paraId="61D69A2E" w14:textId="3DE8A392" w:rsidR="006E6FA1" w:rsidRDefault="006E6FA1" w:rsidP="00174240">
      <w:pPr>
        <w:pStyle w:val="BodyText"/>
        <w:rPr>
          <w:lang w:val="en-US"/>
        </w:rPr>
      </w:pPr>
      <w:r>
        <w:rPr>
          <w:lang w:val="en-US"/>
        </w:rPr>
        <w:t>This contribution proposes</w:t>
      </w:r>
      <w:r w:rsidRPr="006E6FA1">
        <w:rPr>
          <w:lang w:val="en-US"/>
        </w:rPr>
        <w:t xml:space="preserve"> to signal the delta QPs for the equal-size regions if the </w:t>
      </w:r>
      <w:r>
        <w:rPr>
          <w:lang w:val="en-US"/>
        </w:rPr>
        <w:t xml:space="preserve">CUs are not large size leaf CU using </w:t>
      </w:r>
      <w:proofErr w:type="spellStart"/>
      <w:r>
        <w:rPr>
          <w:lang w:val="en-US"/>
        </w:rPr>
        <w:t>QtDepth</w:t>
      </w:r>
      <w:proofErr w:type="spellEnd"/>
      <w:r>
        <w:rPr>
          <w:lang w:val="en-US"/>
        </w:rPr>
        <w:t xml:space="preserve"> and </w:t>
      </w:r>
      <w:proofErr w:type="spellStart"/>
      <w:r>
        <w:rPr>
          <w:lang w:val="en-US"/>
        </w:rPr>
        <w:t>BtDepth</w:t>
      </w:r>
      <w:proofErr w:type="spellEnd"/>
      <w:r w:rsidRPr="006E6FA1">
        <w:rPr>
          <w:lang w:val="en-US"/>
        </w:rPr>
        <w:t>.</w:t>
      </w:r>
    </w:p>
    <w:p w14:paraId="0AD690B9" w14:textId="30CE6042" w:rsidR="00C50201" w:rsidRDefault="00C50201" w:rsidP="00174240">
      <w:pPr>
        <w:pStyle w:val="BodyText"/>
        <w:rPr>
          <w:lang w:val="en-US"/>
        </w:rPr>
      </w:pPr>
      <w:r>
        <w:rPr>
          <w:lang w:val="en-US"/>
        </w:rPr>
        <w:t xml:space="preserve">Simulation results compared to VTM-3.0 </w:t>
      </w:r>
      <w:r w:rsidR="009B7693">
        <w:rPr>
          <w:lang w:val="en-US"/>
        </w:rPr>
        <w:t>anchors using</w:t>
      </w:r>
      <w:r>
        <w:rPr>
          <w:lang w:val="en-US"/>
        </w:rPr>
        <w:t xml:space="preserve"> CTC</w:t>
      </w:r>
      <w:r w:rsidR="009B7693">
        <w:rPr>
          <w:lang w:val="en-US"/>
        </w:rPr>
        <w:t xml:space="preserve"> configurations</w:t>
      </w:r>
      <w:r>
        <w:rPr>
          <w:lang w:val="en-US"/>
        </w:rPr>
        <w:t xml:space="preserve">: </w:t>
      </w:r>
    </w:p>
    <w:p w14:paraId="5EE300A6" w14:textId="65964751" w:rsidR="00C50201" w:rsidRDefault="00C50201" w:rsidP="00C50201">
      <w:pPr>
        <w:pStyle w:val="BodyText"/>
        <w:rPr>
          <w:lang w:val="en-US"/>
        </w:rPr>
      </w:pPr>
      <w:r>
        <w:rPr>
          <w:lang w:val="en-US"/>
        </w:rPr>
        <w:t xml:space="preserve">Depth = 2: </w:t>
      </w:r>
    </w:p>
    <w:p w14:paraId="57902795" w14:textId="673C91B7" w:rsidR="00C50201" w:rsidRDefault="00C50201" w:rsidP="00C50201">
      <w:pPr>
        <w:pStyle w:val="BodyText"/>
        <w:numPr>
          <w:ilvl w:val="0"/>
          <w:numId w:val="36"/>
        </w:numPr>
        <w:rPr>
          <w:lang w:val="en-US"/>
        </w:rPr>
      </w:pPr>
      <w:r w:rsidRPr="00C50201">
        <w:rPr>
          <w:lang w:val="en-US"/>
        </w:rPr>
        <w:t>VTM-3.0</w:t>
      </w:r>
      <w:r>
        <w:rPr>
          <w:lang w:val="en-US"/>
        </w:rPr>
        <w:t xml:space="preserve"> </w:t>
      </w:r>
      <w:proofErr w:type="spellStart"/>
      <w:r>
        <w:rPr>
          <w:lang w:val="en-US"/>
        </w:rPr>
        <w:t>signalling</w:t>
      </w:r>
      <w:proofErr w:type="spellEnd"/>
      <w:r>
        <w:rPr>
          <w:lang w:val="en-US"/>
        </w:rPr>
        <w:t xml:space="preserve"> method:</w:t>
      </w:r>
      <w:r w:rsidRPr="00C50201">
        <w:rPr>
          <w:lang w:val="en-US"/>
        </w:rPr>
        <w:t xml:space="preserve"> </w:t>
      </w:r>
      <w:r>
        <w:rPr>
          <w:lang w:val="en-US"/>
        </w:rPr>
        <w:t>-0.14%/</w:t>
      </w:r>
      <w:r w:rsidRPr="00C50201">
        <w:rPr>
          <w:lang w:val="en-US"/>
        </w:rPr>
        <w:t>-0.01%</w:t>
      </w:r>
      <w:r>
        <w:rPr>
          <w:lang w:val="en-US"/>
        </w:rPr>
        <w:t>/</w:t>
      </w:r>
      <w:r w:rsidRPr="00C50201">
        <w:rPr>
          <w:lang w:val="en-US"/>
        </w:rPr>
        <w:t xml:space="preserve">0.14% </w:t>
      </w:r>
      <w:r>
        <w:rPr>
          <w:lang w:val="en-US"/>
        </w:rPr>
        <w:t>for AI/RA/LB</w:t>
      </w:r>
    </w:p>
    <w:p w14:paraId="26B9F053" w14:textId="16FFE63A" w:rsidR="00C50201" w:rsidRDefault="00C50201" w:rsidP="00C50201">
      <w:pPr>
        <w:pStyle w:val="BodyText"/>
        <w:numPr>
          <w:ilvl w:val="0"/>
          <w:numId w:val="36"/>
        </w:numPr>
        <w:rPr>
          <w:lang w:val="en-US"/>
        </w:rPr>
      </w:pPr>
      <w:r>
        <w:rPr>
          <w:lang w:val="en-US"/>
        </w:rPr>
        <w:t xml:space="preserve">Proposed </w:t>
      </w:r>
      <w:proofErr w:type="spellStart"/>
      <w:r>
        <w:rPr>
          <w:lang w:val="en-US"/>
        </w:rPr>
        <w:t>signalling</w:t>
      </w:r>
      <w:proofErr w:type="spellEnd"/>
      <w:r>
        <w:rPr>
          <w:lang w:val="en-US"/>
        </w:rPr>
        <w:t xml:space="preserve"> method: </w:t>
      </w:r>
      <w:r w:rsidRPr="00C50201">
        <w:rPr>
          <w:lang w:val="en-US"/>
        </w:rPr>
        <w:t>-0.37%</w:t>
      </w:r>
      <w:r>
        <w:rPr>
          <w:lang w:val="en-US"/>
        </w:rPr>
        <w:t>/</w:t>
      </w:r>
      <w:r w:rsidRPr="00C50201">
        <w:rPr>
          <w:lang w:val="en-US"/>
        </w:rPr>
        <w:t>-0.18%</w:t>
      </w:r>
      <w:r>
        <w:rPr>
          <w:lang w:val="en-US"/>
        </w:rPr>
        <w:t>/</w:t>
      </w:r>
      <w:r w:rsidRPr="00C50201">
        <w:rPr>
          <w:lang w:val="en-US"/>
        </w:rPr>
        <w:t xml:space="preserve">0.01% </w:t>
      </w:r>
      <w:r>
        <w:rPr>
          <w:lang w:val="en-US"/>
        </w:rPr>
        <w:t>for AI/RA/LB</w:t>
      </w:r>
    </w:p>
    <w:p w14:paraId="722FF22B" w14:textId="263D392A" w:rsidR="00C50201" w:rsidRDefault="00C50201" w:rsidP="00C50201">
      <w:pPr>
        <w:pStyle w:val="BodyText"/>
        <w:rPr>
          <w:lang w:val="en-US"/>
        </w:rPr>
      </w:pPr>
      <w:r>
        <w:rPr>
          <w:lang w:val="en-US"/>
        </w:rPr>
        <w:t xml:space="preserve">Depth = 4: </w:t>
      </w:r>
    </w:p>
    <w:p w14:paraId="1CD18D43" w14:textId="48B867C9" w:rsidR="00C50201" w:rsidRDefault="00C50201" w:rsidP="00C50201">
      <w:pPr>
        <w:pStyle w:val="BodyText"/>
        <w:numPr>
          <w:ilvl w:val="0"/>
          <w:numId w:val="37"/>
        </w:numPr>
        <w:rPr>
          <w:lang w:val="en-US"/>
        </w:rPr>
      </w:pPr>
      <w:r w:rsidRPr="00C50201">
        <w:rPr>
          <w:lang w:val="en-US"/>
        </w:rPr>
        <w:t>VTM-3.0</w:t>
      </w:r>
      <w:r>
        <w:rPr>
          <w:lang w:val="en-US"/>
        </w:rPr>
        <w:t xml:space="preserve"> </w:t>
      </w:r>
      <w:proofErr w:type="spellStart"/>
      <w:r>
        <w:rPr>
          <w:lang w:val="en-US"/>
        </w:rPr>
        <w:t>signalling</w:t>
      </w:r>
      <w:proofErr w:type="spellEnd"/>
      <w:r>
        <w:rPr>
          <w:lang w:val="en-US"/>
        </w:rPr>
        <w:t xml:space="preserve"> method:</w:t>
      </w:r>
      <w:r w:rsidRPr="00C50201">
        <w:rPr>
          <w:lang w:val="en-US"/>
        </w:rPr>
        <w:t xml:space="preserve"> 0.24%</w:t>
      </w:r>
      <w:r>
        <w:rPr>
          <w:lang w:val="en-US"/>
        </w:rPr>
        <w:t>/</w:t>
      </w:r>
      <w:r w:rsidRPr="00C50201">
        <w:rPr>
          <w:lang w:val="en-US"/>
        </w:rPr>
        <w:t>0.33%</w:t>
      </w:r>
      <w:r>
        <w:rPr>
          <w:lang w:val="en-US"/>
        </w:rPr>
        <w:t>/</w:t>
      </w:r>
      <w:r w:rsidRPr="00C50201">
        <w:rPr>
          <w:lang w:val="en-US"/>
        </w:rPr>
        <w:t xml:space="preserve">0.46% </w:t>
      </w:r>
      <w:r>
        <w:rPr>
          <w:lang w:val="en-US"/>
        </w:rPr>
        <w:t>for AI/RA/LB</w:t>
      </w:r>
      <w:r w:rsidRPr="00C50201">
        <w:rPr>
          <w:lang w:val="en-US"/>
        </w:rPr>
        <w:t xml:space="preserve"> </w:t>
      </w:r>
    </w:p>
    <w:p w14:paraId="32E9D115" w14:textId="6D7545D6" w:rsidR="00C50201" w:rsidRDefault="00C50201" w:rsidP="00C50201">
      <w:pPr>
        <w:pStyle w:val="BodyText"/>
        <w:numPr>
          <w:ilvl w:val="0"/>
          <w:numId w:val="37"/>
        </w:numPr>
        <w:rPr>
          <w:lang w:val="en-US"/>
        </w:rPr>
      </w:pPr>
      <w:r>
        <w:rPr>
          <w:lang w:val="en-US"/>
        </w:rPr>
        <w:t xml:space="preserve">Proposed </w:t>
      </w:r>
      <w:proofErr w:type="spellStart"/>
      <w:r>
        <w:rPr>
          <w:lang w:val="en-US"/>
        </w:rPr>
        <w:t>signalling</w:t>
      </w:r>
      <w:proofErr w:type="spellEnd"/>
      <w:r>
        <w:rPr>
          <w:lang w:val="en-US"/>
        </w:rPr>
        <w:t xml:space="preserve"> method:</w:t>
      </w:r>
      <w:r w:rsidRPr="00C50201">
        <w:rPr>
          <w:lang w:val="en-US"/>
        </w:rPr>
        <w:t xml:space="preserve"> -0.16%</w:t>
      </w:r>
      <w:r>
        <w:rPr>
          <w:lang w:val="en-US"/>
        </w:rPr>
        <w:t>/</w:t>
      </w:r>
      <w:r w:rsidRPr="00C50201">
        <w:rPr>
          <w:lang w:val="en-US"/>
        </w:rPr>
        <w:t>0.01%</w:t>
      </w:r>
      <w:r>
        <w:rPr>
          <w:lang w:val="en-US"/>
        </w:rPr>
        <w:t>/</w:t>
      </w:r>
      <w:r w:rsidRPr="00C50201">
        <w:rPr>
          <w:lang w:val="en-US"/>
        </w:rPr>
        <w:t xml:space="preserve">0.12% </w:t>
      </w:r>
      <w:r>
        <w:rPr>
          <w:lang w:val="en-US"/>
        </w:rPr>
        <w:t>for AI/RA/LB</w:t>
      </w:r>
    </w:p>
    <w:p w14:paraId="340E5DFD" w14:textId="5C003FAE" w:rsidR="00C50201" w:rsidRDefault="00C50201" w:rsidP="00C50201">
      <w:pPr>
        <w:pStyle w:val="BodyText"/>
        <w:rPr>
          <w:lang w:val="en-US"/>
        </w:rPr>
      </w:pPr>
      <w:r>
        <w:rPr>
          <w:lang w:val="en-US"/>
        </w:rPr>
        <w:t xml:space="preserve">The proponent suggested that the main consideration of this proposal is to reflect the design intention, rather than obtaining coding performance gain. </w:t>
      </w:r>
    </w:p>
    <w:p w14:paraId="1097D0F4" w14:textId="6BFFF91A" w:rsidR="00C50201" w:rsidRDefault="00C50201" w:rsidP="00C50201">
      <w:pPr>
        <w:pStyle w:val="BodyText"/>
        <w:rPr>
          <w:lang w:val="en-US"/>
        </w:rPr>
      </w:pPr>
      <w:r>
        <w:rPr>
          <w:lang w:val="en-US"/>
        </w:rPr>
        <w:t xml:space="preserve">It was remarked that there is a related contribution JVET-M0113, which should be considered in </w:t>
      </w:r>
      <w:r w:rsidR="00BF23E2">
        <w:rPr>
          <w:lang w:val="en-US"/>
        </w:rPr>
        <w:t>combination with this contribution.</w:t>
      </w:r>
    </w:p>
    <w:p w14:paraId="2BBEE0B2" w14:textId="2B35269A" w:rsidR="005D270C" w:rsidRPr="007A28E0" w:rsidRDefault="005D270C" w:rsidP="005D270C">
      <w:pPr>
        <w:rPr>
          <w:lang w:eastAsia="de-DE"/>
        </w:rPr>
      </w:pPr>
      <w:r>
        <w:rPr>
          <w:lang w:eastAsia="de-DE"/>
        </w:rPr>
        <w:t xml:space="preserve">It was asked why there would be coding gain. The proponent responded that the VVC method </w:t>
      </w:r>
      <w:r w:rsidR="00DB03F8">
        <w:rPr>
          <w:lang w:eastAsia="de-DE"/>
        </w:rPr>
        <w:t>could result</w:t>
      </w:r>
      <w:r>
        <w:rPr>
          <w:lang w:eastAsia="de-DE"/>
        </w:rPr>
        <w:t xml:space="preserve"> in inconsistent QG sizes, which could cause redundant signaling of delta QP values.</w:t>
      </w:r>
    </w:p>
    <w:p w14:paraId="56043F00" w14:textId="6BF5BF4B" w:rsidR="005D270C" w:rsidRDefault="00B733BC" w:rsidP="00C50201">
      <w:pPr>
        <w:pStyle w:val="BodyText"/>
        <w:rPr>
          <w:lang w:val="en-US"/>
        </w:rPr>
      </w:pPr>
      <w:r>
        <w:rPr>
          <w:lang w:val="en-US"/>
        </w:rPr>
        <w:t xml:space="preserve">It was remarked that in terms of the simulation results, the VTM-3.0 </w:t>
      </w:r>
      <w:proofErr w:type="spellStart"/>
      <w:r>
        <w:rPr>
          <w:lang w:val="en-US"/>
        </w:rPr>
        <w:t>signalling</w:t>
      </w:r>
      <w:proofErr w:type="spellEnd"/>
      <w:r>
        <w:rPr>
          <w:lang w:val="en-US"/>
        </w:rPr>
        <w:t xml:space="preserve"> method and the proposed method are not signaling the same delta QP maps. Therefore, a direct comparison between the two is not appropriate. </w:t>
      </w:r>
      <w:r w:rsidR="00687314">
        <w:rPr>
          <w:lang w:val="en-US"/>
        </w:rPr>
        <w:t xml:space="preserve">However, the intention of the proposal is fulfilling the design intention rather than obtaining objective performance gains. </w:t>
      </w:r>
    </w:p>
    <w:p w14:paraId="3F42DDA5" w14:textId="3B0A2047" w:rsidR="00C874F3" w:rsidRDefault="00C50201" w:rsidP="00687314">
      <w:pPr>
        <w:pStyle w:val="BodyText"/>
        <w:rPr>
          <w:lang w:val="en-US"/>
        </w:rPr>
      </w:pPr>
      <w:r w:rsidRPr="00C50201">
        <w:rPr>
          <w:highlight w:val="yellow"/>
          <w:lang w:val="en-US"/>
        </w:rPr>
        <w:t>Recommendation</w:t>
      </w:r>
      <w:r>
        <w:rPr>
          <w:lang w:val="en-US"/>
        </w:rPr>
        <w:t xml:space="preserve">: </w:t>
      </w:r>
      <w:r w:rsidR="00687314">
        <w:rPr>
          <w:lang w:val="en-US"/>
        </w:rPr>
        <w:t xml:space="preserve">adopt </w:t>
      </w:r>
      <w:r w:rsidR="00C874F3">
        <w:rPr>
          <w:lang w:val="en-US"/>
        </w:rPr>
        <w:t>M0188/</w:t>
      </w:r>
      <w:r w:rsidR="00687314">
        <w:rPr>
          <w:lang w:val="en-US"/>
        </w:rPr>
        <w:t>M0113 (which are essentially the same).</w:t>
      </w:r>
      <w:r w:rsidR="006D18A9">
        <w:rPr>
          <w:lang w:val="en-US"/>
        </w:rPr>
        <w:t xml:space="preserve"> The proponents are encouraged to harmonize the suggested </w:t>
      </w:r>
      <w:r w:rsidR="00687314" w:rsidRPr="00687314">
        <w:rPr>
          <w:lang w:val="en-US"/>
        </w:rPr>
        <w:t>WD changes</w:t>
      </w:r>
      <w:r w:rsidR="006D18A9">
        <w:rPr>
          <w:lang w:val="en-US"/>
        </w:rPr>
        <w:t xml:space="preserve">, and the final decision should be </w:t>
      </w:r>
      <w:r w:rsidR="00C874F3">
        <w:rPr>
          <w:lang w:val="en-US"/>
        </w:rPr>
        <w:t>deferred to the</w:t>
      </w:r>
      <w:r w:rsidR="00687314" w:rsidRPr="00687314">
        <w:rPr>
          <w:lang w:val="en-US"/>
        </w:rPr>
        <w:t xml:space="preserve"> editor</w:t>
      </w:r>
      <w:r w:rsidR="00C874F3">
        <w:rPr>
          <w:lang w:val="en-US"/>
        </w:rPr>
        <w:t xml:space="preserve">s. </w:t>
      </w:r>
    </w:p>
    <w:p w14:paraId="07C63BDA" w14:textId="77777777" w:rsidR="00174240" w:rsidRDefault="00174240" w:rsidP="00174240">
      <w:pPr>
        <w:pStyle w:val="Heading9"/>
        <w:rPr>
          <w:rFonts w:eastAsia="Times New Roman"/>
          <w:szCs w:val="24"/>
          <w:lang w:val="en-CA" w:eastAsia="de-DE"/>
        </w:rPr>
      </w:pPr>
      <w:hyperlink r:id="rId14" w:history="1">
        <w:r w:rsidRPr="006561E8">
          <w:rPr>
            <w:rFonts w:eastAsia="Times New Roman"/>
            <w:color w:val="0000FF"/>
            <w:szCs w:val="24"/>
            <w:u w:val="single"/>
            <w:lang w:val="en-CA" w:eastAsia="de-DE"/>
          </w:rPr>
          <w:t>JVET-M0707</w:t>
        </w:r>
      </w:hyperlink>
      <w:r>
        <w:rPr>
          <w:rFonts w:eastAsia="Times New Roman"/>
          <w:szCs w:val="24"/>
          <w:lang w:val="en-CA" w:eastAsia="de-DE"/>
        </w:rPr>
        <w:t xml:space="preserve"> C</w:t>
      </w:r>
      <w:r w:rsidRPr="006561E8">
        <w:rPr>
          <w:rFonts w:eastAsia="Times New Roman"/>
          <w:szCs w:val="24"/>
          <w:lang w:val="en-CA" w:eastAsia="de-DE"/>
        </w:rPr>
        <w:t>rosscheck for JVET-M0188: CE7-related: On quantization parameter</w:t>
      </w:r>
      <w:r>
        <w:rPr>
          <w:rFonts w:eastAsia="Times New Roman"/>
          <w:szCs w:val="24"/>
          <w:lang w:val="en-CA" w:eastAsia="de-DE"/>
        </w:rPr>
        <w:t xml:space="preserve"> signalling considering CU area [</w:t>
      </w:r>
      <w:r w:rsidRPr="00C27F90">
        <w:rPr>
          <w:rFonts w:eastAsia="Times New Roman"/>
          <w:szCs w:val="24"/>
          <w:lang w:val="en-CA" w:eastAsia="de-DE"/>
        </w:rPr>
        <w:t>Y. Wang</w:t>
      </w:r>
      <w:r w:rsidRPr="006561E8">
        <w:rPr>
          <w:rFonts w:eastAsia="Times New Roman"/>
          <w:szCs w:val="24"/>
          <w:lang w:val="en-CA" w:eastAsia="de-DE"/>
        </w:rPr>
        <w:t xml:space="preserve">, </w:t>
      </w:r>
      <w:r w:rsidRPr="00C27F90">
        <w:rPr>
          <w:rFonts w:eastAsia="Times New Roman"/>
          <w:szCs w:val="24"/>
          <w:lang w:val="en-CA" w:eastAsia="de-DE"/>
        </w:rPr>
        <w:t>X. Xu (</w:t>
      </w:r>
      <w:proofErr w:type="spellStart"/>
      <w:r w:rsidRPr="00C27F90">
        <w:rPr>
          <w:rFonts w:eastAsia="Times New Roman"/>
          <w:szCs w:val="24"/>
          <w:lang w:val="en-CA" w:eastAsia="de-DE"/>
        </w:rPr>
        <w:t>Tencent</w:t>
      </w:r>
      <w:proofErr w:type="spellEnd"/>
      <w:r w:rsidRPr="00C27F90">
        <w:rPr>
          <w:rFonts w:eastAsia="Times New Roman"/>
          <w:szCs w:val="24"/>
          <w:lang w:val="en-CA" w:eastAsia="de-DE"/>
        </w:rPr>
        <w:t>)]</w:t>
      </w:r>
      <w:r>
        <w:rPr>
          <w:rFonts w:eastAsia="Times New Roman"/>
          <w:szCs w:val="24"/>
          <w:lang w:val="en-CA" w:eastAsia="de-DE"/>
        </w:rPr>
        <w:t xml:space="preserve"> [late] [miss]</w:t>
      </w:r>
    </w:p>
    <w:p w14:paraId="5AF2C487" w14:textId="77777777" w:rsidR="00174240" w:rsidRDefault="00174240" w:rsidP="00174240">
      <w:pPr>
        <w:pStyle w:val="BodyText"/>
      </w:pPr>
    </w:p>
    <w:p w14:paraId="2E6A60EF" w14:textId="77777777" w:rsidR="00174240" w:rsidRPr="007A28E0" w:rsidRDefault="00174240" w:rsidP="00174240">
      <w:pPr>
        <w:pStyle w:val="Heading9"/>
        <w:rPr>
          <w:rFonts w:eastAsia="Times New Roman"/>
          <w:szCs w:val="24"/>
          <w:lang w:val="en-CA" w:eastAsia="de-DE"/>
        </w:rPr>
      </w:pPr>
      <w:hyperlink r:id="rId15" w:history="1">
        <w:r w:rsidRPr="007A28E0">
          <w:rPr>
            <w:rFonts w:eastAsia="Times New Roman"/>
            <w:color w:val="0000FF"/>
            <w:szCs w:val="24"/>
            <w:u w:val="single"/>
            <w:lang w:val="en-CA" w:eastAsia="de-DE"/>
          </w:rPr>
          <w:t>JVET-M0113</w:t>
        </w:r>
      </w:hyperlink>
      <w:r w:rsidRPr="007A28E0">
        <w:rPr>
          <w:rFonts w:eastAsia="Times New Roman"/>
          <w:szCs w:val="24"/>
          <w:lang w:val="en-CA" w:eastAsia="de-DE"/>
        </w:rPr>
        <w:t xml:space="preserve"> CE7-related: Quantization Group size uniformity [P. de Lagrange, E. François, P. </w:t>
      </w:r>
      <w:proofErr w:type="spellStart"/>
      <w:r w:rsidRPr="007A28E0">
        <w:rPr>
          <w:rFonts w:eastAsia="Times New Roman"/>
          <w:szCs w:val="24"/>
          <w:lang w:val="en-CA" w:eastAsia="de-DE"/>
        </w:rPr>
        <w:t>Bordes</w:t>
      </w:r>
      <w:proofErr w:type="spellEnd"/>
      <w:r w:rsidRPr="007A28E0">
        <w:rPr>
          <w:rFonts w:eastAsia="Times New Roman"/>
          <w:szCs w:val="24"/>
          <w:lang w:val="en-CA" w:eastAsia="de-DE"/>
        </w:rPr>
        <w:t xml:space="preserve"> (Technicolor)]</w:t>
      </w:r>
    </w:p>
    <w:p w14:paraId="42158E43" w14:textId="78DA7305" w:rsidR="00174240" w:rsidRDefault="00CB7A81" w:rsidP="00174240">
      <w:pPr>
        <w:rPr>
          <w:lang w:val="en-CA"/>
        </w:rPr>
      </w:pPr>
      <w:r>
        <w:rPr>
          <w:lang w:val="en-CA"/>
        </w:rPr>
        <w:t xml:space="preserve">This contribution proposes modifications to the local QP adjustment signalling aiming at adapting the Quantization Groups (QGs) specification to the specificities of VVC compared to HEVC. More specifically, it is proposed to base QGs on block surface instead of split depth, by using a new inferred control parameter, named </w:t>
      </w:r>
      <w:r>
        <w:rPr>
          <w:i/>
          <w:lang w:val="en-CA"/>
        </w:rPr>
        <w:t>subdivision level</w:t>
      </w:r>
      <w:r>
        <w:rPr>
          <w:lang w:val="en-CA"/>
        </w:rPr>
        <w:t xml:space="preserve"> (</w:t>
      </w:r>
      <w:proofErr w:type="spellStart"/>
      <w:r>
        <w:rPr>
          <w:i/>
          <w:lang w:val="en-CA"/>
        </w:rPr>
        <w:t>subdiv</w:t>
      </w:r>
      <w:proofErr w:type="spellEnd"/>
      <w:r>
        <w:rPr>
          <w:lang w:val="en-CA"/>
        </w:rPr>
        <w:t xml:space="preserve"> parameter). In addition, to avoid inconsistent QGs detection, a new inferred QG control flag is also introduced. The modifications are expected to result in QGs that are more uniform in size. Corresponding draft text modifications are proposed.</w:t>
      </w:r>
    </w:p>
    <w:p w14:paraId="6F7B7B1A" w14:textId="60E8DE24" w:rsidR="00CB7A81" w:rsidRDefault="00CB7A81" w:rsidP="00174240">
      <w:pPr>
        <w:rPr>
          <w:lang w:eastAsia="de-DE"/>
        </w:rPr>
      </w:pPr>
    </w:p>
    <w:p w14:paraId="609F086E" w14:textId="2168F58A" w:rsidR="00A262D0" w:rsidRDefault="00A262D0" w:rsidP="00174240">
      <w:pPr>
        <w:rPr>
          <w:lang w:eastAsia="de-DE"/>
        </w:rPr>
      </w:pPr>
      <w:r>
        <w:rPr>
          <w:lang w:eastAsia="de-DE"/>
        </w:rPr>
        <w:lastRenderedPageBreak/>
        <w:t xml:space="preserve">This contribution aims to solve the same problem as reported in </w:t>
      </w:r>
      <w:proofErr w:type="gramStart"/>
      <w:r w:rsidR="00E21C7C">
        <w:rPr>
          <w:lang w:eastAsia="de-DE"/>
        </w:rPr>
        <w:t>M0188, that</w:t>
      </w:r>
      <w:proofErr w:type="gramEnd"/>
      <w:r w:rsidR="00E21C7C">
        <w:rPr>
          <w:lang w:eastAsia="de-DE"/>
        </w:rPr>
        <w:t xml:space="preserve"> is,</w:t>
      </w:r>
      <w:r>
        <w:rPr>
          <w:lang w:eastAsia="de-DE"/>
        </w:rPr>
        <w:t xml:space="preserve"> using the split depth to define QGs result</w:t>
      </w:r>
      <w:r w:rsidR="00E21C7C">
        <w:rPr>
          <w:lang w:eastAsia="de-DE"/>
        </w:rPr>
        <w:t>s</w:t>
      </w:r>
      <w:r>
        <w:rPr>
          <w:lang w:eastAsia="de-DE"/>
        </w:rPr>
        <w:t xml:space="preserve"> in QGs with very different sizes</w:t>
      </w:r>
      <w:r w:rsidR="00E21C7C">
        <w:rPr>
          <w:lang w:eastAsia="de-DE"/>
        </w:rPr>
        <w:t xml:space="preserve"> and is not consistent with the design intention. </w:t>
      </w:r>
    </w:p>
    <w:p w14:paraId="52A06E99" w14:textId="10B07467" w:rsidR="006B213F" w:rsidRDefault="006B213F" w:rsidP="00174240">
      <w:pPr>
        <w:rPr>
          <w:lang w:eastAsia="de-DE"/>
        </w:rPr>
      </w:pPr>
      <w:r>
        <w:rPr>
          <w:lang w:eastAsia="de-DE"/>
        </w:rPr>
        <w:t xml:space="preserve">This contribution proposes to introduce a new coding block property called “subdivision level” </w:t>
      </w:r>
      <w:r w:rsidR="003A46E5">
        <w:rPr>
          <w:lang w:eastAsia="de-DE"/>
        </w:rPr>
        <w:t>(</w:t>
      </w:r>
      <w:proofErr w:type="spellStart"/>
      <w:r w:rsidR="003A46E5">
        <w:rPr>
          <w:lang w:eastAsia="de-DE"/>
        </w:rPr>
        <w:t>subdiv</w:t>
      </w:r>
      <w:proofErr w:type="spellEnd"/>
      <w:r w:rsidR="003A46E5">
        <w:rPr>
          <w:lang w:eastAsia="de-DE"/>
        </w:rPr>
        <w:t xml:space="preserve">) </w:t>
      </w:r>
      <w:r>
        <w:rPr>
          <w:lang w:eastAsia="de-DE"/>
        </w:rPr>
        <w:t xml:space="preserve">which can be derived based on the split type and the </w:t>
      </w:r>
      <w:proofErr w:type="spellStart"/>
      <w:r>
        <w:rPr>
          <w:lang w:eastAsia="de-DE"/>
        </w:rPr>
        <w:t>subpartition</w:t>
      </w:r>
      <w:proofErr w:type="spellEnd"/>
      <w:r>
        <w:rPr>
          <w:lang w:eastAsia="de-DE"/>
        </w:rPr>
        <w:t xml:space="preserve"> position. This</w:t>
      </w:r>
      <w:r w:rsidR="003A46E5">
        <w:rPr>
          <w:lang w:eastAsia="de-DE"/>
        </w:rPr>
        <w:t xml:space="preserve"> </w:t>
      </w:r>
      <w:proofErr w:type="spellStart"/>
      <w:r w:rsidR="003A46E5">
        <w:rPr>
          <w:lang w:eastAsia="de-DE"/>
        </w:rPr>
        <w:t>subdiv</w:t>
      </w:r>
      <w:proofErr w:type="spellEnd"/>
      <w:r>
        <w:rPr>
          <w:lang w:eastAsia="de-DE"/>
        </w:rPr>
        <w:t xml:space="preserve"> property </w:t>
      </w:r>
      <w:r w:rsidR="003A46E5">
        <w:rPr>
          <w:lang w:eastAsia="de-DE"/>
        </w:rPr>
        <w:t xml:space="preserve">is then used to </w:t>
      </w:r>
      <w:r>
        <w:rPr>
          <w:lang w:eastAsia="de-DE"/>
        </w:rPr>
        <w:t xml:space="preserve">derive a block surface </w:t>
      </w:r>
      <w:r w:rsidR="003A46E5">
        <w:rPr>
          <w:lang w:eastAsia="de-DE"/>
        </w:rPr>
        <w:t xml:space="preserve">value. It is further reported that </w:t>
      </w:r>
      <w:proofErr w:type="spellStart"/>
      <w:r w:rsidR="003A46E5">
        <w:rPr>
          <w:lang w:eastAsia="de-DE"/>
        </w:rPr>
        <w:t>subdiv</w:t>
      </w:r>
      <w:proofErr w:type="spellEnd"/>
      <w:r w:rsidR="003A46E5">
        <w:rPr>
          <w:lang w:eastAsia="de-DE"/>
        </w:rPr>
        <w:t xml:space="preserve"> c</w:t>
      </w:r>
      <w:r>
        <w:rPr>
          <w:lang w:eastAsia="de-DE"/>
        </w:rPr>
        <w:t>an be potentially used for other purposes, such as CABAC context for split type coding.</w:t>
      </w:r>
    </w:p>
    <w:p w14:paraId="6E564CF3" w14:textId="5BC2D5BF" w:rsidR="003A46E5" w:rsidRDefault="003A46E5" w:rsidP="00174240">
      <w:pPr>
        <w:rPr>
          <w:lang w:eastAsia="de-DE"/>
        </w:rPr>
      </w:pPr>
      <w:r>
        <w:rPr>
          <w:lang w:eastAsia="de-DE"/>
        </w:rPr>
        <w:t xml:space="preserve">For QG definition, it is proposed to replace split depth limit in VVC with </w:t>
      </w:r>
      <w:proofErr w:type="spellStart"/>
      <w:r>
        <w:rPr>
          <w:lang w:eastAsia="de-DE"/>
        </w:rPr>
        <w:t>subdiv</w:t>
      </w:r>
      <w:proofErr w:type="spellEnd"/>
      <w:r>
        <w:rPr>
          <w:lang w:eastAsia="de-DE"/>
        </w:rPr>
        <w:t xml:space="preserve"> limit. </w:t>
      </w:r>
    </w:p>
    <w:p w14:paraId="5C8ED8E0" w14:textId="3748A000" w:rsidR="003A46E5" w:rsidRDefault="003A46E5" w:rsidP="00174240">
      <w:pPr>
        <w:rPr>
          <w:lang w:eastAsia="de-DE"/>
        </w:rPr>
      </w:pPr>
      <w:r>
        <w:rPr>
          <w:lang w:eastAsia="de-DE"/>
        </w:rPr>
        <w:t xml:space="preserve">In order to fix some problems due to TT splitting, the contribution proposes to introduce a new parameter </w:t>
      </w:r>
      <w:proofErr w:type="spellStart"/>
      <w:r>
        <w:rPr>
          <w:lang w:eastAsia="de-DE"/>
        </w:rPr>
        <w:t>qgEnable</w:t>
      </w:r>
      <w:proofErr w:type="spellEnd"/>
      <w:r>
        <w:rPr>
          <w:lang w:eastAsia="de-DE"/>
        </w:rPr>
        <w:t xml:space="preserve"> to be used in QG start detection condition. </w:t>
      </w:r>
    </w:p>
    <w:p w14:paraId="6E4B11D4" w14:textId="332344D9" w:rsidR="003A46E5" w:rsidRPr="003A46E5" w:rsidRDefault="003A46E5" w:rsidP="003A46E5">
      <w:pPr>
        <w:rPr>
          <w:lang w:eastAsia="de-DE"/>
        </w:rPr>
      </w:pPr>
      <w:r>
        <w:rPr>
          <w:lang w:eastAsia="de-DE"/>
        </w:rPr>
        <w:t xml:space="preserve">Another aspect of this contribution introduces some change to the </w:t>
      </w:r>
      <w:r w:rsidRPr="003A46E5">
        <w:rPr>
          <w:lang w:eastAsia="de-DE"/>
        </w:rPr>
        <w:t xml:space="preserve">logic of </w:t>
      </w:r>
      <w:proofErr w:type="spellStart"/>
      <w:r w:rsidRPr="003A46E5">
        <w:rPr>
          <w:lang w:eastAsia="de-DE"/>
        </w:rPr>
        <w:t>IsCuQpDeltaCoded</w:t>
      </w:r>
      <w:proofErr w:type="spellEnd"/>
      <w:r>
        <w:rPr>
          <w:lang w:eastAsia="de-DE"/>
        </w:rPr>
        <w:t xml:space="preserve">, but the proponent suggested that the change is editorial.  </w:t>
      </w:r>
    </w:p>
    <w:p w14:paraId="64ECF230" w14:textId="590E7178" w:rsidR="006B213F" w:rsidRDefault="0056268E" w:rsidP="00174240">
      <w:pPr>
        <w:rPr>
          <w:lang w:eastAsia="de-DE"/>
        </w:rPr>
      </w:pPr>
      <w:r>
        <w:rPr>
          <w:lang w:eastAsia="de-DE"/>
        </w:rPr>
        <w:t xml:space="preserve">It was agreed that this contribution also achieves the goal of defining QGs with consistent area. </w:t>
      </w:r>
    </w:p>
    <w:p w14:paraId="1A23EC07" w14:textId="6C4168BE" w:rsidR="005D270C" w:rsidRDefault="005D270C" w:rsidP="00174240">
      <w:pPr>
        <w:rPr>
          <w:lang w:eastAsia="de-DE"/>
        </w:rPr>
      </w:pPr>
      <w:r>
        <w:rPr>
          <w:lang w:eastAsia="de-DE"/>
        </w:rPr>
        <w:t xml:space="preserve">It was remarked that this contribution proposes essentially the same solution as in M0188. </w:t>
      </w:r>
    </w:p>
    <w:p w14:paraId="2F57FA3D" w14:textId="77777777" w:rsidR="00DB03F8" w:rsidRDefault="005D270C" w:rsidP="00174240">
      <w:pPr>
        <w:rPr>
          <w:lang w:eastAsia="de-DE"/>
        </w:rPr>
      </w:pPr>
      <w:r>
        <w:rPr>
          <w:lang w:eastAsia="de-DE"/>
        </w:rPr>
        <w:t xml:space="preserve">It was remarked that this contribution and M0188 both provided WD text changes in their </w:t>
      </w:r>
      <w:r w:rsidR="00DB03F8">
        <w:rPr>
          <w:lang w:eastAsia="de-DE"/>
        </w:rPr>
        <w:t>contribution</w:t>
      </w:r>
      <w:r>
        <w:rPr>
          <w:lang w:eastAsia="de-DE"/>
        </w:rPr>
        <w:t xml:space="preserve"> package</w:t>
      </w:r>
      <w:r w:rsidR="00DB03F8">
        <w:rPr>
          <w:lang w:eastAsia="de-DE"/>
        </w:rPr>
        <w:t>s</w:t>
      </w:r>
      <w:r>
        <w:rPr>
          <w:lang w:eastAsia="de-DE"/>
        </w:rPr>
        <w:t xml:space="preserve">. </w:t>
      </w:r>
    </w:p>
    <w:p w14:paraId="245C35B0" w14:textId="1AB709EB" w:rsidR="005D270C" w:rsidRDefault="00DB03F8" w:rsidP="00174240">
      <w:pPr>
        <w:rPr>
          <w:lang w:eastAsia="de-DE"/>
        </w:rPr>
      </w:pPr>
      <w:r>
        <w:rPr>
          <w:lang w:eastAsia="de-DE"/>
        </w:rPr>
        <w:t xml:space="preserve">This contribution replaces an existing syntax element with a new one, and makes changes to </w:t>
      </w:r>
      <w:r w:rsidR="00EB153C">
        <w:rPr>
          <w:lang w:eastAsia="de-DE"/>
        </w:rPr>
        <w:t>5</w:t>
      </w:r>
      <w:r>
        <w:rPr>
          <w:lang w:eastAsia="de-DE"/>
        </w:rPr>
        <w:t xml:space="preserve"> syntax structures. </w:t>
      </w:r>
    </w:p>
    <w:p w14:paraId="27F54304" w14:textId="0B84A490" w:rsidR="00DB03F8" w:rsidRDefault="00DB03F8" w:rsidP="00174240">
      <w:pPr>
        <w:rPr>
          <w:lang w:eastAsia="de-DE"/>
        </w:rPr>
      </w:pPr>
      <w:r>
        <w:rPr>
          <w:lang w:eastAsia="de-DE"/>
        </w:rPr>
        <w:t>In comparison, M0188 has no syntax element change</w:t>
      </w:r>
      <w:r w:rsidR="00EB153C">
        <w:rPr>
          <w:lang w:eastAsia="de-DE"/>
        </w:rPr>
        <w:t>, and makes changes to 4</w:t>
      </w:r>
      <w:r>
        <w:rPr>
          <w:lang w:eastAsia="de-DE"/>
        </w:rPr>
        <w:t xml:space="preserve"> syntax structures. </w:t>
      </w:r>
    </w:p>
    <w:p w14:paraId="304DA59A" w14:textId="18A08E8B" w:rsidR="00DB03F8" w:rsidRDefault="00EB153C" w:rsidP="00174240">
      <w:pPr>
        <w:rPr>
          <w:lang w:eastAsia="de-DE"/>
        </w:rPr>
      </w:pPr>
      <w:r>
        <w:rPr>
          <w:lang w:eastAsia="de-DE"/>
        </w:rPr>
        <w:t xml:space="preserve">It was remarked that the logics are essentially the same between the two contributions. </w:t>
      </w:r>
    </w:p>
    <w:p w14:paraId="6289198D" w14:textId="3B5C24F1" w:rsidR="00EB153C" w:rsidRDefault="00EB153C" w:rsidP="00174240">
      <w:pPr>
        <w:rPr>
          <w:lang w:eastAsia="de-DE"/>
        </w:rPr>
      </w:pPr>
      <w:r>
        <w:rPr>
          <w:lang w:eastAsia="de-DE"/>
        </w:rPr>
        <w:t xml:space="preserve">It was asked if the proposed methods have any limitations to what </w:t>
      </w:r>
      <w:r w:rsidR="000953F8">
        <w:rPr>
          <w:lang w:eastAsia="de-DE"/>
        </w:rPr>
        <w:t>kind of QGs they could define c</w:t>
      </w:r>
      <w:r>
        <w:rPr>
          <w:lang w:eastAsia="de-DE"/>
        </w:rPr>
        <w:t xml:space="preserve">ompared to the current design. In other words, is there a case where the current design can </w:t>
      </w:r>
      <w:r w:rsidR="000953F8">
        <w:rPr>
          <w:lang w:eastAsia="de-DE"/>
        </w:rPr>
        <w:t>define a QG and signal a delta QP for that</w:t>
      </w:r>
      <w:r>
        <w:rPr>
          <w:lang w:eastAsia="de-DE"/>
        </w:rPr>
        <w:t xml:space="preserve"> QG, but the proposed method would not be able to define a QG for which a delta QP could be </w:t>
      </w:r>
      <w:proofErr w:type="spellStart"/>
      <w:r>
        <w:rPr>
          <w:lang w:eastAsia="de-DE"/>
        </w:rPr>
        <w:t>signa</w:t>
      </w:r>
      <w:r w:rsidR="000953F8">
        <w:rPr>
          <w:lang w:eastAsia="de-DE"/>
        </w:rPr>
        <w:t>l</w:t>
      </w:r>
      <w:r>
        <w:rPr>
          <w:lang w:eastAsia="de-DE"/>
        </w:rPr>
        <w:t>led</w:t>
      </w:r>
      <w:proofErr w:type="spellEnd"/>
      <w:r>
        <w:rPr>
          <w:lang w:eastAsia="de-DE"/>
        </w:rPr>
        <w:t xml:space="preserve">. </w:t>
      </w:r>
      <w:r w:rsidR="00032E98">
        <w:rPr>
          <w:lang w:eastAsia="de-DE"/>
        </w:rPr>
        <w:t>The proponents suggested that</w:t>
      </w:r>
      <w:r w:rsidR="00B733BC">
        <w:rPr>
          <w:lang w:eastAsia="de-DE"/>
        </w:rPr>
        <w:t xml:space="preserve"> such limitation did not exist because the QG granularity can be controlled using the proposed methods. </w:t>
      </w:r>
    </w:p>
    <w:p w14:paraId="30E23E5D" w14:textId="5DCF0547" w:rsidR="00EB153C" w:rsidRDefault="00EB153C" w:rsidP="00174240">
      <w:pPr>
        <w:rPr>
          <w:lang w:eastAsia="de-DE"/>
        </w:rPr>
      </w:pPr>
      <w:r>
        <w:rPr>
          <w:lang w:eastAsia="de-DE"/>
        </w:rPr>
        <w:t>How the WD changes should be</w:t>
      </w:r>
      <w:r w:rsidR="00D74950">
        <w:rPr>
          <w:lang w:eastAsia="de-DE"/>
        </w:rPr>
        <w:t xml:space="preserve"> implemented may be the editors’</w:t>
      </w:r>
      <w:r>
        <w:rPr>
          <w:lang w:eastAsia="de-DE"/>
        </w:rPr>
        <w:t xml:space="preserve"> decision. </w:t>
      </w:r>
    </w:p>
    <w:p w14:paraId="1768C288" w14:textId="7EE73BEE" w:rsidR="00EB153C" w:rsidRDefault="00687314" w:rsidP="00174240">
      <w:pPr>
        <w:rPr>
          <w:lang w:eastAsia="de-DE"/>
        </w:rPr>
      </w:pPr>
      <w:r w:rsidRPr="00C50201">
        <w:rPr>
          <w:highlight w:val="yellow"/>
        </w:rPr>
        <w:t>Recommendation</w:t>
      </w:r>
      <w:r>
        <w:t>: see notes under M0188</w:t>
      </w:r>
    </w:p>
    <w:p w14:paraId="4FFF6739" w14:textId="77777777" w:rsidR="00174240" w:rsidRPr="007A28E0" w:rsidRDefault="00174240" w:rsidP="00174240">
      <w:pPr>
        <w:pStyle w:val="Heading9"/>
        <w:rPr>
          <w:rFonts w:eastAsia="Times New Roman"/>
          <w:szCs w:val="24"/>
          <w:lang w:val="en-CA" w:eastAsia="de-DE"/>
        </w:rPr>
      </w:pPr>
      <w:hyperlink r:id="rId16" w:history="1">
        <w:r w:rsidRPr="007A28E0">
          <w:rPr>
            <w:rFonts w:eastAsia="Times New Roman"/>
            <w:color w:val="0000FF"/>
            <w:szCs w:val="24"/>
            <w:u w:val="single"/>
            <w:lang w:val="en-CA" w:eastAsia="de-DE"/>
          </w:rPr>
          <w:t>JVET-M0114</w:t>
        </w:r>
      </w:hyperlink>
      <w:r w:rsidRPr="007A28E0">
        <w:rPr>
          <w:rFonts w:eastAsia="Times New Roman"/>
          <w:szCs w:val="24"/>
          <w:lang w:val="en-CA" w:eastAsia="de-DE"/>
        </w:rPr>
        <w:t xml:space="preserve"> CE7-related: implicit QP-offset based on block size [P. de Lagrange, E. François, F. Le </w:t>
      </w:r>
      <w:proofErr w:type="spellStart"/>
      <w:r w:rsidRPr="007A28E0">
        <w:rPr>
          <w:rFonts w:eastAsia="Times New Roman"/>
          <w:szCs w:val="24"/>
          <w:lang w:val="en-CA" w:eastAsia="de-DE"/>
        </w:rPr>
        <w:t>Léannec</w:t>
      </w:r>
      <w:proofErr w:type="spellEnd"/>
      <w:r w:rsidRPr="007A28E0">
        <w:rPr>
          <w:rFonts w:eastAsia="Times New Roman"/>
          <w:szCs w:val="24"/>
          <w:lang w:val="en-CA" w:eastAsia="de-DE"/>
        </w:rPr>
        <w:t xml:space="preserve"> (Technicolor)]</w:t>
      </w:r>
    </w:p>
    <w:p w14:paraId="5597974E" w14:textId="77777777" w:rsidR="00C226E5" w:rsidRDefault="00C226E5" w:rsidP="00C226E5">
      <w:pPr>
        <w:rPr>
          <w:lang w:val="en-CA"/>
        </w:rPr>
      </w:pPr>
      <w:r>
        <w:rPr>
          <w:lang w:val="en-CA"/>
        </w:rPr>
        <w:t>This contribution proposes to add an implicit Quantization Parameter (QP) offset based on block size, to leverage anticipated correlation between block size and QP. It is reported that the approach can help improving the local QP adaptation granularity without significant increase in bit cost. Corresponding modifications to draft text are proposed.</w:t>
      </w:r>
    </w:p>
    <w:p w14:paraId="1427C91B" w14:textId="7DE02ECC" w:rsidR="00174240" w:rsidRDefault="00174240" w:rsidP="00174240">
      <w:pPr>
        <w:pStyle w:val="BodyText"/>
      </w:pPr>
    </w:p>
    <w:p w14:paraId="28D23FBC" w14:textId="7C9F23FD" w:rsidR="005D79F9" w:rsidRDefault="00D74950" w:rsidP="00D74950">
      <w:pPr>
        <w:pStyle w:val="BodyText"/>
      </w:pPr>
      <w:r>
        <w:t>This contribution proposes to signal a table</w:t>
      </w:r>
      <w:r w:rsidRPr="00D74950">
        <w:t xml:space="preserve"> of QP offsets</w:t>
      </w:r>
      <w:r>
        <w:t xml:space="preserve"> for different block sizes</w:t>
      </w:r>
      <w:r w:rsidR="005D79F9">
        <w:t>. It is proposed to order the table entries in</w:t>
      </w:r>
      <w:r w:rsidR="00025C51">
        <w:t xml:space="preserve"> an ascending order according to the </w:t>
      </w:r>
      <w:r w:rsidR="005D79F9">
        <w:t>block sizes.</w:t>
      </w:r>
    </w:p>
    <w:p w14:paraId="2923B7A0" w14:textId="6FADD477" w:rsidR="00D74950" w:rsidRDefault="00D74950" w:rsidP="00D74950">
      <w:pPr>
        <w:pStyle w:val="BodyText"/>
      </w:pPr>
      <w:r>
        <w:t xml:space="preserve">Such a table could be signaled at the </w:t>
      </w:r>
      <w:r w:rsidRPr="00D74950">
        <w:t>picture level</w:t>
      </w:r>
      <w:r>
        <w:t>. An implicit QP offset for the current CU may be derived based on the QP offset table and the size of the current CU. QP prediction is not affected in this proposal.</w:t>
      </w:r>
    </w:p>
    <w:p w14:paraId="60173D1A" w14:textId="6B357D24" w:rsidR="00956525" w:rsidRDefault="00956525" w:rsidP="00956525">
      <w:pPr>
        <w:pStyle w:val="BodyText"/>
        <w:rPr>
          <w:lang w:val="en-US"/>
        </w:rPr>
      </w:pPr>
      <w:r>
        <w:t xml:space="preserve">It is also proposed to have a hard-coded scaling factor table in the standard. At the CTU-level, a </w:t>
      </w:r>
      <w:r>
        <w:rPr>
          <w:lang w:val="en-US"/>
        </w:rPr>
        <w:t xml:space="preserve">scaling </w:t>
      </w:r>
      <w:r>
        <w:rPr>
          <w:lang w:val="en-US"/>
        </w:rPr>
        <w:t xml:space="preserve">index is proposed to be signaled. The scaling index is used to look up a scaling factor for the current CTU from the scaling factor table. It is proposed to use the scaling factor for the current CTU to scale the picture-level block-size-based QP offset table. </w:t>
      </w:r>
    </w:p>
    <w:p w14:paraId="479EC1D3" w14:textId="1733EC62" w:rsidR="00956525" w:rsidRDefault="00956525" w:rsidP="00AA0E8E">
      <w:pPr>
        <w:pStyle w:val="BodyText"/>
        <w:rPr>
          <w:lang w:val="en-US"/>
        </w:rPr>
      </w:pPr>
      <w:r>
        <w:rPr>
          <w:lang w:val="en-US"/>
        </w:rPr>
        <w:t>It was remarked that this method seems a bit “fancy” and some justifications for using this proposed scheme should be provided, for example, in terms of signaling overhead reduction.</w:t>
      </w:r>
    </w:p>
    <w:p w14:paraId="3E0035C8" w14:textId="369E49DE" w:rsidR="00532D2F" w:rsidRDefault="00532D2F" w:rsidP="00AA0E8E">
      <w:pPr>
        <w:pStyle w:val="BodyText"/>
        <w:rPr>
          <w:lang w:val="en-US"/>
        </w:rPr>
      </w:pPr>
      <w:r>
        <w:rPr>
          <w:lang w:val="en-US"/>
        </w:rPr>
        <w:lastRenderedPageBreak/>
        <w:t xml:space="preserve">It was asked how </w:t>
      </w:r>
      <w:proofErr w:type="spellStart"/>
      <w:r>
        <w:rPr>
          <w:lang w:val="en-US"/>
        </w:rPr>
        <w:t>chroma</w:t>
      </w:r>
      <w:proofErr w:type="spellEnd"/>
      <w:r>
        <w:rPr>
          <w:lang w:val="en-US"/>
        </w:rPr>
        <w:t xml:space="preserve"> should be handled. The proponent responded that this could be more complicated for </w:t>
      </w:r>
      <w:proofErr w:type="spellStart"/>
      <w:r>
        <w:rPr>
          <w:lang w:val="en-US"/>
        </w:rPr>
        <w:t>chroma</w:t>
      </w:r>
      <w:proofErr w:type="spellEnd"/>
      <w:r>
        <w:rPr>
          <w:lang w:val="en-US"/>
        </w:rPr>
        <w:t xml:space="preserve"> since there is</w:t>
      </w:r>
      <w:r w:rsidR="009B6DDB">
        <w:rPr>
          <w:lang w:val="en-US"/>
        </w:rPr>
        <w:t xml:space="preserve"> a QP mapping table for </w:t>
      </w:r>
      <w:proofErr w:type="spellStart"/>
      <w:r w:rsidR="009B6DDB">
        <w:rPr>
          <w:lang w:val="en-US"/>
        </w:rPr>
        <w:t>chroma</w:t>
      </w:r>
      <w:proofErr w:type="spellEnd"/>
      <w:r w:rsidR="009B6DDB">
        <w:rPr>
          <w:lang w:val="en-US"/>
        </w:rPr>
        <w:t xml:space="preserve">, and therefore it might be more desirable to only apply this </w:t>
      </w:r>
      <w:r w:rsidR="00A22D37">
        <w:rPr>
          <w:lang w:val="en-US"/>
        </w:rPr>
        <w:t xml:space="preserve">signaling </w:t>
      </w:r>
      <w:r w:rsidR="009B6DDB">
        <w:rPr>
          <w:lang w:val="en-US"/>
        </w:rPr>
        <w:t xml:space="preserve">method to </w:t>
      </w:r>
      <w:proofErr w:type="spellStart"/>
      <w:r w:rsidR="009B6DDB">
        <w:rPr>
          <w:lang w:val="en-US"/>
        </w:rPr>
        <w:t>luma</w:t>
      </w:r>
      <w:proofErr w:type="spellEnd"/>
      <w:r w:rsidR="009B6DDB">
        <w:rPr>
          <w:lang w:val="en-US"/>
        </w:rPr>
        <w:t xml:space="preserve">. </w:t>
      </w:r>
    </w:p>
    <w:p w14:paraId="7184A13D" w14:textId="5EBF570E" w:rsidR="00A21038" w:rsidRDefault="00A21038" w:rsidP="00AA0E8E">
      <w:pPr>
        <w:pStyle w:val="BodyText"/>
        <w:rPr>
          <w:lang w:val="en-US"/>
        </w:rPr>
      </w:pPr>
      <w:r>
        <w:rPr>
          <w:lang w:val="en-US"/>
        </w:rPr>
        <w:t xml:space="preserve">The proponent </w:t>
      </w:r>
      <w:r w:rsidR="0095362C">
        <w:rPr>
          <w:lang w:val="en-US"/>
        </w:rPr>
        <w:t>was</w:t>
      </w:r>
      <w:r>
        <w:rPr>
          <w:lang w:val="en-US"/>
        </w:rPr>
        <w:t xml:space="preserve"> encouraged to bring some evidence </w:t>
      </w:r>
      <w:r w:rsidR="00234935">
        <w:rPr>
          <w:lang w:val="en-US"/>
        </w:rPr>
        <w:t>to show the</w:t>
      </w:r>
      <w:r>
        <w:rPr>
          <w:lang w:val="en-US"/>
        </w:rPr>
        <w:t xml:space="preserve"> potential benefit of the proposed scheme. </w:t>
      </w:r>
    </w:p>
    <w:p w14:paraId="45E9C1F0" w14:textId="682D98EA" w:rsidR="0016143C" w:rsidRDefault="0016143C" w:rsidP="00AA0E8E">
      <w:pPr>
        <w:pStyle w:val="BodyText"/>
        <w:rPr>
          <w:lang w:val="en-US"/>
        </w:rPr>
      </w:pPr>
      <w:r w:rsidRPr="0016143C">
        <w:rPr>
          <w:highlight w:val="yellow"/>
          <w:lang w:val="en-US"/>
        </w:rPr>
        <w:t>Recommendation</w:t>
      </w:r>
      <w:r>
        <w:rPr>
          <w:lang w:val="en-US"/>
        </w:rPr>
        <w:t xml:space="preserve">: </w:t>
      </w:r>
      <w:r w:rsidR="0095362C">
        <w:rPr>
          <w:lang w:val="en-US"/>
        </w:rPr>
        <w:t>no action.</w:t>
      </w:r>
    </w:p>
    <w:p w14:paraId="75C4B272" w14:textId="20A3CCB2" w:rsidR="00AA0E8E" w:rsidRPr="00AA0E8E" w:rsidRDefault="00AA0E8E" w:rsidP="00AA0E8E">
      <w:pPr>
        <w:pStyle w:val="BodyText"/>
        <w:rPr>
          <w:lang w:val="en-US"/>
        </w:rPr>
      </w:pPr>
    </w:p>
    <w:p w14:paraId="555ACAA7" w14:textId="78337604" w:rsidR="00174240" w:rsidRPr="007A28E0" w:rsidRDefault="00174240" w:rsidP="00174240">
      <w:pPr>
        <w:pStyle w:val="Heading9"/>
        <w:rPr>
          <w:rFonts w:eastAsia="Times New Roman"/>
          <w:szCs w:val="24"/>
          <w:lang w:val="en-CA" w:eastAsia="de-DE"/>
        </w:rPr>
      </w:pPr>
      <w:hyperlink r:id="rId17" w:history="1">
        <w:r w:rsidRPr="007A28E0">
          <w:rPr>
            <w:rFonts w:eastAsia="Times New Roman"/>
            <w:color w:val="0000FF"/>
            <w:szCs w:val="24"/>
            <w:u w:val="single"/>
            <w:lang w:val="en-CA" w:eastAsia="de-DE"/>
          </w:rPr>
          <w:t>JVET-M0119</w:t>
        </w:r>
      </w:hyperlink>
      <w:r w:rsidRPr="007A28E0">
        <w:rPr>
          <w:rFonts w:eastAsia="Times New Roman"/>
          <w:szCs w:val="24"/>
          <w:lang w:val="en-CA" w:eastAsia="de-DE"/>
        </w:rPr>
        <w:t xml:space="preserve"> CE7-related: Modified </w:t>
      </w:r>
      <w:proofErr w:type="spellStart"/>
      <w:r w:rsidRPr="007A28E0">
        <w:rPr>
          <w:rFonts w:eastAsia="Times New Roman"/>
          <w:szCs w:val="24"/>
          <w:lang w:val="en-CA" w:eastAsia="de-DE"/>
        </w:rPr>
        <w:t>dequantization</w:t>
      </w:r>
      <w:proofErr w:type="spellEnd"/>
      <w:r w:rsidRPr="007A28E0">
        <w:rPr>
          <w:rFonts w:eastAsia="Times New Roman"/>
          <w:szCs w:val="24"/>
          <w:lang w:val="en-CA" w:eastAsia="de-DE"/>
        </w:rPr>
        <w:t xml:space="preserve"> scaling [K. Sharman, S. Keating (Sony)]</w:t>
      </w:r>
    </w:p>
    <w:p w14:paraId="54568591" w14:textId="77777777" w:rsidR="00C226E5" w:rsidRDefault="00C226E5" w:rsidP="00C226E5">
      <w:pPr>
        <w:rPr>
          <w:szCs w:val="22"/>
          <w:lang w:val="en-CA"/>
        </w:rPr>
      </w:pPr>
      <w:r>
        <w:rPr>
          <w:szCs w:val="22"/>
          <w:lang w:val="en-CA"/>
        </w:rPr>
        <w:t>In VVC WD3, when the size of a transform block is not a power of 4, the transform coefficients are modified by a √2 factor, to compensate for an implicit scaling by the transform process.</w:t>
      </w:r>
    </w:p>
    <w:p w14:paraId="164EF63A" w14:textId="77777777" w:rsidR="00C226E5" w:rsidRDefault="00C226E5" w:rsidP="00C226E5">
      <w:pPr>
        <w:rPr>
          <w:szCs w:val="22"/>
          <w:lang w:val="en-CA"/>
        </w:rPr>
      </w:pPr>
      <w:r>
        <w:rPr>
          <w:szCs w:val="22"/>
          <w:lang w:val="en-CA"/>
        </w:rPr>
        <w:t xml:space="preserve">It is proposed that the scaling be applied by a modification to the QP rather than by multiplication by 181/256 (or 181/128). In addition it is proposed that the adjustment is not applied in the </w:t>
      </w:r>
      <w:proofErr w:type="spellStart"/>
      <w:r>
        <w:rPr>
          <w:szCs w:val="22"/>
          <w:lang w:val="en-CA"/>
        </w:rPr>
        <w:t>dequantization</w:t>
      </w:r>
      <w:proofErr w:type="spellEnd"/>
      <w:r>
        <w:rPr>
          <w:szCs w:val="22"/>
          <w:lang w:val="en-CA"/>
        </w:rPr>
        <w:t xml:space="preserve"> process to transform skip blocks to be subsequently removed by explicit scaling during the inverse transform skip process.</w:t>
      </w:r>
    </w:p>
    <w:p w14:paraId="6E48CDC8" w14:textId="77777777" w:rsidR="00C226E5" w:rsidRDefault="00C226E5" w:rsidP="00C226E5">
      <w:pPr>
        <w:rPr>
          <w:szCs w:val="22"/>
          <w:lang w:val="en-CA"/>
        </w:rPr>
      </w:pPr>
      <w:r>
        <w:rPr>
          <w:szCs w:val="22"/>
          <w:lang w:val="en-CA"/>
        </w:rPr>
        <w:t>The proposal reportedly produces negligible BD-rate changes. It is independent, but related to JVET-L0095.</w:t>
      </w:r>
    </w:p>
    <w:p w14:paraId="171D4B34" w14:textId="77777777" w:rsidR="00174240" w:rsidRPr="007A28E0" w:rsidRDefault="00174240" w:rsidP="00174240">
      <w:pPr>
        <w:pStyle w:val="BodyText"/>
      </w:pPr>
    </w:p>
    <w:p w14:paraId="59DAB7E5" w14:textId="77777777" w:rsidR="00174240" w:rsidRPr="007A28E0" w:rsidRDefault="00174240" w:rsidP="00174240">
      <w:pPr>
        <w:pStyle w:val="Heading9"/>
        <w:rPr>
          <w:rFonts w:eastAsia="Times New Roman"/>
          <w:szCs w:val="24"/>
          <w:lang w:val="en-CA" w:eastAsia="de-DE"/>
        </w:rPr>
      </w:pPr>
      <w:hyperlink r:id="rId18" w:history="1">
        <w:r w:rsidRPr="007A28E0">
          <w:rPr>
            <w:rFonts w:eastAsia="Times New Roman"/>
            <w:color w:val="0000FF"/>
            <w:szCs w:val="24"/>
            <w:u w:val="single"/>
            <w:lang w:val="en-CA" w:eastAsia="de-DE"/>
          </w:rPr>
          <w:t>JVET-M0318</w:t>
        </w:r>
      </w:hyperlink>
      <w:r w:rsidRPr="007A28E0">
        <w:rPr>
          <w:rFonts w:eastAsia="Times New Roman"/>
          <w:szCs w:val="24"/>
          <w:lang w:val="en-CA" w:eastAsia="de-DE"/>
        </w:rPr>
        <w:t xml:space="preserve"> CE7-related: QP prediction and neighbour availability [P. de Lagrange, P. </w:t>
      </w:r>
      <w:proofErr w:type="spellStart"/>
      <w:r w:rsidRPr="007A28E0">
        <w:rPr>
          <w:rFonts w:eastAsia="Times New Roman"/>
          <w:szCs w:val="24"/>
          <w:lang w:val="en-CA" w:eastAsia="de-DE"/>
        </w:rPr>
        <w:t>Bordes</w:t>
      </w:r>
      <w:proofErr w:type="spellEnd"/>
      <w:r w:rsidRPr="007A28E0">
        <w:rPr>
          <w:rFonts w:eastAsia="Times New Roman"/>
          <w:szCs w:val="24"/>
          <w:lang w:val="en-CA" w:eastAsia="de-DE"/>
        </w:rPr>
        <w:t xml:space="preserve"> (Technicolor)]</w:t>
      </w:r>
    </w:p>
    <w:p w14:paraId="7A3D6F94" w14:textId="77777777" w:rsidR="00C226E5" w:rsidRDefault="00C226E5" w:rsidP="00C226E5">
      <w:pPr>
        <w:rPr>
          <w:lang w:val="en-CA"/>
        </w:rPr>
      </w:pPr>
      <w:r>
        <w:rPr>
          <w:lang w:val="en-CA"/>
        </w:rPr>
        <w:t xml:space="preserve">This contribution proposes modifications to QP prediction to consider specificities of VVC compared to HEVC. More specifically, it is proposed to modify the derivation of neighbour availability for </w:t>
      </w:r>
      <w:proofErr w:type="spellStart"/>
      <w:r>
        <w:rPr>
          <w:lang w:val="en-CA"/>
        </w:rPr>
        <w:t>luma</w:t>
      </w:r>
      <w:proofErr w:type="spellEnd"/>
      <w:r>
        <w:rPr>
          <w:lang w:val="en-CA"/>
        </w:rPr>
        <w:t xml:space="preserve"> QP prediction: avoid using </w:t>
      </w:r>
      <w:proofErr w:type="spellStart"/>
      <w:r>
        <w:rPr>
          <w:lang w:val="en-CA"/>
        </w:rPr>
        <w:t>qP</w:t>
      </w:r>
      <w:r>
        <w:rPr>
          <w:vertAlign w:val="subscript"/>
          <w:lang w:val="en-CA"/>
        </w:rPr>
        <w:t>Y_PREV</w:t>
      </w:r>
      <w:proofErr w:type="spellEnd"/>
      <w:r>
        <w:rPr>
          <w:lang w:val="en-CA"/>
        </w:rPr>
        <w:t xml:space="preserve"> when only one neighbor is available and allow using left neighbor on the left edge of a CTU. Corresponding draft text modifications are proposed.</w:t>
      </w:r>
    </w:p>
    <w:p w14:paraId="21EE8145" w14:textId="77777777" w:rsidR="00C226E5" w:rsidRDefault="00C226E5" w:rsidP="00C226E5">
      <w:pPr>
        <w:rPr>
          <w:lang w:val="en-CA"/>
        </w:rPr>
      </w:pPr>
      <w:r>
        <w:rPr>
          <w:lang w:val="en-CA"/>
        </w:rPr>
        <w:t xml:space="preserve">The contribution also discusses further refinement of </w:t>
      </w:r>
      <w:proofErr w:type="gramStart"/>
      <w:r>
        <w:rPr>
          <w:lang w:val="en-CA"/>
        </w:rPr>
        <w:t>A</w:t>
      </w:r>
      <w:proofErr w:type="gramEnd"/>
      <w:r>
        <w:rPr>
          <w:lang w:val="en-CA"/>
        </w:rPr>
        <w:t xml:space="preserve"> (left) and B (top) neighbor selection used for QP prediction.</w:t>
      </w:r>
    </w:p>
    <w:p w14:paraId="36CDBA43" w14:textId="77777777" w:rsidR="00174240" w:rsidRDefault="00174240" w:rsidP="00174240">
      <w:pPr>
        <w:pStyle w:val="BodyText"/>
      </w:pPr>
    </w:p>
    <w:p w14:paraId="0D6F6FAA" w14:textId="77777777" w:rsidR="00174240" w:rsidRPr="00E8660C" w:rsidRDefault="00174240" w:rsidP="00174240">
      <w:pPr>
        <w:pStyle w:val="Heading9"/>
        <w:rPr>
          <w:rFonts w:eastAsia="Times New Roman"/>
          <w:szCs w:val="24"/>
          <w:lang w:val="en-CA" w:eastAsia="de-DE"/>
        </w:rPr>
      </w:pPr>
      <w:hyperlink r:id="rId19" w:history="1">
        <w:r w:rsidRPr="00E8660C">
          <w:rPr>
            <w:rFonts w:eastAsia="Times New Roman"/>
            <w:color w:val="0000FF"/>
            <w:szCs w:val="24"/>
            <w:u w:val="single"/>
            <w:lang w:val="en-CA" w:eastAsia="de-DE"/>
          </w:rPr>
          <w:t>JVET-M0685</w:t>
        </w:r>
      </w:hyperlink>
      <w:r w:rsidRPr="00E8660C">
        <w:rPr>
          <w:rFonts w:eastAsia="Times New Roman"/>
          <w:szCs w:val="24"/>
          <w:lang w:val="en-CA" w:eastAsia="de-DE"/>
        </w:rPr>
        <w:t xml:space="preserve"> Non-CE7: On derivation of quantization parameter predictor [K. </w:t>
      </w:r>
      <w:proofErr w:type="spellStart"/>
      <w:r w:rsidRPr="00E8660C">
        <w:rPr>
          <w:rFonts w:eastAsia="Times New Roman"/>
          <w:szCs w:val="24"/>
          <w:lang w:val="en-CA" w:eastAsia="de-DE"/>
        </w:rPr>
        <w:t>Misra</w:t>
      </w:r>
      <w:proofErr w:type="spellEnd"/>
      <w:r w:rsidRPr="00E8660C">
        <w:rPr>
          <w:rFonts w:eastAsia="Times New Roman"/>
          <w:szCs w:val="24"/>
          <w:lang w:val="en-CA" w:eastAsia="de-DE"/>
        </w:rPr>
        <w:t xml:space="preserve">, A. </w:t>
      </w:r>
      <w:proofErr w:type="spellStart"/>
      <w:r w:rsidRPr="00E8660C">
        <w:rPr>
          <w:rFonts w:eastAsia="Times New Roman"/>
          <w:szCs w:val="24"/>
          <w:lang w:val="en-CA" w:eastAsia="de-DE"/>
        </w:rPr>
        <w:t>Segall</w:t>
      </w:r>
      <w:proofErr w:type="spellEnd"/>
      <w:r w:rsidRPr="00E8660C">
        <w:rPr>
          <w:rFonts w:eastAsia="Times New Roman"/>
          <w:szCs w:val="24"/>
          <w:lang w:val="en-CA" w:eastAsia="de-DE"/>
        </w:rPr>
        <w:t xml:space="preserve"> (Sharp Labs of America)] [late]</w:t>
      </w:r>
    </w:p>
    <w:p w14:paraId="088DB149" w14:textId="77777777" w:rsidR="00C226E5" w:rsidRDefault="00C226E5" w:rsidP="00C226E5">
      <w:pPr>
        <w:rPr>
          <w:szCs w:val="24"/>
        </w:rPr>
      </w:pPr>
      <w:r>
        <w:rPr>
          <w:szCs w:val="24"/>
        </w:rPr>
        <w:t xml:space="preserve">In the current VVC WD, the derivation of quantization parameter predictor </w:t>
      </w:r>
      <w:proofErr w:type="spellStart"/>
      <w:r>
        <w:rPr>
          <w:szCs w:val="24"/>
        </w:rPr>
        <w:t>qP</w:t>
      </w:r>
      <w:r>
        <w:rPr>
          <w:szCs w:val="24"/>
          <w:vertAlign w:val="subscript"/>
        </w:rPr>
        <w:t>Y_PRED</w:t>
      </w:r>
      <w:proofErr w:type="spellEnd"/>
      <w:r>
        <w:rPr>
          <w:szCs w:val="24"/>
        </w:rPr>
        <w:t xml:space="preserve"> may in some cases be based on a previous quantization group in decoding order that is not spatially close to the current coding unit (CU). For example, the previous quantization group in decoding order may belong to the rightmost Coding Tree Unit (CTU) in the CTU row above. This contribution therefore proposes two possible options to address the above:</w:t>
      </w:r>
    </w:p>
    <w:p w14:paraId="3ED6EFF2" w14:textId="77777777" w:rsidR="00C226E5" w:rsidRDefault="00C226E5" w:rsidP="00C226E5">
      <w:pPr>
        <w:rPr>
          <w:szCs w:val="24"/>
        </w:rPr>
      </w:pPr>
      <w:r>
        <w:rPr>
          <w:szCs w:val="24"/>
        </w:rPr>
        <w:t xml:space="preserve">Option 1: </w:t>
      </w:r>
      <w:proofErr w:type="spellStart"/>
      <w:r>
        <w:rPr>
          <w:szCs w:val="24"/>
        </w:rPr>
        <w:t>qP</w:t>
      </w:r>
      <w:r>
        <w:rPr>
          <w:szCs w:val="24"/>
          <w:vertAlign w:val="subscript"/>
        </w:rPr>
        <w:t>Y_PRED</w:t>
      </w:r>
      <w:proofErr w:type="spellEnd"/>
      <w:r>
        <w:rPr>
          <w:szCs w:val="24"/>
        </w:rPr>
        <w:t xml:space="preserve"> be derived based on spatial neighbors (when available)</w:t>
      </w:r>
    </w:p>
    <w:p w14:paraId="56BFFA1E" w14:textId="77777777" w:rsidR="00C226E5" w:rsidRDefault="00C226E5" w:rsidP="00C226E5">
      <w:pPr>
        <w:rPr>
          <w:szCs w:val="22"/>
          <w:lang w:val="en-CA"/>
        </w:rPr>
      </w:pPr>
      <w:r>
        <w:rPr>
          <w:szCs w:val="24"/>
        </w:rPr>
        <w:t>Option 2: A high-level flag is used to control the quantization parameter predictor derivation process, which enables support for both Option 1 and the current design in the VVC WD if so desired.</w:t>
      </w:r>
    </w:p>
    <w:p w14:paraId="071B7FA3" w14:textId="4C842978" w:rsidR="00174240" w:rsidRDefault="00174240" w:rsidP="00174240">
      <w:pPr>
        <w:pStyle w:val="BodyText"/>
      </w:pPr>
    </w:p>
    <w:p w14:paraId="0537C41A" w14:textId="77777777" w:rsidR="00C226E5" w:rsidRPr="007A28E0" w:rsidRDefault="00C226E5" w:rsidP="00174240">
      <w:pPr>
        <w:pStyle w:val="BodyText"/>
      </w:pPr>
    </w:p>
    <w:sectPr w:rsidR="00C226E5" w:rsidRPr="007A28E0"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445E0" w14:textId="77777777" w:rsidR="00100D2C" w:rsidRDefault="00100D2C">
      <w:r>
        <w:separator/>
      </w:r>
    </w:p>
  </w:endnote>
  <w:endnote w:type="continuationSeparator" w:id="0">
    <w:p w14:paraId="5F002F5D" w14:textId="77777777" w:rsidR="00100D2C" w:rsidRDefault="0010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E06D78" w:rsidR="00AF7BB0" w:rsidRPr="00C00DDE" w:rsidRDefault="00AF7B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0582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FFA2E" w14:textId="77777777" w:rsidR="00100D2C" w:rsidRDefault="00100D2C">
      <w:r>
        <w:separator/>
      </w:r>
    </w:p>
  </w:footnote>
  <w:footnote w:type="continuationSeparator" w:id="0">
    <w:p w14:paraId="798D9DFF" w14:textId="77777777" w:rsidR="00100D2C" w:rsidRDefault="00100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90A97"/>
    <w:multiLevelType w:val="hybridMultilevel"/>
    <w:tmpl w:val="9E106528"/>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A4483"/>
    <w:multiLevelType w:val="hybridMultilevel"/>
    <w:tmpl w:val="3B7C5E08"/>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E3AC4"/>
    <w:multiLevelType w:val="hybridMultilevel"/>
    <w:tmpl w:val="738A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E35A3B"/>
    <w:multiLevelType w:val="hybridMultilevel"/>
    <w:tmpl w:val="CCB2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9D1"/>
    <w:multiLevelType w:val="hybridMultilevel"/>
    <w:tmpl w:val="127C7D6A"/>
    <w:lvl w:ilvl="0" w:tplc="ADEA7E4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8D26532"/>
    <w:multiLevelType w:val="hybridMultilevel"/>
    <w:tmpl w:val="043812EA"/>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7136D1"/>
    <w:multiLevelType w:val="hybridMultilevel"/>
    <w:tmpl w:val="F984E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E0107"/>
    <w:multiLevelType w:val="hybridMultilevel"/>
    <w:tmpl w:val="05641AA6"/>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90461F0"/>
    <w:multiLevelType w:val="hybridMultilevel"/>
    <w:tmpl w:val="0AA83CC4"/>
    <w:lvl w:ilvl="0" w:tplc="AE56AACE">
      <w:start w:val="1"/>
      <w:numFmt w:val="bullet"/>
      <w:lvlText w:val="•"/>
      <w:lvlJc w:val="left"/>
      <w:pPr>
        <w:tabs>
          <w:tab w:val="num" w:pos="720"/>
        </w:tabs>
        <w:ind w:left="720" w:hanging="360"/>
      </w:pPr>
      <w:rPr>
        <w:rFonts w:ascii="Arial" w:hAnsi="Arial" w:hint="default"/>
      </w:rPr>
    </w:lvl>
    <w:lvl w:ilvl="1" w:tplc="495CB932" w:tentative="1">
      <w:start w:val="1"/>
      <w:numFmt w:val="bullet"/>
      <w:lvlText w:val="•"/>
      <w:lvlJc w:val="left"/>
      <w:pPr>
        <w:tabs>
          <w:tab w:val="num" w:pos="1440"/>
        </w:tabs>
        <w:ind w:left="1440" w:hanging="360"/>
      </w:pPr>
      <w:rPr>
        <w:rFonts w:ascii="Arial" w:hAnsi="Arial" w:hint="default"/>
      </w:rPr>
    </w:lvl>
    <w:lvl w:ilvl="2" w:tplc="5C6050C4" w:tentative="1">
      <w:start w:val="1"/>
      <w:numFmt w:val="bullet"/>
      <w:lvlText w:val="•"/>
      <w:lvlJc w:val="left"/>
      <w:pPr>
        <w:tabs>
          <w:tab w:val="num" w:pos="2160"/>
        </w:tabs>
        <w:ind w:left="2160" w:hanging="360"/>
      </w:pPr>
      <w:rPr>
        <w:rFonts w:ascii="Arial" w:hAnsi="Arial" w:hint="default"/>
      </w:rPr>
    </w:lvl>
    <w:lvl w:ilvl="3" w:tplc="E5F6C342" w:tentative="1">
      <w:start w:val="1"/>
      <w:numFmt w:val="bullet"/>
      <w:lvlText w:val="•"/>
      <w:lvlJc w:val="left"/>
      <w:pPr>
        <w:tabs>
          <w:tab w:val="num" w:pos="2880"/>
        </w:tabs>
        <w:ind w:left="2880" w:hanging="360"/>
      </w:pPr>
      <w:rPr>
        <w:rFonts w:ascii="Arial" w:hAnsi="Arial" w:hint="default"/>
      </w:rPr>
    </w:lvl>
    <w:lvl w:ilvl="4" w:tplc="37EA8C48" w:tentative="1">
      <w:start w:val="1"/>
      <w:numFmt w:val="bullet"/>
      <w:lvlText w:val="•"/>
      <w:lvlJc w:val="left"/>
      <w:pPr>
        <w:tabs>
          <w:tab w:val="num" w:pos="3600"/>
        </w:tabs>
        <w:ind w:left="3600" w:hanging="360"/>
      </w:pPr>
      <w:rPr>
        <w:rFonts w:ascii="Arial" w:hAnsi="Arial" w:hint="default"/>
      </w:rPr>
    </w:lvl>
    <w:lvl w:ilvl="5" w:tplc="436CD4B2" w:tentative="1">
      <w:start w:val="1"/>
      <w:numFmt w:val="bullet"/>
      <w:lvlText w:val="•"/>
      <w:lvlJc w:val="left"/>
      <w:pPr>
        <w:tabs>
          <w:tab w:val="num" w:pos="4320"/>
        </w:tabs>
        <w:ind w:left="4320" w:hanging="360"/>
      </w:pPr>
      <w:rPr>
        <w:rFonts w:ascii="Arial" w:hAnsi="Arial" w:hint="default"/>
      </w:rPr>
    </w:lvl>
    <w:lvl w:ilvl="6" w:tplc="3710BF6C" w:tentative="1">
      <w:start w:val="1"/>
      <w:numFmt w:val="bullet"/>
      <w:lvlText w:val="•"/>
      <w:lvlJc w:val="left"/>
      <w:pPr>
        <w:tabs>
          <w:tab w:val="num" w:pos="5040"/>
        </w:tabs>
        <w:ind w:left="5040" w:hanging="360"/>
      </w:pPr>
      <w:rPr>
        <w:rFonts w:ascii="Arial" w:hAnsi="Arial" w:hint="default"/>
      </w:rPr>
    </w:lvl>
    <w:lvl w:ilvl="7" w:tplc="35660CC6" w:tentative="1">
      <w:start w:val="1"/>
      <w:numFmt w:val="bullet"/>
      <w:lvlText w:val="•"/>
      <w:lvlJc w:val="left"/>
      <w:pPr>
        <w:tabs>
          <w:tab w:val="num" w:pos="5760"/>
        </w:tabs>
        <w:ind w:left="5760" w:hanging="360"/>
      </w:pPr>
      <w:rPr>
        <w:rFonts w:ascii="Arial" w:hAnsi="Arial" w:hint="default"/>
      </w:rPr>
    </w:lvl>
    <w:lvl w:ilvl="8" w:tplc="50CC368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2"/>
  </w:num>
  <w:num w:numId="5">
    <w:abstractNumId w:val="23"/>
  </w:num>
  <w:num w:numId="6">
    <w:abstractNumId w:val="12"/>
  </w:num>
  <w:num w:numId="7">
    <w:abstractNumId w:val="16"/>
  </w:num>
  <w:num w:numId="8">
    <w:abstractNumId w:val="12"/>
  </w:num>
  <w:num w:numId="9">
    <w:abstractNumId w:val="2"/>
  </w:num>
  <w:num w:numId="10">
    <w:abstractNumId w:val="11"/>
  </w:num>
  <w:num w:numId="11">
    <w:abstractNumId w:val="6"/>
  </w:num>
  <w:num w:numId="12">
    <w:abstractNumId w:val="12"/>
  </w:num>
  <w:num w:numId="13">
    <w:abstractNumId w:val="12"/>
  </w:num>
  <w:num w:numId="14">
    <w:abstractNumId w:val="12"/>
  </w:num>
  <w:num w:numId="15">
    <w:abstractNumId w:val="12"/>
  </w:num>
  <w:num w:numId="16">
    <w:abstractNumId w:val="28"/>
  </w:num>
  <w:num w:numId="17">
    <w:abstractNumId w:val="18"/>
  </w:num>
  <w:num w:numId="18">
    <w:abstractNumId w:val="21"/>
  </w:num>
  <w:num w:numId="19">
    <w:abstractNumId w:val="9"/>
  </w:num>
  <w:num w:numId="20">
    <w:abstractNumId w:val="4"/>
  </w:num>
  <w:num w:numId="21">
    <w:abstractNumId w:val="1"/>
  </w:num>
  <w:num w:numId="22">
    <w:abstractNumId w:val="27"/>
  </w:num>
  <w:num w:numId="23">
    <w:abstractNumId w:val="19"/>
  </w:num>
  <w:num w:numId="24">
    <w:abstractNumId w:val="3"/>
  </w:num>
  <w:num w:numId="25">
    <w:abstractNumId w:val="17"/>
  </w:num>
  <w:num w:numId="26">
    <w:abstractNumId w:val="14"/>
  </w:num>
  <w:num w:numId="27">
    <w:abstractNumId w:val="10"/>
  </w:num>
  <w:num w:numId="28">
    <w:abstractNumId w:val="19"/>
  </w:num>
  <w:num w:numId="29">
    <w:abstractNumId w:val="26"/>
  </w:num>
  <w:num w:numId="30">
    <w:abstractNumId w:val="12"/>
  </w:num>
  <w:num w:numId="31">
    <w:abstractNumId w:val="8"/>
  </w:num>
  <w:num w:numId="32">
    <w:abstractNumId w:val="30"/>
  </w:num>
  <w:num w:numId="33">
    <w:abstractNumId w:val="25"/>
  </w:num>
  <w:num w:numId="34">
    <w:abstractNumId w:val="13"/>
  </w:num>
  <w:num w:numId="35">
    <w:abstractNumId w:val="5"/>
  </w:num>
  <w:num w:numId="36">
    <w:abstractNumId w:val="7"/>
  </w:num>
  <w:num w:numId="37">
    <w:abstractNumId w:val="20"/>
  </w:num>
  <w:num w:numId="38">
    <w:abstractNumId w:val="15"/>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413F"/>
    <w:rsid w:val="0001585E"/>
    <w:rsid w:val="000176D4"/>
    <w:rsid w:val="00025C51"/>
    <w:rsid w:val="00026FC7"/>
    <w:rsid w:val="000308A3"/>
    <w:rsid w:val="0003273D"/>
    <w:rsid w:val="00032AEE"/>
    <w:rsid w:val="00032E98"/>
    <w:rsid w:val="00033F8A"/>
    <w:rsid w:val="000348B9"/>
    <w:rsid w:val="000419AF"/>
    <w:rsid w:val="000429BA"/>
    <w:rsid w:val="00043ECB"/>
    <w:rsid w:val="0004443B"/>
    <w:rsid w:val="000458BC"/>
    <w:rsid w:val="00045C41"/>
    <w:rsid w:val="000469C5"/>
    <w:rsid w:val="00046C03"/>
    <w:rsid w:val="00047088"/>
    <w:rsid w:val="00047201"/>
    <w:rsid w:val="00052542"/>
    <w:rsid w:val="000526DB"/>
    <w:rsid w:val="00056942"/>
    <w:rsid w:val="0005709F"/>
    <w:rsid w:val="00057764"/>
    <w:rsid w:val="0006206A"/>
    <w:rsid w:val="00064190"/>
    <w:rsid w:val="00064DF8"/>
    <w:rsid w:val="00065039"/>
    <w:rsid w:val="0006571D"/>
    <w:rsid w:val="00065858"/>
    <w:rsid w:val="000658E4"/>
    <w:rsid w:val="0006739C"/>
    <w:rsid w:val="00067C97"/>
    <w:rsid w:val="0007030F"/>
    <w:rsid w:val="000737DE"/>
    <w:rsid w:val="00075FA5"/>
    <w:rsid w:val="0007614F"/>
    <w:rsid w:val="00076F89"/>
    <w:rsid w:val="00081398"/>
    <w:rsid w:val="00082145"/>
    <w:rsid w:val="000851D4"/>
    <w:rsid w:val="00085B81"/>
    <w:rsid w:val="000865E7"/>
    <w:rsid w:val="0009162C"/>
    <w:rsid w:val="00094479"/>
    <w:rsid w:val="000953F8"/>
    <w:rsid w:val="00097135"/>
    <w:rsid w:val="000B0C0F"/>
    <w:rsid w:val="000B1C6B"/>
    <w:rsid w:val="000B1D45"/>
    <w:rsid w:val="000B4FF9"/>
    <w:rsid w:val="000B682B"/>
    <w:rsid w:val="000C09AC"/>
    <w:rsid w:val="000C217D"/>
    <w:rsid w:val="000C3E43"/>
    <w:rsid w:val="000C44F4"/>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0D2C"/>
    <w:rsid w:val="00101384"/>
    <w:rsid w:val="00101437"/>
    <w:rsid w:val="00101E9D"/>
    <w:rsid w:val="00102F3D"/>
    <w:rsid w:val="001049A2"/>
    <w:rsid w:val="001072C1"/>
    <w:rsid w:val="0011343B"/>
    <w:rsid w:val="00115201"/>
    <w:rsid w:val="00121F1F"/>
    <w:rsid w:val="00122B29"/>
    <w:rsid w:val="00124E38"/>
    <w:rsid w:val="0012580B"/>
    <w:rsid w:val="00125866"/>
    <w:rsid w:val="00126901"/>
    <w:rsid w:val="00131F90"/>
    <w:rsid w:val="0013458C"/>
    <w:rsid w:val="0013526E"/>
    <w:rsid w:val="00140A1F"/>
    <w:rsid w:val="00141602"/>
    <w:rsid w:val="001454C2"/>
    <w:rsid w:val="00146152"/>
    <w:rsid w:val="0014648E"/>
    <w:rsid w:val="00152D0B"/>
    <w:rsid w:val="00155526"/>
    <w:rsid w:val="001555F6"/>
    <w:rsid w:val="0015616C"/>
    <w:rsid w:val="0016143C"/>
    <w:rsid w:val="001661B7"/>
    <w:rsid w:val="001677E5"/>
    <w:rsid w:val="00171371"/>
    <w:rsid w:val="00171D54"/>
    <w:rsid w:val="00174240"/>
    <w:rsid w:val="00174578"/>
    <w:rsid w:val="00175A24"/>
    <w:rsid w:val="00181311"/>
    <w:rsid w:val="00185F7F"/>
    <w:rsid w:val="00186983"/>
    <w:rsid w:val="00186F99"/>
    <w:rsid w:val="00187E58"/>
    <w:rsid w:val="001917EE"/>
    <w:rsid w:val="00195B92"/>
    <w:rsid w:val="00197B1D"/>
    <w:rsid w:val="001A0524"/>
    <w:rsid w:val="001A297E"/>
    <w:rsid w:val="001A368E"/>
    <w:rsid w:val="001A6C42"/>
    <w:rsid w:val="001A7329"/>
    <w:rsid w:val="001A792F"/>
    <w:rsid w:val="001A7A19"/>
    <w:rsid w:val="001B1C01"/>
    <w:rsid w:val="001B42F5"/>
    <w:rsid w:val="001B4E28"/>
    <w:rsid w:val="001B6C63"/>
    <w:rsid w:val="001B75F7"/>
    <w:rsid w:val="001B7CCD"/>
    <w:rsid w:val="001C313D"/>
    <w:rsid w:val="001C3525"/>
    <w:rsid w:val="001C3AFB"/>
    <w:rsid w:val="001C6534"/>
    <w:rsid w:val="001C75EC"/>
    <w:rsid w:val="001D1BD2"/>
    <w:rsid w:val="001D26BC"/>
    <w:rsid w:val="001D4A41"/>
    <w:rsid w:val="001D5F23"/>
    <w:rsid w:val="001D72FC"/>
    <w:rsid w:val="001E0248"/>
    <w:rsid w:val="001E02BE"/>
    <w:rsid w:val="001E3B37"/>
    <w:rsid w:val="001E54BF"/>
    <w:rsid w:val="001F2594"/>
    <w:rsid w:val="001F59FE"/>
    <w:rsid w:val="001F6D09"/>
    <w:rsid w:val="00202B44"/>
    <w:rsid w:val="002055A6"/>
    <w:rsid w:val="00206460"/>
    <w:rsid w:val="002069B4"/>
    <w:rsid w:val="002108AA"/>
    <w:rsid w:val="0021185B"/>
    <w:rsid w:val="0021443E"/>
    <w:rsid w:val="00215DFC"/>
    <w:rsid w:val="002212DF"/>
    <w:rsid w:val="0022252B"/>
    <w:rsid w:val="00222CD4"/>
    <w:rsid w:val="0022371A"/>
    <w:rsid w:val="00225016"/>
    <w:rsid w:val="002264A6"/>
    <w:rsid w:val="002272F5"/>
    <w:rsid w:val="00227BA7"/>
    <w:rsid w:val="0023011C"/>
    <w:rsid w:val="00234935"/>
    <w:rsid w:val="002375C1"/>
    <w:rsid w:val="00242FD3"/>
    <w:rsid w:val="00243B8E"/>
    <w:rsid w:val="00247D9E"/>
    <w:rsid w:val="00247FA8"/>
    <w:rsid w:val="0025197C"/>
    <w:rsid w:val="00253198"/>
    <w:rsid w:val="0025752B"/>
    <w:rsid w:val="00260D42"/>
    <w:rsid w:val="00262441"/>
    <w:rsid w:val="00263398"/>
    <w:rsid w:val="00263B07"/>
    <w:rsid w:val="00263B99"/>
    <w:rsid w:val="00264244"/>
    <w:rsid w:val="00264D3B"/>
    <w:rsid w:val="00265190"/>
    <w:rsid w:val="00266F06"/>
    <w:rsid w:val="00274A36"/>
    <w:rsid w:val="00275BCF"/>
    <w:rsid w:val="00275EEA"/>
    <w:rsid w:val="00277FB4"/>
    <w:rsid w:val="00280777"/>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C626C"/>
    <w:rsid w:val="002D0AF6"/>
    <w:rsid w:val="002D407C"/>
    <w:rsid w:val="002D516E"/>
    <w:rsid w:val="002E00CD"/>
    <w:rsid w:val="002E17FC"/>
    <w:rsid w:val="002E2EB3"/>
    <w:rsid w:val="002E7193"/>
    <w:rsid w:val="002F164D"/>
    <w:rsid w:val="00301853"/>
    <w:rsid w:val="003020ED"/>
    <w:rsid w:val="003021BC"/>
    <w:rsid w:val="003034E5"/>
    <w:rsid w:val="00306078"/>
    <w:rsid w:val="00306206"/>
    <w:rsid w:val="003071FE"/>
    <w:rsid w:val="003158E6"/>
    <w:rsid w:val="00317658"/>
    <w:rsid w:val="00317D85"/>
    <w:rsid w:val="00320177"/>
    <w:rsid w:val="0032798F"/>
    <w:rsid w:val="00327C56"/>
    <w:rsid w:val="00330449"/>
    <w:rsid w:val="003315A1"/>
    <w:rsid w:val="00333828"/>
    <w:rsid w:val="003373EC"/>
    <w:rsid w:val="00342FF4"/>
    <w:rsid w:val="00344E5A"/>
    <w:rsid w:val="00344E73"/>
    <w:rsid w:val="003450B4"/>
    <w:rsid w:val="00346148"/>
    <w:rsid w:val="003466E8"/>
    <w:rsid w:val="00350CA3"/>
    <w:rsid w:val="00352A41"/>
    <w:rsid w:val="0035301A"/>
    <w:rsid w:val="0035302E"/>
    <w:rsid w:val="0035690A"/>
    <w:rsid w:val="00361A14"/>
    <w:rsid w:val="00361AE7"/>
    <w:rsid w:val="003637EA"/>
    <w:rsid w:val="00363C1E"/>
    <w:rsid w:val="00365A55"/>
    <w:rsid w:val="0036616C"/>
    <w:rsid w:val="00366758"/>
    <w:rsid w:val="003669EA"/>
    <w:rsid w:val="003706CC"/>
    <w:rsid w:val="00371720"/>
    <w:rsid w:val="003718F0"/>
    <w:rsid w:val="00371BBA"/>
    <w:rsid w:val="00374BC3"/>
    <w:rsid w:val="00376C53"/>
    <w:rsid w:val="00377710"/>
    <w:rsid w:val="00383726"/>
    <w:rsid w:val="00383F4F"/>
    <w:rsid w:val="00392C46"/>
    <w:rsid w:val="00392FCD"/>
    <w:rsid w:val="00393724"/>
    <w:rsid w:val="003A26D1"/>
    <w:rsid w:val="003A288B"/>
    <w:rsid w:val="003A2D8E"/>
    <w:rsid w:val="003A46E5"/>
    <w:rsid w:val="003A57A7"/>
    <w:rsid w:val="003A5C61"/>
    <w:rsid w:val="003A60EA"/>
    <w:rsid w:val="003A7CE6"/>
    <w:rsid w:val="003B1C8A"/>
    <w:rsid w:val="003B2034"/>
    <w:rsid w:val="003B5349"/>
    <w:rsid w:val="003C009B"/>
    <w:rsid w:val="003C15D8"/>
    <w:rsid w:val="003C20E4"/>
    <w:rsid w:val="003C2E04"/>
    <w:rsid w:val="003D0EBF"/>
    <w:rsid w:val="003D1D87"/>
    <w:rsid w:val="003D2485"/>
    <w:rsid w:val="003D343E"/>
    <w:rsid w:val="003D37E2"/>
    <w:rsid w:val="003D4601"/>
    <w:rsid w:val="003D6342"/>
    <w:rsid w:val="003E1A27"/>
    <w:rsid w:val="003E2D72"/>
    <w:rsid w:val="003E2ED2"/>
    <w:rsid w:val="003E6F90"/>
    <w:rsid w:val="003E73ED"/>
    <w:rsid w:val="003F0B68"/>
    <w:rsid w:val="003F1563"/>
    <w:rsid w:val="003F42CA"/>
    <w:rsid w:val="003F59F9"/>
    <w:rsid w:val="003F5D0F"/>
    <w:rsid w:val="0040260B"/>
    <w:rsid w:val="00402EB0"/>
    <w:rsid w:val="004052FA"/>
    <w:rsid w:val="00412524"/>
    <w:rsid w:val="004136B1"/>
    <w:rsid w:val="00413D32"/>
    <w:rsid w:val="00414101"/>
    <w:rsid w:val="00416A3A"/>
    <w:rsid w:val="004211D5"/>
    <w:rsid w:val="004219CF"/>
    <w:rsid w:val="00423367"/>
    <w:rsid w:val="004234F0"/>
    <w:rsid w:val="00424088"/>
    <w:rsid w:val="0042456A"/>
    <w:rsid w:val="00432BFC"/>
    <w:rsid w:val="00433DDB"/>
    <w:rsid w:val="00435A29"/>
    <w:rsid w:val="00435C5F"/>
    <w:rsid w:val="00437619"/>
    <w:rsid w:val="004442D5"/>
    <w:rsid w:val="00444ECD"/>
    <w:rsid w:val="00454D51"/>
    <w:rsid w:val="00457685"/>
    <w:rsid w:val="00460AF8"/>
    <w:rsid w:val="00462E3B"/>
    <w:rsid w:val="0046325C"/>
    <w:rsid w:val="004637DD"/>
    <w:rsid w:val="00465A1E"/>
    <w:rsid w:val="004703AC"/>
    <w:rsid w:val="00471101"/>
    <w:rsid w:val="00475FE5"/>
    <w:rsid w:val="00477B1C"/>
    <w:rsid w:val="004801F7"/>
    <w:rsid w:val="00482208"/>
    <w:rsid w:val="00484BBC"/>
    <w:rsid w:val="00484D43"/>
    <w:rsid w:val="0048599A"/>
    <w:rsid w:val="00486F10"/>
    <w:rsid w:val="00487E01"/>
    <w:rsid w:val="00490958"/>
    <w:rsid w:val="00492BD4"/>
    <w:rsid w:val="0049445A"/>
    <w:rsid w:val="00497CD2"/>
    <w:rsid w:val="004A12E6"/>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4F645E"/>
    <w:rsid w:val="00501F9E"/>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32D2F"/>
    <w:rsid w:val="00550A66"/>
    <w:rsid w:val="00550F82"/>
    <w:rsid w:val="005542A3"/>
    <w:rsid w:val="0056268E"/>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B70"/>
    <w:rsid w:val="005A33A1"/>
    <w:rsid w:val="005A6193"/>
    <w:rsid w:val="005A63DD"/>
    <w:rsid w:val="005B0B79"/>
    <w:rsid w:val="005B217D"/>
    <w:rsid w:val="005B572E"/>
    <w:rsid w:val="005B5FF4"/>
    <w:rsid w:val="005C2071"/>
    <w:rsid w:val="005C2FD5"/>
    <w:rsid w:val="005C385F"/>
    <w:rsid w:val="005C7328"/>
    <w:rsid w:val="005D0281"/>
    <w:rsid w:val="005D03E4"/>
    <w:rsid w:val="005D1C9B"/>
    <w:rsid w:val="005D270C"/>
    <w:rsid w:val="005D4829"/>
    <w:rsid w:val="005D552C"/>
    <w:rsid w:val="005D6ED9"/>
    <w:rsid w:val="005D79F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87314"/>
    <w:rsid w:val="00692705"/>
    <w:rsid w:val="00692B81"/>
    <w:rsid w:val="0069448A"/>
    <w:rsid w:val="00694768"/>
    <w:rsid w:val="00695EFE"/>
    <w:rsid w:val="00696F4D"/>
    <w:rsid w:val="006A1A11"/>
    <w:rsid w:val="006A1B03"/>
    <w:rsid w:val="006A6336"/>
    <w:rsid w:val="006B007E"/>
    <w:rsid w:val="006B213F"/>
    <w:rsid w:val="006B66F8"/>
    <w:rsid w:val="006B72ED"/>
    <w:rsid w:val="006C20FE"/>
    <w:rsid w:val="006C330C"/>
    <w:rsid w:val="006C5D39"/>
    <w:rsid w:val="006C7C57"/>
    <w:rsid w:val="006C7F85"/>
    <w:rsid w:val="006D0688"/>
    <w:rsid w:val="006D08B1"/>
    <w:rsid w:val="006D18A9"/>
    <w:rsid w:val="006D4AA9"/>
    <w:rsid w:val="006D656E"/>
    <w:rsid w:val="006D6D9B"/>
    <w:rsid w:val="006D7ED7"/>
    <w:rsid w:val="006E0E91"/>
    <w:rsid w:val="006E1E3B"/>
    <w:rsid w:val="006E225D"/>
    <w:rsid w:val="006E2810"/>
    <w:rsid w:val="006E5417"/>
    <w:rsid w:val="006E6FA1"/>
    <w:rsid w:val="006E7FF7"/>
    <w:rsid w:val="006F0749"/>
    <w:rsid w:val="006F0794"/>
    <w:rsid w:val="006F4AFF"/>
    <w:rsid w:val="006F5EFA"/>
    <w:rsid w:val="00700F3E"/>
    <w:rsid w:val="007023DE"/>
    <w:rsid w:val="0070295D"/>
    <w:rsid w:val="007041D3"/>
    <w:rsid w:val="00712F60"/>
    <w:rsid w:val="007145AD"/>
    <w:rsid w:val="007146C5"/>
    <w:rsid w:val="007150FF"/>
    <w:rsid w:val="007208B9"/>
    <w:rsid w:val="00720E3B"/>
    <w:rsid w:val="007213F2"/>
    <w:rsid w:val="007227C5"/>
    <w:rsid w:val="0072342B"/>
    <w:rsid w:val="007315A3"/>
    <w:rsid w:val="007331AF"/>
    <w:rsid w:val="00734015"/>
    <w:rsid w:val="00736579"/>
    <w:rsid w:val="00742850"/>
    <w:rsid w:val="0074393F"/>
    <w:rsid w:val="00745F6B"/>
    <w:rsid w:val="007472A6"/>
    <w:rsid w:val="007507DE"/>
    <w:rsid w:val="00752671"/>
    <w:rsid w:val="0075585E"/>
    <w:rsid w:val="00767BFE"/>
    <w:rsid w:val="00770571"/>
    <w:rsid w:val="00772B09"/>
    <w:rsid w:val="007768FF"/>
    <w:rsid w:val="00780298"/>
    <w:rsid w:val="0078152A"/>
    <w:rsid w:val="00781A73"/>
    <w:rsid w:val="007824D3"/>
    <w:rsid w:val="00783501"/>
    <w:rsid w:val="007838E4"/>
    <w:rsid w:val="007848CA"/>
    <w:rsid w:val="00784A92"/>
    <w:rsid w:val="00787717"/>
    <w:rsid w:val="00790A59"/>
    <w:rsid w:val="0079182D"/>
    <w:rsid w:val="007944E1"/>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79EE"/>
    <w:rsid w:val="007F1F8B"/>
    <w:rsid w:val="007F3694"/>
    <w:rsid w:val="007F4E52"/>
    <w:rsid w:val="007F67A1"/>
    <w:rsid w:val="0080018A"/>
    <w:rsid w:val="00800DFC"/>
    <w:rsid w:val="008020B7"/>
    <w:rsid w:val="00811C05"/>
    <w:rsid w:val="00811C8D"/>
    <w:rsid w:val="00813EBE"/>
    <w:rsid w:val="00815E01"/>
    <w:rsid w:val="00816E12"/>
    <w:rsid w:val="00817EC3"/>
    <w:rsid w:val="008206C8"/>
    <w:rsid w:val="00824A29"/>
    <w:rsid w:val="00824D1F"/>
    <w:rsid w:val="00826EAC"/>
    <w:rsid w:val="0083037B"/>
    <w:rsid w:val="00831564"/>
    <w:rsid w:val="00832677"/>
    <w:rsid w:val="0084138B"/>
    <w:rsid w:val="00847385"/>
    <w:rsid w:val="008505F3"/>
    <w:rsid w:val="008519C6"/>
    <w:rsid w:val="0085322C"/>
    <w:rsid w:val="00854B0F"/>
    <w:rsid w:val="00854DB0"/>
    <w:rsid w:val="008576FD"/>
    <w:rsid w:val="00860357"/>
    <w:rsid w:val="0086387C"/>
    <w:rsid w:val="00863B02"/>
    <w:rsid w:val="00864565"/>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3AA"/>
    <w:rsid w:val="008D6729"/>
    <w:rsid w:val="008E0A56"/>
    <w:rsid w:val="008E1626"/>
    <w:rsid w:val="008E330D"/>
    <w:rsid w:val="008E33EE"/>
    <w:rsid w:val="008E480C"/>
    <w:rsid w:val="008E4F5F"/>
    <w:rsid w:val="008E5726"/>
    <w:rsid w:val="008E64A8"/>
    <w:rsid w:val="008F26BF"/>
    <w:rsid w:val="008F36C0"/>
    <w:rsid w:val="008F641C"/>
    <w:rsid w:val="008F7723"/>
    <w:rsid w:val="00902B46"/>
    <w:rsid w:val="00905689"/>
    <w:rsid w:val="0090582E"/>
    <w:rsid w:val="0090598A"/>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47C"/>
    <w:rsid w:val="00940B9A"/>
    <w:rsid w:val="00944D15"/>
    <w:rsid w:val="0094766E"/>
    <w:rsid w:val="0094777C"/>
    <w:rsid w:val="009522C3"/>
    <w:rsid w:val="0095314E"/>
    <w:rsid w:val="0095362C"/>
    <w:rsid w:val="00955BB7"/>
    <w:rsid w:val="00955F6D"/>
    <w:rsid w:val="00956525"/>
    <w:rsid w:val="009565BE"/>
    <w:rsid w:val="00956E9E"/>
    <w:rsid w:val="00957DB7"/>
    <w:rsid w:val="00970098"/>
    <w:rsid w:val="00971346"/>
    <w:rsid w:val="009717C9"/>
    <w:rsid w:val="009735DA"/>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95D58"/>
    <w:rsid w:val="009A523D"/>
    <w:rsid w:val="009A5D35"/>
    <w:rsid w:val="009A6EA6"/>
    <w:rsid w:val="009B02A1"/>
    <w:rsid w:val="009B04FB"/>
    <w:rsid w:val="009B1A42"/>
    <w:rsid w:val="009B1D08"/>
    <w:rsid w:val="009B6382"/>
    <w:rsid w:val="009B666E"/>
    <w:rsid w:val="009B6DDB"/>
    <w:rsid w:val="009B7693"/>
    <w:rsid w:val="009C13B6"/>
    <w:rsid w:val="009C199B"/>
    <w:rsid w:val="009C1A22"/>
    <w:rsid w:val="009C2C94"/>
    <w:rsid w:val="009C3399"/>
    <w:rsid w:val="009C6B50"/>
    <w:rsid w:val="009D30BC"/>
    <w:rsid w:val="009D42B4"/>
    <w:rsid w:val="009D4DCD"/>
    <w:rsid w:val="009D7CE6"/>
    <w:rsid w:val="009E008C"/>
    <w:rsid w:val="009E3ED6"/>
    <w:rsid w:val="009E4259"/>
    <w:rsid w:val="009F215B"/>
    <w:rsid w:val="009F496B"/>
    <w:rsid w:val="009F5611"/>
    <w:rsid w:val="009F75C0"/>
    <w:rsid w:val="00A0125A"/>
    <w:rsid w:val="00A01439"/>
    <w:rsid w:val="00A01F63"/>
    <w:rsid w:val="00A02E61"/>
    <w:rsid w:val="00A05CFF"/>
    <w:rsid w:val="00A11094"/>
    <w:rsid w:val="00A13048"/>
    <w:rsid w:val="00A139C7"/>
    <w:rsid w:val="00A16BAD"/>
    <w:rsid w:val="00A20640"/>
    <w:rsid w:val="00A21038"/>
    <w:rsid w:val="00A22D37"/>
    <w:rsid w:val="00A262D0"/>
    <w:rsid w:val="00A37176"/>
    <w:rsid w:val="00A40E8C"/>
    <w:rsid w:val="00A434D8"/>
    <w:rsid w:val="00A46843"/>
    <w:rsid w:val="00A513DC"/>
    <w:rsid w:val="00A532CA"/>
    <w:rsid w:val="00A55172"/>
    <w:rsid w:val="00A557F1"/>
    <w:rsid w:val="00A55941"/>
    <w:rsid w:val="00A56B97"/>
    <w:rsid w:val="00A606AF"/>
    <w:rsid w:val="00A6093D"/>
    <w:rsid w:val="00A61B4C"/>
    <w:rsid w:val="00A64814"/>
    <w:rsid w:val="00A655FA"/>
    <w:rsid w:val="00A70B93"/>
    <w:rsid w:val="00A70D6A"/>
    <w:rsid w:val="00A73869"/>
    <w:rsid w:val="00A740A6"/>
    <w:rsid w:val="00A767DC"/>
    <w:rsid w:val="00A76A6D"/>
    <w:rsid w:val="00A77A82"/>
    <w:rsid w:val="00A80AF1"/>
    <w:rsid w:val="00A83253"/>
    <w:rsid w:val="00A8360B"/>
    <w:rsid w:val="00A945CA"/>
    <w:rsid w:val="00A95693"/>
    <w:rsid w:val="00A9657E"/>
    <w:rsid w:val="00A96F30"/>
    <w:rsid w:val="00AA0E8E"/>
    <w:rsid w:val="00AA1CAC"/>
    <w:rsid w:val="00AA3C10"/>
    <w:rsid w:val="00AA696E"/>
    <w:rsid w:val="00AA6E84"/>
    <w:rsid w:val="00AB0A2D"/>
    <w:rsid w:val="00AB1A1C"/>
    <w:rsid w:val="00AB64B3"/>
    <w:rsid w:val="00AB6E0F"/>
    <w:rsid w:val="00AB719D"/>
    <w:rsid w:val="00AB7B6E"/>
    <w:rsid w:val="00AC05AB"/>
    <w:rsid w:val="00AC1463"/>
    <w:rsid w:val="00AC2411"/>
    <w:rsid w:val="00AC28D0"/>
    <w:rsid w:val="00AC3D07"/>
    <w:rsid w:val="00AC584A"/>
    <w:rsid w:val="00AD05A8"/>
    <w:rsid w:val="00AD6765"/>
    <w:rsid w:val="00AE04A7"/>
    <w:rsid w:val="00AE341B"/>
    <w:rsid w:val="00AE3E39"/>
    <w:rsid w:val="00AF4D15"/>
    <w:rsid w:val="00AF6258"/>
    <w:rsid w:val="00AF653F"/>
    <w:rsid w:val="00AF6B8E"/>
    <w:rsid w:val="00AF7749"/>
    <w:rsid w:val="00AF7BB0"/>
    <w:rsid w:val="00B01315"/>
    <w:rsid w:val="00B01905"/>
    <w:rsid w:val="00B03258"/>
    <w:rsid w:val="00B07CA7"/>
    <w:rsid w:val="00B11A6B"/>
    <w:rsid w:val="00B1279A"/>
    <w:rsid w:val="00B14E20"/>
    <w:rsid w:val="00B2153D"/>
    <w:rsid w:val="00B2253C"/>
    <w:rsid w:val="00B23C16"/>
    <w:rsid w:val="00B24C70"/>
    <w:rsid w:val="00B30DF9"/>
    <w:rsid w:val="00B316E1"/>
    <w:rsid w:val="00B35581"/>
    <w:rsid w:val="00B37A6C"/>
    <w:rsid w:val="00B37AD2"/>
    <w:rsid w:val="00B4194A"/>
    <w:rsid w:val="00B437E8"/>
    <w:rsid w:val="00B4642E"/>
    <w:rsid w:val="00B47354"/>
    <w:rsid w:val="00B50CEE"/>
    <w:rsid w:val="00B518E6"/>
    <w:rsid w:val="00B51D55"/>
    <w:rsid w:val="00B5222E"/>
    <w:rsid w:val="00B5247B"/>
    <w:rsid w:val="00B53179"/>
    <w:rsid w:val="00B57800"/>
    <w:rsid w:val="00B57A23"/>
    <w:rsid w:val="00B600CD"/>
    <w:rsid w:val="00B60156"/>
    <w:rsid w:val="00B60716"/>
    <w:rsid w:val="00B6153E"/>
    <w:rsid w:val="00B61C96"/>
    <w:rsid w:val="00B6239B"/>
    <w:rsid w:val="00B653E7"/>
    <w:rsid w:val="00B66730"/>
    <w:rsid w:val="00B67CA6"/>
    <w:rsid w:val="00B67F2A"/>
    <w:rsid w:val="00B71BAC"/>
    <w:rsid w:val="00B72A53"/>
    <w:rsid w:val="00B733BC"/>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A607C"/>
    <w:rsid w:val="00BB0355"/>
    <w:rsid w:val="00BB7A27"/>
    <w:rsid w:val="00BC10BA"/>
    <w:rsid w:val="00BC3E93"/>
    <w:rsid w:val="00BC585C"/>
    <w:rsid w:val="00BC5AFD"/>
    <w:rsid w:val="00BD0AC7"/>
    <w:rsid w:val="00BD0BFC"/>
    <w:rsid w:val="00BD4D32"/>
    <w:rsid w:val="00BD7AF0"/>
    <w:rsid w:val="00BD7DB0"/>
    <w:rsid w:val="00BE084C"/>
    <w:rsid w:val="00BE14A9"/>
    <w:rsid w:val="00BE1D9C"/>
    <w:rsid w:val="00BE7237"/>
    <w:rsid w:val="00BF03D7"/>
    <w:rsid w:val="00BF1604"/>
    <w:rsid w:val="00BF23E2"/>
    <w:rsid w:val="00BF4F32"/>
    <w:rsid w:val="00BF7555"/>
    <w:rsid w:val="00C00072"/>
    <w:rsid w:val="00C007DB"/>
    <w:rsid w:val="00C00DDE"/>
    <w:rsid w:val="00C032D9"/>
    <w:rsid w:val="00C04F43"/>
    <w:rsid w:val="00C0609D"/>
    <w:rsid w:val="00C07ABC"/>
    <w:rsid w:val="00C115AB"/>
    <w:rsid w:val="00C126BA"/>
    <w:rsid w:val="00C13301"/>
    <w:rsid w:val="00C135EE"/>
    <w:rsid w:val="00C226E5"/>
    <w:rsid w:val="00C24F8E"/>
    <w:rsid w:val="00C253D7"/>
    <w:rsid w:val="00C25CDB"/>
    <w:rsid w:val="00C26002"/>
    <w:rsid w:val="00C26242"/>
    <w:rsid w:val="00C26CCB"/>
    <w:rsid w:val="00C271C6"/>
    <w:rsid w:val="00C27D64"/>
    <w:rsid w:val="00C30249"/>
    <w:rsid w:val="00C3723B"/>
    <w:rsid w:val="00C42466"/>
    <w:rsid w:val="00C42534"/>
    <w:rsid w:val="00C427F8"/>
    <w:rsid w:val="00C50201"/>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874F3"/>
    <w:rsid w:val="00C87637"/>
    <w:rsid w:val="00C90650"/>
    <w:rsid w:val="00C9065C"/>
    <w:rsid w:val="00C90DC2"/>
    <w:rsid w:val="00C91177"/>
    <w:rsid w:val="00C97D78"/>
    <w:rsid w:val="00CA46F5"/>
    <w:rsid w:val="00CA71F1"/>
    <w:rsid w:val="00CB0C51"/>
    <w:rsid w:val="00CB4C6C"/>
    <w:rsid w:val="00CB7A81"/>
    <w:rsid w:val="00CC01B0"/>
    <w:rsid w:val="00CC07DE"/>
    <w:rsid w:val="00CC1BF6"/>
    <w:rsid w:val="00CC2AAE"/>
    <w:rsid w:val="00CC4E0C"/>
    <w:rsid w:val="00CC5A42"/>
    <w:rsid w:val="00CD02F6"/>
    <w:rsid w:val="00CD0EAB"/>
    <w:rsid w:val="00CD2B37"/>
    <w:rsid w:val="00CD3F5E"/>
    <w:rsid w:val="00CD62EA"/>
    <w:rsid w:val="00CD7201"/>
    <w:rsid w:val="00CE2A4D"/>
    <w:rsid w:val="00CE4377"/>
    <w:rsid w:val="00CE5E02"/>
    <w:rsid w:val="00CE61BB"/>
    <w:rsid w:val="00CF34DB"/>
    <w:rsid w:val="00CF4759"/>
    <w:rsid w:val="00CF558F"/>
    <w:rsid w:val="00CF5D51"/>
    <w:rsid w:val="00CF789F"/>
    <w:rsid w:val="00D010C0"/>
    <w:rsid w:val="00D04486"/>
    <w:rsid w:val="00D0634E"/>
    <w:rsid w:val="00D073E2"/>
    <w:rsid w:val="00D0791B"/>
    <w:rsid w:val="00D14B9C"/>
    <w:rsid w:val="00D23BB2"/>
    <w:rsid w:val="00D24078"/>
    <w:rsid w:val="00D25E63"/>
    <w:rsid w:val="00D313F9"/>
    <w:rsid w:val="00D33197"/>
    <w:rsid w:val="00D35856"/>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74950"/>
    <w:rsid w:val="00D807BF"/>
    <w:rsid w:val="00D82056"/>
    <w:rsid w:val="00D82FCC"/>
    <w:rsid w:val="00D9033E"/>
    <w:rsid w:val="00D90E70"/>
    <w:rsid w:val="00D91A1B"/>
    <w:rsid w:val="00DA1034"/>
    <w:rsid w:val="00DA17FC"/>
    <w:rsid w:val="00DA1F6E"/>
    <w:rsid w:val="00DA7887"/>
    <w:rsid w:val="00DB03F8"/>
    <w:rsid w:val="00DB0A8D"/>
    <w:rsid w:val="00DB2C26"/>
    <w:rsid w:val="00DB3D87"/>
    <w:rsid w:val="00DB74DA"/>
    <w:rsid w:val="00DC0F9D"/>
    <w:rsid w:val="00DC3127"/>
    <w:rsid w:val="00DC3840"/>
    <w:rsid w:val="00DC67C3"/>
    <w:rsid w:val="00DD02F4"/>
    <w:rsid w:val="00DD0400"/>
    <w:rsid w:val="00DD53D3"/>
    <w:rsid w:val="00DD616E"/>
    <w:rsid w:val="00DD6622"/>
    <w:rsid w:val="00DD6DB6"/>
    <w:rsid w:val="00DE1C7C"/>
    <w:rsid w:val="00DE5692"/>
    <w:rsid w:val="00DE5764"/>
    <w:rsid w:val="00DE6B43"/>
    <w:rsid w:val="00DE7530"/>
    <w:rsid w:val="00DE7BA2"/>
    <w:rsid w:val="00DF3963"/>
    <w:rsid w:val="00DF6888"/>
    <w:rsid w:val="00DF7EDB"/>
    <w:rsid w:val="00E005C9"/>
    <w:rsid w:val="00E102A6"/>
    <w:rsid w:val="00E11923"/>
    <w:rsid w:val="00E12B49"/>
    <w:rsid w:val="00E17224"/>
    <w:rsid w:val="00E21977"/>
    <w:rsid w:val="00E21C7C"/>
    <w:rsid w:val="00E254D6"/>
    <w:rsid w:val="00E262D4"/>
    <w:rsid w:val="00E30A5F"/>
    <w:rsid w:val="00E34FFA"/>
    <w:rsid w:val="00E36250"/>
    <w:rsid w:val="00E3665C"/>
    <w:rsid w:val="00E40083"/>
    <w:rsid w:val="00E4079C"/>
    <w:rsid w:val="00E4159E"/>
    <w:rsid w:val="00E4620A"/>
    <w:rsid w:val="00E47719"/>
    <w:rsid w:val="00E47D04"/>
    <w:rsid w:val="00E47F2D"/>
    <w:rsid w:val="00E54511"/>
    <w:rsid w:val="00E5499C"/>
    <w:rsid w:val="00E56518"/>
    <w:rsid w:val="00E5764D"/>
    <w:rsid w:val="00E6070F"/>
    <w:rsid w:val="00E6175D"/>
    <w:rsid w:val="00E61DAC"/>
    <w:rsid w:val="00E65196"/>
    <w:rsid w:val="00E6724E"/>
    <w:rsid w:val="00E72B80"/>
    <w:rsid w:val="00E74486"/>
    <w:rsid w:val="00E75FE3"/>
    <w:rsid w:val="00E81C25"/>
    <w:rsid w:val="00E84496"/>
    <w:rsid w:val="00E86C4C"/>
    <w:rsid w:val="00E907A3"/>
    <w:rsid w:val="00E90E0E"/>
    <w:rsid w:val="00E96048"/>
    <w:rsid w:val="00EA14F4"/>
    <w:rsid w:val="00EA38EC"/>
    <w:rsid w:val="00EA5AE0"/>
    <w:rsid w:val="00EA6D19"/>
    <w:rsid w:val="00EB153C"/>
    <w:rsid w:val="00EB36EA"/>
    <w:rsid w:val="00EB434C"/>
    <w:rsid w:val="00EB4D96"/>
    <w:rsid w:val="00EB56E1"/>
    <w:rsid w:val="00EB61D2"/>
    <w:rsid w:val="00EB7AB1"/>
    <w:rsid w:val="00EC33E1"/>
    <w:rsid w:val="00EC6942"/>
    <w:rsid w:val="00ED220E"/>
    <w:rsid w:val="00ED2A7D"/>
    <w:rsid w:val="00ED4096"/>
    <w:rsid w:val="00EE05AE"/>
    <w:rsid w:val="00EE1038"/>
    <w:rsid w:val="00EE13C1"/>
    <w:rsid w:val="00EE2748"/>
    <w:rsid w:val="00EE5A01"/>
    <w:rsid w:val="00EE77AD"/>
    <w:rsid w:val="00EE7CD8"/>
    <w:rsid w:val="00EF37F6"/>
    <w:rsid w:val="00EF48CC"/>
    <w:rsid w:val="00EF7F31"/>
    <w:rsid w:val="00F00801"/>
    <w:rsid w:val="00F00B21"/>
    <w:rsid w:val="00F00C2B"/>
    <w:rsid w:val="00F02285"/>
    <w:rsid w:val="00F068A9"/>
    <w:rsid w:val="00F06A43"/>
    <w:rsid w:val="00F17039"/>
    <w:rsid w:val="00F2158B"/>
    <w:rsid w:val="00F242A5"/>
    <w:rsid w:val="00F2488D"/>
    <w:rsid w:val="00F30A85"/>
    <w:rsid w:val="00F32634"/>
    <w:rsid w:val="00F32DFB"/>
    <w:rsid w:val="00F43CA7"/>
    <w:rsid w:val="00F46711"/>
    <w:rsid w:val="00F50CA7"/>
    <w:rsid w:val="00F53403"/>
    <w:rsid w:val="00F556DB"/>
    <w:rsid w:val="00F57CB7"/>
    <w:rsid w:val="00F601A0"/>
    <w:rsid w:val="00F61872"/>
    <w:rsid w:val="00F6576E"/>
    <w:rsid w:val="00F712E9"/>
    <w:rsid w:val="00F72F49"/>
    <w:rsid w:val="00F73032"/>
    <w:rsid w:val="00F73BD5"/>
    <w:rsid w:val="00F74E6E"/>
    <w:rsid w:val="00F756B3"/>
    <w:rsid w:val="00F761D7"/>
    <w:rsid w:val="00F8105F"/>
    <w:rsid w:val="00F848F1"/>
    <w:rsid w:val="00F848FC"/>
    <w:rsid w:val="00F906F6"/>
    <w:rsid w:val="00F927D9"/>
    <w:rsid w:val="00F9282A"/>
    <w:rsid w:val="00F92AB3"/>
    <w:rsid w:val="00F93577"/>
    <w:rsid w:val="00F96BAD"/>
    <w:rsid w:val="00F96F3F"/>
    <w:rsid w:val="00FA139D"/>
    <w:rsid w:val="00FA1504"/>
    <w:rsid w:val="00FA1DBD"/>
    <w:rsid w:val="00FA691A"/>
    <w:rsid w:val="00FB0E84"/>
    <w:rsid w:val="00FB30C1"/>
    <w:rsid w:val="00FB4542"/>
    <w:rsid w:val="00FB547C"/>
    <w:rsid w:val="00FB6AE3"/>
    <w:rsid w:val="00FB6E07"/>
    <w:rsid w:val="00FC029F"/>
    <w:rsid w:val="00FC18EF"/>
    <w:rsid w:val="00FC2405"/>
    <w:rsid w:val="00FC46B1"/>
    <w:rsid w:val="00FC497C"/>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52646752">
      <w:bodyDiv w:val="1"/>
      <w:marLeft w:val="0"/>
      <w:marRight w:val="0"/>
      <w:marTop w:val="0"/>
      <w:marBottom w:val="0"/>
      <w:divBdr>
        <w:top w:val="none" w:sz="0" w:space="0" w:color="auto"/>
        <w:left w:val="none" w:sz="0" w:space="0" w:color="auto"/>
        <w:bottom w:val="none" w:sz="0" w:space="0" w:color="auto"/>
        <w:right w:val="none" w:sz="0" w:space="0" w:color="auto"/>
      </w:divBdr>
    </w:div>
    <w:div w:id="194123570">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33010411">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385688928">
      <w:bodyDiv w:val="1"/>
      <w:marLeft w:val="0"/>
      <w:marRight w:val="0"/>
      <w:marTop w:val="0"/>
      <w:marBottom w:val="0"/>
      <w:divBdr>
        <w:top w:val="none" w:sz="0" w:space="0" w:color="auto"/>
        <w:left w:val="none" w:sz="0" w:space="0" w:color="auto"/>
        <w:bottom w:val="none" w:sz="0" w:space="0" w:color="auto"/>
        <w:right w:val="none" w:sz="0" w:space="0" w:color="auto"/>
      </w:divBdr>
    </w:div>
    <w:div w:id="39913435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59558222">
      <w:bodyDiv w:val="1"/>
      <w:marLeft w:val="0"/>
      <w:marRight w:val="0"/>
      <w:marTop w:val="0"/>
      <w:marBottom w:val="0"/>
      <w:divBdr>
        <w:top w:val="none" w:sz="0" w:space="0" w:color="auto"/>
        <w:left w:val="none" w:sz="0" w:space="0" w:color="auto"/>
        <w:bottom w:val="none" w:sz="0" w:space="0" w:color="auto"/>
        <w:right w:val="none" w:sz="0" w:space="0" w:color="auto"/>
      </w:divBdr>
    </w:div>
    <w:div w:id="577635181">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4189972">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594828664">
      <w:bodyDiv w:val="1"/>
      <w:marLeft w:val="0"/>
      <w:marRight w:val="0"/>
      <w:marTop w:val="0"/>
      <w:marBottom w:val="0"/>
      <w:divBdr>
        <w:top w:val="none" w:sz="0" w:space="0" w:color="auto"/>
        <w:left w:val="none" w:sz="0" w:space="0" w:color="auto"/>
        <w:bottom w:val="none" w:sz="0" w:space="0" w:color="auto"/>
        <w:right w:val="none" w:sz="0" w:space="0" w:color="auto"/>
      </w:divBdr>
      <w:divsChild>
        <w:div w:id="1667588639">
          <w:marLeft w:val="576"/>
          <w:marRight w:val="0"/>
          <w:marTop w:val="0"/>
          <w:marBottom w:val="120"/>
          <w:divBdr>
            <w:top w:val="none" w:sz="0" w:space="0" w:color="auto"/>
            <w:left w:val="none" w:sz="0" w:space="0" w:color="auto"/>
            <w:bottom w:val="none" w:sz="0" w:space="0" w:color="auto"/>
            <w:right w:val="none" w:sz="0" w:space="0" w:color="auto"/>
          </w:divBdr>
        </w:div>
        <w:div w:id="1872062202">
          <w:marLeft w:val="576"/>
          <w:marRight w:val="0"/>
          <w:marTop w:val="0"/>
          <w:marBottom w:val="120"/>
          <w:divBdr>
            <w:top w:val="none" w:sz="0" w:space="0" w:color="auto"/>
            <w:left w:val="none" w:sz="0" w:space="0" w:color="auto"/>
            <w:bottom w:val="none" w:sz="0" w:space="0" w:color="auto"/>
            <w:right w:val="none" w:sz="0" w:space="0" w:color="auto"/>
          </w:divBdr>
        </w:div>
      </w:divsChild>
    </w:div>
    <w:div w:id="616176738">
      <w:bodyDiv w:val="1"/>
      <w:marLeft w:val="0"/>
      <w:marRight w:val="0"/>
      <w:marTop w:val="0"/>
      <w:marBottom w:val="0"/>
      <w:divBdr>
        <w:top w:val="none" w:sz="0" w:space="0" w:color="auto"/>
        <w:left w:val="none" w:sz="0" w:space="0" w:color="auto"/>
        <w:bottom w:val="none" w:sz="0" w:space="0" w:color="auto"/>
        <w:right w:val="none" w:sz="0" w:space="0" w:color="auto"/>
      </w:divBdr>
      <w:divsChild>
        <w:div w:id="963654508">
          <w:marLeft w:val="446"/>
          <w:marRight w:val="0"/>
          <w:marTop w:val="0"/>
          <w:marBottom w:val="0"/>
          <w:divBdr>
            <w:top w:val="none" w:sz="0" w:space="0" w:color="auto"/>
            <w:left w:val="none" w:sz="0" w:space="0" w:color="auto"/>
            <w:bottom w:val="none" w:sz="0" w:space="0" w:color="auto"/>
            <w:right w:val="none" w:sz="0" w:space="0" w:color="auto"/>
          </w:divBdr>
        </w:div>
        <w:div w:id="1003241637">
          <w:marLeft w:val="446"/>
          <w:marRight w:val="0"/>
          <w:marTop w:val="0"/>
          <w:marBottom w:val="0"/>
          <w:divBdr>
            <w:top w:val="none" w:sz="0" w:space="0" w:color="auto"/>
            <w:left w:val="none" w:sz="0" w:space="0" w:color="auto"/>
            <w:bottom w:val="none" w:sz="0" w:space="0" w:color="auto"/>
            <w:right w:val="none" w:sz="0" w:space="0" w:color="auto"/>
          </w:divBdr>
        </w:div>
      </w:divsChild>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4820549">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35413295">
      <w:bodyDiv w:val="1"/>
      <w:marLeft w:val="0"/>
      <w:marRight w:val="0"/>
      <w:marTop w:val="0"/>
      <w:marBottom w:val="0"/>
      <w:divBdr>
        <w:top w:val="none" w:sz="0" w:space="0" w:color="auto"/>
        <w:left w:val="none" w:sz="0" w:space="0" w:color="auto"/>
        <w:bottom w:val="none" w:sz="0" w:space="0" w:color="auto"/>
        <w:right w:val="none" w:sz="0" w:space="0" w:color="auto"/>
      </w:divBdr>
      <w:divsChild>
        <w:div w:id="898057048">
          <w:marLeft w:val="576"/>
          <w:marRight w:val="0"/>
          <w:marTop w:val="0"/>
          <w:marBottom w:val="120"/>
          <w:divBdr>
            <w:top w:val="none" w:sz="0" w:space="0" w:color="auto"/>
            <w:left w:val="none" w:sz="0" w:space="0" w:color="auto"/>
            <w:bottom w:val="none" w:sz="0" w:space="0" w:color="auto"/>
            <w:right w:val="none" w:sz="0" w:space="0" w:color="auto"/>
          </w:divBdr>
        </w:div>
      </w:divsChild>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894122703">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10217842">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1419422">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85513242">
      <w:bodyDiv w:val="1"/>
      <w:marLeft w:val="0"/>
      <w:marRight w:val="0"/>
      <w:marTop w:val="0"/>
      <w:marBottom w:val="0"/>
      <w:divBdr>
        <w:top w:val="none" w:sz="0" w:space="0" w:color="auto"/>
        <w:left w:val="none" w:sz="0" w:space="0" w:color="auto"/>
        <w:bottom w:val="none" w:sz="0" w:space="0" w:color="auto"/>
        <w:right w:val="none" w:sz="0" w:space="0" w:color="auto"/>
      </w:divBdr>
    </w:div>
    <w:div w:id="1489326530">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34490806">
      <w:bodyDiv w:val="1"/>
      <w:marLeft w:val="0"/>
      <w:marRight w:val="0"/>
      <w:marTop w:val="0"/>
      <w:marBottom w:val="0"/>
      <w:divBdr>
        <w:top w:val="none" w:sz="0" w:space="0" w:color="auto"/>
        <w:left w:val="none" w:sz="0" w:space="0" w:color="auto"/>
        <w:bottom w:val="none" w:sz="0" w:space="0" w:color="auto"/>
        <w:right w:val="none" w:sz="0" w:space="0" w:color="auto"/>
      </w:divBdr>
    </w:div>
    <w:div w:id="1587492999">
      <w:bodyDiv w:val="1"/>
      <w:marLeft w:val="0"/>
      <w:marRight w:val="0"/>
      <w:marTop w:val="0"/>
      <w:marBottom w:val="0"/>
      <w:divBdr>
        <w:top w:val="none" w:sz="0" w:space="0" w:color="auto"/>
        <w:left w:val="none" w:sz="0" w:space="0" w:color="auto"/>
        <w:bottom w:val="none" w:sz="0" w:space="0" w:color="auto"/>
        <w:right w:val="none" w:sz="0" w:space="0" w:color="auto"/>
      </w:divBdr>
    </w:div>
    <w:div w:id="1628730589">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4610035">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87602413">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995" TargetMode="External"/><Relationship Id="rId18" Type="http://schemas.openxmlformats.org/officeDocument/2006/relationships/hyperlink" Target="http://phenix.it-sudparis.eu/jvet/doc_end_user/current_document.php?id=512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4910" TargetMode="External"/><Relationship Id="rId17" Type="http://schemas.openxmlformats.org/officeDocument/2006/relationships/hyperlink" Target="http://phenix.it-sudparis.eu/jvet/doc_end_user/current_document.php?id=4924"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491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149"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4918" TargetMode="External"/><Relationship Id="rId10" Type="http://schemas.openxmlformats.org/officeDocument/2006/relationships/hyperlink" Target="http://phenix.it-sudparis.eu/jvet/doc_end_user/current_document.php?id=4886" TargetMode="External"/><Relationship Id="rId19" Type="http://schemas.openxmlformats.org/officeDocument/2006/relationships/hyperlink" Target="http://phenix.it-sudparis.eu/jvet/doc_end_user/current_document.php?id=55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53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5DE8-16C0-4C28-B984-CB6A05E4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3</cp:revision>
  <cp:lastPrinted>1900-01-01T08:00:00Z</cp:lastPrinted>
  <dcterms:created xsi:type="dcterms:W3CDTF">2019-01-15T22:41:00Z</dcterms:created>
  <dcterms:modified xsi:type="dcterms:W3CDTF">2019-01-15T22:41:00Z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