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4C46E7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F1036">
              <w:rPr>
                <w:lang w:val="en-CA"/>
              </w:rPr>
              <w:t>M0224</w:t>
            </w:r>
            <w:r w:rsidR="006601B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810"/>
        <w:gridCol w:w="3870"/>
      </w:tblGrid>
      <w:tr w:rsidR="00E61DAC" w:rsidRPr="005B217D" w14:paraId="188D2B50" w14:textId="77777777" w:rsidTr="00F32A0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045E4C63" w:rsidR="00E61DAC" w:rsidRPr="005B217D" w:rsidRDefault="009459D9" w:rsidP="004930F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87073">
              <w:rPr>
                <w:b/>
                <w:szCs w:val="22"/>
                <w:lang w:val="en-CA"/>
              </w:rPr>
              <w:t>10</w:t>
            </w:r>
            <w:r w:rsidR="00AF1251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F1251">
              <w:rPr>
                <w:b/>
                <w:szCs w:val="22"/>
                <w:lang w:val="en-CA"/>
              </w:rPr>
              <w:t>Local illumination compensation</w:t>
            </w:r>
            <w:r w:rsidR="00AA3436">
              <w:rPr>
                <w:b/>
                <w:szCs w:val="22"/>
                <w:lang w:val="en-CA"/>
              </w:rPr>
              <w:t xml:space="preserve"> simplification</w:t>
            </w:r>
            <w:r w:rsidR="006950CF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F32A0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32A0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B5BD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335824D5" w14:textId="77777777" w:rsidR="00E61DAC" w:rsidRDefault="005B5B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Saurav Bandyopadhyay</w:t>
            </w:r>
          </w:p>
          <w:p w14:paraId="6F63B782" w14:textId="00CE46C9" w:rsidR="005B5BD9" w:rsidRDefault="005B5B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  <w:p w14:paraId="49D81240" w14:textId="058D610B" w:rsidR="005B5BD9" w:rsidRPr="005B217D" w:rsidRDefault="005B5B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</w:t>
            </w:r>
          </w:p>
        </w:tc>
        <w:tc>
          <w:tcPr>
            <w:tcW w:w="81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70" w:type="dxa"/>
          </w:tcPr>
          <w:p w14:paraId="679B2374" w14:textId="73921FB9" w:rsidR="008346AF" w:rsidRDefault="00EB797D" w:rsidP="00F32A0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B5BD9" w:rsidRPr="00415DC2">
                <w:rPr>
                  <w:rStyle w:val="Hyperlink"/>
                  <w:szCs w:val="22"/>
                  <w:lang w:val="en-CA"/>
                </w:rPr>
                <w:t>saurav.bandyopadhyay@interdigital.com</w:t>
              </w:r>
            </w:hyperlink>
          </w:p>
          <w:p w14:paraId="32C2ABFD" w14:textId="6DE893E5" w:rsidR="005B5BD9" w:rsidRPr="005B217D" w:rsidRDefault="00EB797D" w:rsidP="00F32A0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B5BD9" w:rsidRPr="00415DC2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  <w:r w:rsidR="005B5BD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F32A05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5A73FC68" w:rsidR="00E61DAC" w:rsidRPr="005B217D" w:rsidRDefault="00087073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1B2DA6" w14:textId="2DA66D29" w:rsidR="005C22AE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AF1251">
        <w:rPr>
          <w:lang w:val="en-CA"/>
        </w:rPr>
        <w:t xml:space="preserve">proposes simplifications </w:t>
      </w:r>
      <w:r w:rsidR="005C22AE">
        <w:rPr>
          <w:lang w:val="en-CA"/>
        </w:rPr>
        <w:t>to Local Illumination Compensation (LIC)</w:t>
      </w:r>
      <w:r w:rsidR="006601B9">
        <w:rPr>
          <w:lang w:val="en-CA"/>
        </w:rPr>
        <w:t xml:space="preserve"> based on CE 10.5</w:t>
      </w:r>
      <w:r w:rsidR="00C525EC">
        <w:rPr>
          <w:lang w:val="en-CA"/>
        </w:rPr>
        <w:t>.2</w:t>
      </w:r>
      <w:r w:rsidR="005C22AE">
        <w:rPr>
          <w:lang w:val="en-CA"/>
        </w:rPr>
        <w:t xml:space="preserve">. LIC is </w:t>
      </w:r>
      <w:r w:rsidR="00EE0E24">
        <w:rPr>
          <w:lang w:val="en-CA"/>
        </w:rPr>
        <w:t xml:space="preserve">used </w:t>
      </w:r>
      <w:r w:rsidR="005C22AE">
        <w:rPr>
          <w:lang w:val="en-CA"/>
        </w:rPr>
        <w:t xml:space="preserve">to compensate </w:t>
      </w:r>
      <w:r w:rsidR="00E044DC">
        <w:rPr>
          <w:lang w:val="en-CA"/>
        </w:rPr>
        <w:t xml:space="preserve">for </w:t>
      </w:r>
      <w:r w:rsidR="005C22AE">
        <w:rPr>
          <w:lang w:val="en-CA"/>
        </w:rPr>
        <w:t xml:space="preserve">the illumination changes at the motion compensation stage that exists in-between the temporal reference </w:t>
      </w:r>
      <w:r w:rsidR="00AF1251">
        <w:rPr>
          <w:lang w:val="en-CA"/>
        </w:rPr>
        <w:t xml:space="preserve">block </w:t>
      </w:r>
      <w:r w:rsidR="005C22AE">
        <w:rPr>
          <w:lang w:val="en-CA"/>
        </w:rPr>
        <w:t xml:space="preserve">and the current </w:t>
      </w:r>
      <w:r w:rsidR="00AF1251">
        <w:rPr>
          <w:lang w:val="en-CA"/>
        </w:rPr>
        <w:t xml:space="preserve">coding block </w:t>
      </w:r>
      <w:r w:rsidR="005C22AE">
        <w:rPr>
          <w:lang w:val="en-CA"/>
        </w:rPr>
        <w:t>based on a linear model.</w:t>
      </w:r>
      <w:r w:rsidR="00D1042A">
        <w:rPr>
          <w:lang w:val="en-CA"/>
        </w:rPr>
        <w:t xml:space="preserve"> </w:t>
      </w:r>
      <w:r w:rsidR="00EE0E24">
        <w:rPr>
          <w:lang w:val="en-CA"/>
        </w:rPr>
        <w:t xml:space="preserve">Traditionally, the LIC parameters e.g. scaling factor and the offset are separately estimated for each prediction direction when bi-prediction is applied. In </w:t>
      </w:r>
      <w:r w:rsidR="00AF1251">
        <w:rPr>
          <w:lang w:val="en-CA"/>
        </w:rPr>
        <w:t>the simplified</w:t>
      </w:r>
      <w:r w:rsidR="00EE0E24">
        <w:rPr>
          <w:lang w:val="en-CA"/>
        </w:rPr>
        <w:t xml:space="preserve"> method</w:t>
      </w:r>
      <w:r w:rsidR="00D1042A">
        <w:rPr>
          <w:lang w:val="en-CA"/>
        </w:rPr>
        <w:t xml:space="preserve">, the </w:t>
      </w:r>
      <w:r w:rsidR="00EE0E24">
        <w:rPr>
          <w:lang w:val="en-CA"/>
        </w:rPr>
        <w:t xml:space="preserve">bi-prediction reference samples of the template samples are first generated using </w:t>
      </w:r>
      <w:r w:rsidR="00AA51EE">
        <w:rPr>
          <w:szCs w:val="22"/>
          <w:lang w:val="en-CA"/>
        </w:rPr>
        <w:t>bi-predictive weighted average (BPWA)</w:t>
      </w:r>
      <w:r w:rsidR="00484EE2">
        <w:rPr>
          <w:lang w:val="en-CA"/>
        </w:rPr>
        <w:t xml:space="preserve"> </w:t>
      </w:r>
      <w:r w:rsidR="00EE0E24">
        <w:rPr>
          <w:lang w:val="en-CA"/>
        </w:rPr>
        <w:t xml:space="preserve">based on the motion vectors of the current block. Then the LIC parameters </w:t>
      </w:r>
      <w:r w:rsidR="006601B9">
        <w:rPr>
          <w:lang w:val="en-CA"/>
        </w:rPr>
        <w:t xml:space="preserve">are derived </w:t>
      </w:r>
      <w:r w:rsidR="00EE0E24">
        <w:rPr>
          <w:lang w:val="en-CA"/>
        </w:rPr>
        <w:t xml:space="preserve">by minimizing the difference between the template reference samples and the template samples. </w:t>
      </w:r>
      <w:r w:rsidR="006601B9">
        <w:rPr>
          <w:szCs w:val="22"/>
          <w:lang w:val="en-CA"/>
        </w:rPr>
        <w:t>In additional to</w:t>
      </w:r>
      <w:r w:rsidR="0037438D">
        <w:rPr>
          <w:szCs w:val="22"/>
          <w:lang w:val="en-CA"/>
        </w:rPr>
        <w:t xml:space="preserve"> </w:t>
      </w:r>
      <w:r w:rsidR="006601B9">
        <w:rPr>
          <w:szCs w:val="22"/>
          <w:lang w:val="en-CA"/>
        </w:rPr>
        <w:t xml:space="preserve">disabling </w:t>
      </w:r>
      <w:r w:rsidR="00901519">
        <w:rPr>
          <w:szCs w:val="22"/>
          <w:lang w:val="en-CA"/>
        </w:rPr>
        <w:t xml:space="preserve">LIC for affine merge </w:t>
      </w:r>
      <w:r w:rsidR="0037438D">
        <w:rPr>
          <w:szCs w:val="22"/>
          <w:lang w:val="en-CA"/>
        </w:rPr>
        <w:t>&amp;</w:t>
      </w:r>
      <w:r w:rsidR="00901519">
        <w:rPr>
          <w:szCs w:val="22"/>
          <w:lang w:val="en-CA"/>
        </w:rPr>
        <w:t xml:space="preserve"> triangle uni-prediction modes</w:t>
      </w:r>
      <w:r w:rsidR="006601B9">
        <w:rPr>
          <w:szCs w:val="22"/>
          <w:lang w:val="en-CA"/>
        </w:rPr>
        <w:t>, which is the same as that in CE 10.5</w:t>
      </w:r>
      <w:r w:rsidR="00C525EC">
        <w:rPr>
          <w:szCs w:val="22"/>
          <w:lang w:val="en-CA"/>
        </w:rPr>
        <w:t>.2</w:t>
      </w:r>
      <w:r w:rsidR="006601B9">
        <w:rPr>
          <w:szCs w:val="22"/>
          <w:lang w:val="en-CA"/>
        </w:rPr>
        <w:t>, t</w:t>
      </w:r>
      <w:r w:rsidR="00715B8C">
        <w:rPr>
          <w:szCs w:val="22"/>
          <w:lang w:val="en-CA"/>
        </w:rPr>
        <w:t xml:space="preserve">he proposed </w:t>
      </w:r>
      <w:r w:rsidR="00290F72">
        <w:rPr>
          <w:szCs w:val="22"/>
          <w:lang w:val="en-CA"/>
        </w:rPr>
        <w:t xml:space="preserve">simplifications </w:t>
      </w:r>
      <w:r w:rsidR="006601B9">
        <w:rPr>
          <w:szCs w:val="22"/>
          <w:lang w:val="en-CA"/>
        </w:rPr>
        <w:t xml:space="preserve">further </w:t>
      </w:r>
      <w:r w:rsidR="00CC06E3">
        <w:rPr>
          <w:szCs w:val="22"/>
          <w:lang w:val="en-CA"/>
        </w:rPr>
        <w:t>disabl</w:t>
      </w:r>
      <w:r w:rsidR="00715B8C">
        <w:rPr>
          <w:szCs w:val="22"/>
          <w:lang w:val="en-CA"/>
        </w:rPr>
        <w:t>e</w:t>
      </w:r>
      <w:r w:rsidR="00CC06E3">
        <w:rPr>
          <w:szCs w:val="22"/>
          <w:lang w:val="en-CA"/>
        </w:rPr>
        <w:t xml:space="preserve"> </w:t>
      </w:r>
      <w:r w:rsidR="00901519">
        <w:rPr>
          <w:szCs w:val="22"/>
          <w:lang w:val="en-CA"/>
        </w:rPr>
        <w:t>LIC</w:t>
      </w:r>
      <w:r w:rsidR="00715B8C">
        <w:rPr>
          <w:szCs w:val="22"/>
          <w:lang w:val="en-CA"/>
        </w:rPr>
        <w:t xml:space="preserve"> for ATMVP sub-block merge mode</w:t>
      </w:r>
      <w:r w:rsidR="00D069CA">
        <w:rPr>
          <w:szCs w:val="22"/>
          <w:lang w:val="en-CA"/>
        </w:rPr>
        <w:t xml:space="preserve">. </w:t>
      </w:r>
    </w:p>
    <w:p w14:paraId="723883F2" w14:textId="5213B78F" w:rsidR="00263398" w:rsidRDefault="00812019" w:rsidP="009234A5">
      <w:pPr>
        <w:rPr>
          <w:lang w:val="en-CA"/>
        </w:rPr>
      </w:pPr>
      <w:r>
        <w:rPr>
          <w:lang w:val="en-CA"/>
        </w:rPr>
        <w:t xml:space="preserve">The </w:t>
      </w:r>
      <w:r w:rsidR="00E43A34">
        <w:rPr>
          <w:lang w:val="en-CA"/>
        </w:rPr>
        <w:t>simplification</w:t>
      </w:r>
      <w:r>
        <w:rPr>
          <w:lang w:val="en-CA"/>
        </w:rPr>
        <w:t xml:space="preserve"> results in PSNR-Y, U, V BD-rate </w:t>
      </w:r>
      <w:r w:rsidR="00B7755A">
        <w:rPr>
          <w:lang w:val="en-CA"/>
        </w:rPr>
        <w:t>variations</w:t>
      </w:r>
      <w:r>
        <w:rPr>
          <w:lang w:val="en-CA"/>
        </w:rPr>
        <w:t xml:space="preserve"> </w:t>
      </w:r>
      <w:r w:rsidR="00900115">
        <w:rPr>
          <w:lang w:val="en-CA"/>
        </w:rPr>
        <w:t xml:space="preserve">of </w:t>
      </w:r>
      <w:r w:rsidR="00032B39">
        <w:rPr>
          <w:lang w:val="en-CA"/>
        </w:rPr>
        <w:t>{</w:t>
      </w:r>
      <w:r w:rsidR="003222B3">
        <w:rPr>
          <w:lang w:val="en-CA"/>
        </w:rPr>
        <w:t>-0.63</w:t>
      </w:r>
      <w:r w:rsidR="00EE442B">
        <w:rPr>
          <w:lang w:val="en-CA"/>
        </w:rPr>
        <w:t xml:space="preserve">%, </w:t>
      </w:r>
      <w:r w:rsidR="009B22A6">
        <w:rPr>
          <w:lang w:val="en-CA"/>
        </w:rPr>
        <w:t>-</w:t>
      </w:r>
      <w:r w:rsidR="00DF271A">
        <w:rPr>
          <w:lang w:val="en-CA"/>
        </w:rPr>
        <w:t>0.</w:t>
      </w:r>
      <w:r w:rsidR="003222B3">
        <w:rPr>
          <w:lang w:val="en-CA"/>
        </w:rPr>
        <w:t>35</w:t>
      </w:r>
      <w:r w:rsidR="00617F52">
        <w:rPr>
          <w:lang w:val="en-CA"/>
        </w:rPr>
        <w:t xml:space="preserve">%, </w:t>
      </w:r>
      <w:r w:rsidR="003222B3">
        <w:rPr>
          <w:lang w:val="en-CA"/>
        </w:rPr>
        <w:t>-</w:t>
      </w:r>
      <w:r w:rsidR="00DF271A">
        <w:rPr>
          <w:lang w:val="en-CA"/>
        </w:rPr>
        <w:t>0.</w:t>
      </w:r>
      <w:r w:rsidR="003222B3">
        <w:rPr>
          <w:lang w:val="en-CA"/>
        </w:rPr>
        <w:t>45</w:t>
      </w:r>
      <w:r w:rsidR="00617F52">
        <w:rPr>
          <w:lang w:val="en-CA"/>
        </w:rPr>
        <w:t>%</w:t>
      </w:r>
      <w:r w:rsidR="00032B39">
        <w:rPr>
          <w:lang w:val="en-CA"/>
        </w:rPr>
        <w:t>}</w:t>
      </w:r>
      <w:r>
        <w:rPr>
          <w:lang w:val="en-CA"/>
        </w:rPr>
        <w:t xml:space="preserve"> </w:t>
      </w:r>
      <w:r w:rsidR="003222B3">
        <w:rPr>
          <w:lang w:val="en-CA"/>
        </w:rPr>
        <w:t xml:space="preserve">gain </w:t>
      </w:r>
      <w:r>
        <w:rPr>
          <w:lang w:val="en-CA"/>
        </w:rPr>
        <w:t xml:space="preserve">in </w:t>
      </w:r>
      <w:r w:rsidR="004A520C">
        <w:rPr>
          <w:lang w:val="en-CA"/>
        </w:rPr>
        <w:t>RA</w:t>
      </w:r>
      <w:r>
        <w:rPr>
          <w:lang w:val="en-CA"/>
        </w:rPr>
        <w:t xml:space="preserve"> </w:t>
      </w:r>
      <w:r w:rsidR="00E57F68">
        <w:rPr>
          <w:lang w:val="en-CA"/>
        </w:rPr>
        <w:t>configuration</w:t>
      </w:r>
      <w:r w:rsidR="009B22A6">
        <w:rPr>
          <w:lang w:val="en-CA"/>
        </w:rPr>
        <w:t xml:space="preserve"> </w:t>
      </w:r>
      <w:r w:rsidR="003222B3">
        <w:rPr>
          <w:lang w:val="en-CA"/>
        </w:rPr>
        <w:t xml:space="preserve">over VTM3.0 and </w:t>
      </w:r>
      <w:r w:rsidR="00032B39">
        <w:rPr>
          <w:lang w:val="en-CA"/>
        </w:rPr>
        <w:t>{</w:t>
      </w:r>
      <w:r w:rsidR="00C66C1C">
        <w:rPr>
          <w:lang w:val="en-CA"/>
        </w:rPr>
        <w:t>-0.07%, -0.04</w:t>
      </w:r>
      <w:r w:rsidR="00C66C1C" w:rsidRPr="00812019">
        <w:rPr>
          <w:lang w:val="en-CA"/>
        </w:rPr>
        <w:t>%</w:t>
      </w:r>
      <w:r w:rsidR="00C66C1C">
        <w:rPr>
          <w:lang w:val="en-CA"/>
        </w:rPr>
        <w:t>, -0.09</w:t>
      </w:r>
      <w:r w:rsidR="00C66C1C" w:rsidRPr="00812019">
        <w:rPr>
          <w:lang w:val="en-CA"/>
        </w:rPr>
        <w:t>%</w:t>
      </w:r>
      <w:r w:rsidR="00032B39">
        <w:rPr>
          <w:lang w:val="en-CA"/>
        </w:rPr>
        <w:t>}</w:t>
      </w:r>
      <w:r w:rsidR="00C66C1C" w:rsidRPr="00812019">
        <w:rPr>
          <w:lang w:val="en-CA"/>
        </w:rPr>
        <w:t xml:space="preserve"> </w:t>
      </w:r>
      <w:r w:rsidR="00C66C1C">
        <w:rPr>
          <w:lang w:val="en-CA"/>
        </w:rPr>
        <w:t>gain over CE10.5</w:t>
      </w:r>
      <w:r w:rsidR="00032B39">
        <w:rPr>
          <w:lang w:val="en-CA"/>
        </w:rPr>
        <w:t>.2</w:t>
      </w:r>
      <w:r w:rsidR="00C66C1C">
        <w:rPr>
          <w:lang w:val="en-CA"/>
        </w:rPr>
        <w:t xml:space="preserve"> </w:t>
      </w:r>
      <w:r>
        <w:rPr>
          <w:lang w:val="en-CA"/>
        </w:rPr>
        <w:t xml:space="preserve">in </w:t>
      </w:r>
      <w:r w:rsidR="00C66C1C">
        <w:rPr>
          <w:lang w:val="en-CA"/>
        </w:rPr>
        <w:t xml:space="preserve">RA </w:t>
      </w:r>
      <w:r>
        <w:rPr>
          <w:lang w:val="en-CA"/>
        </w:rPr>
        <w:t>configuration</w:t>
      </w:r>
      <w:r w:rsidR="004930F6">
        <w:rPr>
          <w:lang w:val="en-CA"/>
        </w:rPr>
        <w:t>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D0E1E20" w14:textId="1A9BE4E8" w:rsidR="00133F89" w:rsidRDefault="00133F89" w:rsidP="00133F89">
      <w:pPr>
        <w:spacing w:before="240" w:after="240"/>
        <w:rPr>
          <w:szCs w:val="22"/>
        </w:rPr>
      </w:pPr>
      <w:r>
        <w:rPr>
          <w:szCs w:val="22"/>
        </w:rPr>
        <w:t>Local illumination compensation (LIC) is a coding tool which is used in the</w:t>
      </w:r>
      <w:r w:rsidR="00D0087A">
        <w:rPr>
          <w:szCs w:val="22"/>
        </w:rPr>
        <w:t xml:space="preserve"> CE10</w:t>
      </w:r>
      <w:r w:rsidR="00BA43CC">
        <w:rPr>
          <w:szCs w:val="22"/>
        </w:rPr>
        <w:t>.5</w:t>
      </w:r>
      <w:r w:rsidR="00032B39">
        <w:rPr>
          <w:szCs w:val="22"/>
        </w:rPr>
        <w:t>.2</w:t>
      </w:r>
      <w:r w:rsidR="00F1697C">
        <w:rPr>
          <w:szCs w:val="22"/>
        </w:rPr>
        <w:t xml:space="preserve"> </w:t>
      </w:r>
      <w:r w:rsidR="00F1697C">
        <w:rPr>
          <w:szCs w:val="22"/>
        </w:rPr>
        <w:fldChar w:fldCharType="begin"/>
      </w:r>
      <w:r w:rsidR="00F1697C">
        <w:rPr>
          <w:szCs w:val="22"/>
        </w:rPr>
        <w:instrText xml:space="preserve"> REF _Ref534128392 \n \h </w:instrText>
      </w:r>
      <w:r w:rsidR="00F1697C">
        <w:rPr>
          <w:szCs w:val="22"/>
        </w:rPr>
      </w:r>
      <w:r w:rsidR="00F1697C">
        <w:rPr>
          <w:szCs w:val="22"/>
        </w:rPr>
        <w:fldChar w:fldCharType="separate"/>
      </w:r>
      <w:r w:rsidR="00F1697C">
        <w:rPr>
          <w:szCs w:val="22"/>
        </w:rPr>
        <w:t>[1]</w:t>
      </w:r>
      <w:r w:rsidR="00F1697C">
        <w:rPr>
          <w:szCs w:val="22"/>
        </w:rPr>
        <w:fldChar w:fldCharType="end"/>
      </w:r>
      <w:r w:rsidR="00D0087A">
        <w:rPr>
          <w:szCs w:val="22"/>
        </w:rPr>
        <w:t xml:space="preserve"> </w:t>
      </w:r>
      <w:r>
        <w:rPr>
          <w:szCs w:val="22"/>
        </w:rPr>
        <w:t xml:space="preserve">  to address the issue of local illumination changes that exist </w:t>
      </w:r>
      <w:r w:rsidR="00AD40FC">
        <w:rPr>
          <w:szCs w:val="22"/>
        </w:rPr>
        <w:t xml:space="preserve">in </w:t>
      </w:r>
      <w:r>
        <w:rPr>
          <w:szCs w:val="22"/>
        </w:rPr>
        <w:t>temporal neighboring pictures. The LIC is based on a linear model where a scaling factor and an offset are applied to the reference samples to obtain the prediction samples of a current block. Specifically, the LIC can be mathematically modeled by the following equation:</w:t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260"/>
      </w:tblGrid>
      <w:tr w:rsidR="00133F89" w:rsidRPr="0064749E" w14:paraId="380439D7" w14:textId="77777777" w:rsidTr="003A2CBE">
        <w:trPr>
          <w:trHeight w:val="125"/>
          <w:jc w:val="center"/>
        </w:trPr>
        <w:tc>
          <w:tcPr>
            <w:tcW w:w="8100" w:type="dxa"/>
            <w:vAlign w:val="center"/>
          </w:tcPr>
          <w:p w14:paraId="482722D9" w14:textId="77777777" w:rsidR="00133F89" w:rsidRPr="002A7D73" w:rsidRDefault="00133F89" w:rsidP="00F303F3">
            <w:pPr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Cs w:val="22"/>
                  </w:rPr>
                  <m:t>= α∙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x+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,y+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y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2"/>
                  </w:rPr>
                  <m:t>+β</m:t>
                </m:r>
              </m:oMath>
            </m:oMathPara>
          </w:p>
          <w:p w14:paraId="7F2F8FBB" w14:textId="0E03F052" w:rsidR="002A7D73" w:rsidRPr="0064749E" w:rsidRDefault="002A7D73" w:rsidP="00F303F3">
            <w:pPr>
              <w:rPr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5EA9ED5F" w14:textId="626891C9" w:rsidR="00133F89" w:rsidRPr="0064749E" w:rsidRDefault="00133F89" w:rsidP="00720170">
            <w:pPr>
              <w:pStyle w:val="Caption"/>
              <w:rPr>
                <w:rFonts w:ascii="Times New Roman" w:hAnsi="Times New Roman"/>
                <w:szCs w:val="22"/>
              </w:rPr>
            </w:pPr>
            <w:bookmarkStart w:id="0" w:name="_Ref503277989"/>
            <w:bookmarkStart w:id="1" w:name="_Ref508986763"/>
            <w:r>
              <w:rPr>
                <w:rFonts w:ascii="Times New Roman" w:hAnsi="Times New Roman"/>
                <w:b w:val="0"/>
                <w:szCs w:val="22"/>
              </w:rPr>
              <w:t>(</w: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begin"/>
            </w:r>
            <w:r w:rsidRPr="0064749E">
              <w:rPr>
                <w:rFonts w:ascii="Times New Roman" w:hAnsi="Times New Roman"/>
                <w:b w:val="0"/>
                <w:szCs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separate"/>
            </w:r>
            <w:r>
              <w:rPr>
                <w:rFonts w:ascii="Times New Roman" w:hAnsi="Times New Roman"/>
                <w:b w:val="0"/>
                <w:noProof/>
                <w:szCs w:val="22"/>
              </w:rPr>
              <w:t>1</w: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end"/>
            </w:r>
            <w:bookmarkEnd w:id="0"/>
            <w:bookmarkEnd w:id="1"/>
            <w:r>
              <w:rPr>
                <w:rFonts w:ascii="Times New Roman" w:hAnsi="Times New Roman"/>
                <w:b w:val="0"/>
                <w:szCs w:val="22"/>
              </w:rPr>
              <w:t>)</w:t>
            </w:r>
          </w:p>
        </w:tc>
      </w:tr>
    </w:tbl>
    <w:p w14:paraId="251F2012" w14:textId="11D529FE" w:rsidR="00133F89" w:rsidRDefault="00133F89" w:rsidP="00720170">
      <w:pPr>
        <w:spacing w:before="240" w:after="240"/>
        <w:rPr>
          <w:szCs w:val="22"/>
        </w:rPr>
      </w:pPr>
      <w:r>
        <w:rPr>
          <w:szCs w:val="22"/>
        </w:rPr>
        <w:t xml:space="preserve">where </w:t>
      </w:r>
      <m:oMath>
        <m:r>
          <w:rPr>
            <w:rFonts w:ascii="Cambria Math" w:hAnsi="Cambria Math"/>
            <w:szCs w:val="22"/>
          </w:rPr>
          <m:t>P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>
        <w:rPr>
          <w:szCs w:val="22"/>
        </w:rPr>
        <w:t xml:space="preserve"> is the prediction signal of the current block at the coordinate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>
        <w:rPr>
          <w:szCs w:val="22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x+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,y+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</m:e>
        </m:d>
      </m:oMath>
      <w:r>
        <w:rPr>
          <w:szCs w:val="22"/>
        </w:rPr>
        <w:t xml:space="preserve"> is the reference block pointed by the motion vector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</m:e>
        </m:d>
      </m:oMath>
      <w:r>
        <w:rPr>
          <w:szCs w:val="22"/>
        </w:rPr>
        <w:t xml:space="preserve">; </w:t>
      </w:r>
      <m:oMath>
        <m:r>
          <w:rPr>
            <w:rFonts w:ascii="Cambria Math" w:hAnsi="Cambria Math"/>
            <w:szCs w:val="22"/>
          </w:rPr>
          <m:t>α</m:t>
        </m:r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β</m:t>
        </m:r>
      </m:oMath>
      <w:r>
        <w:rPr>
          <w:szCs w:val="22"/>
        </w:rPr>
        <w:t xml:space="preserve"> are the corresponding scaling factor and offset that are applied to the reference block.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_Ref496091359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720170" w:rsidRPr="00720170">
        <w:rPr>
          <w:szCs w:val="22"/>
        </w:rPr>
        <w:t>Figure</w:t>
      </w:r>
      <w:r w:rsidR="00720170" w:rsidRPr="006E6DDB">
        <w:t xml:space="preserve"> </w:t>
      </w:r>
      <w:r w:rsidR="00720170" w:rsidRPr="00720170">
        <w:rPr>
          <w:noProof/>
          <w:szCs w:val="22"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 illustrate the LIC process.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_Ref496091359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720170" w:rsidRPr="00720170">
        <w:rPr>
          <w:szCs w:val="22"/>
        </w:rPr>
        <w:t>Figure</w:t>
      </w:r>
      <w:r w:rsidR="00720170" w:rsidRPr="006E6DDB">
        <w:t xml:space="preserve"> </w:t>
      </w:r>
      <w:r w:rsidR="00720170" w:rsidRPr="00720170">
        <w:rPr>
          <w:noProof/>
          <w:szCs w:val="22"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when the LIC is applied for a video block, a least mean square error (LMSE) method is employed to derive the values of the LIC parameters (i.e., </w:t>
      </w:r>
      <m:oMath>
        <m:r>
          <w:rPr>
            <w:rFonts w:ascii="Cambria Math" w:hAnsi="Cambria Math"/>
            <w:szCs w:val="22"/>
          </w:rPr>
          <m:t>α</m:t>
        </m:r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β</m:t>
        </m:r>
      </m:oMath>
      <w:r>
        <w:rPr>
          <w:szCs w:val="22"/>
        </w:rPr>
        <w:t xml:space="preserve">) by minimizing the difference between the neighboring samples of the current block (i.e., the template </w:t>
      </w:r>
      <w:r w:rsidRPr="00B66812">
        <w:rPr>
          <w:i/>
          <w:szCs w:val="22"/>
        </w:rPr>
        <w:t>T</w:t>
      </w:r>
      <w:r>
        <w:rPr>
          <w:szCs w:val="22"/>
        </w:rPr>
        <w:t xml:space="preserve"> in </w:t>
      </w:r>
      <w:r w:rsidRPr="00B66812">
        <w:rPr>
          <w:szCs w:val="22"/>
        </w:rPr>
        <w:fldChar w:fldCharType="begin"/>
      </w:r>
      <w:r w:rsidRPr="00B66812">
        <w:rPr>
          <w:szCs w:val="22"/>
        </w:rPr>
        <w:instrText xml:space="preserve"> REF _Ref496091359 \h  \* MERGEFORMAT </w:instrText>
      </w:r>
      <w:r w:rsidRPr="00B66812">
        <w:rPr>
          <w:szCs w:val="22"/>
        </w:rPr>
      </w:r>
      <w:r w:rsidRPr="00B66812">
        <w:rPr>
          <w:szCs w:val="22"/>
        </w:rPr>
        <w:fldChar w:fldCharType="separate"/>
      </w:r>
      <w:r w:rsidRPr="006D259A">
        <w:rPr>
          <w:szCs w:val="22"/>
        </w:rPr>
        <w:t xml:space="preserve">Figure </w:t>
      </w:r>
      <w:r w:rsidRPr="006D259A">
        <w:rPr>
          <w:noProof/>
          <w:szCs w:val="22"/>
        </w:rPr>
        <w:t>3</w:t>
      </w:r>
      <w:r w:rsidRPr="00B66812">
        <w:rPr>
          <w:szCs w:val="22"/>
        </w:rPr>
        <w:fldChar w:fldCharType="end"/>
      </w:r>
      <w:r>
        <w:rPr>
          <w:szCs w:val="22"/>
        </w:rPr>
        <w:t>) and their corresponding reference samples in the temporal reference pictures (i.e</w:t>
      </w:r>
      <w:r w:rsidR="00720170">
        <w:rPr>
          <w:szCs w:val="22"/>
        </w:rPr>
        <w:t>.</w:t>
      </w:r>
      <w:r>
        <w:rPr>
          <w:szCs w:val="22"/>
        </w:rPr>
        <w:t xml:space="preserve">, either </w:t>
      </w:r>
      <w:r w:rsidRPr="00B66812">
        <w:rPr>
          <w:i/>
          <w:szCs w:val="22"/>
        </w:rPr>
        <w:t>T</w:t>
      </w:r>
      <w:r w:rsidRPr="009013B2">
        <w:rPr>
          <w:i/>
          <w:szCs w:val="22"/>
        </w:rPr>
        <w:t>0</w:t>
      </w:r>
      <w:r>
        <w:rPr>
          <w:i/>
          <w:szCs w:val="22"/>
        </w:rPr>
        <w:t xml:space="preserve"> </w:t>
      </w:r>
      <w:r>
        <w:rPr>
          <w:szCs w:val="22"/>
        </w:rPr>
        <w:t>or</w:t>
      </w:r>
      <w:r>
        <w:rPr>
          <w:i/>
          <w:szCs w:val="22"/>
        </w:rPr>
        <w:t xml:space="preserve"> T</w:t>
      </w:r>
      <w:r w:rsidRPr="009013B2">
        <w:rPr>
          <w:i/>
          <w:szCs w:val="22"/>
        </w:rPr>
        <w:t>1</w:t>
      </w:r>
      <w:r>
        <w:rPr>
          <w:szCs w:val="22"/>
        </w:rPr>
        <w:t xml:space="preserve"> in </w:t>
      </w:r>
      <w:r w:rsidRPr="00B66812">
        <w:rPr>
          <w:szCs w:val="22"/>
        </w:rPr>
        <w:fldChar w:fldCharType="begin"/>
      </w:r>
      <w:r w:rsidRPr="00B66812">
        <w:rPr>
          <w:szCs w:val="22"/>
        </w:rPr>
        <w:instrText xml:space="preserve"> REF _Ref496091359 \h  \* MERGEFORMAT </w:instrText>
      </w:r>
      <w:r w:rsidRPr="00B66812">
        <w:rPr>
          <w:szCs w:val="22"/>
        </w:rPr>
      </w:r>
      <w:r w:rsidRPr="00B66812">
        <w:rPr>
          <w:szCs w:val="22"/>
        </w:rPr>
        <w:fldChar w:fldCharType="separate"/>
      </w:r>
      <w:r w:rsidR="0024579B" w:rsidRPr="0024579B">
        <w:rPr>
          <w:szCs w:val="22"/>
        </w:rPr>
        <w:t xml:space="preserve">Figure </w:t>
      </w:r>
      <w:r w:rsidR="0024579B" w:rsidRPr="0024579B">
        <w:rPr>
          <w:noProof/>
          <w:szCs w:val="22"/>
        </w:rPr>
        <w:t>1</w:t>
      </w:r>
      <w:r w:rsidRPr="00B66812">
        <w:rPr>
          <w:szCs w:val="22"/>
        </w:rPr>
        <w:fldChar w:fldCharType="end"/>
      </w:r>
      <w:r>
        <w:rPr>
          <w:szCs w:val="22"/>
        </w:rPr>
        <w:t>)</w:t>
      </w:r>
      <w:r w:rsidR="00720170">
        <w:rPr>
          <w:szCs w:val="22"/>
        </w:rPr>
        <w:t>.</w:t>
      </w:r>
      <w:r>
        <w:rPr>
          <w:szCs w:val="22"/>
        </w:rPr>
        <w:t xml:space="preserve"> Additionally, to reduce the computational complexity, both the template samples and the reference template samples are subsampled (</w:t>
      </w:r>
      <w:r w:rsidR="006206B4">
        <w:rPr>
          <w:szCs w:val="22"/>
        </w:rPr>
        <w:t>adaptive</w:t>
      </w:r>
      <w:r>
        <w:rPr>
          <w:szCs w:val="22"/>
        </w:rPr>
        <w:t xml:space="preserve"> subsampling) to derive the LIC parameters, i.e., only the shaded samples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_Ref496091359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24579B" w:rsidRPr="0024579B">
        <w:rPr>
          <w:szCs w:val="22"/>
        </w:rPr>
        <w:t>Figure</w:t>
      </w:r>
      <w:r w:rsidR="0024579B" w:rsidRPr="00A72B29">
        <w:t xml:space="preserve"> </w:t>
      </w:r>
      <w:r w:rsidR="0024579B" w:rsidRPr="0024579B">
        <w:rPr>
          <w:noProof/>
          <w:szCs w:val="22"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 are used to derive </w:t>
      </w:r>
      <m:oMath>
        <m:r>
          <w:rPr>
            <w:rFonts w:ascii="Cambria Math" w:hAnsi="Cambria Math"/>
            <w:szCs w:val="22"/>
          </w:rPr>
          <m:t>α</m:t>
        </m:r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β</m:t>
        </m:r>
      </m:oMath>
      <w:r>
        <w:rPr>
          <w:szCs w:val="22"/>
        </w:rPr>
        <w:t>.</w:t>
      </w:r>
    </w:p>
    <w:p w14:paraId="22C7BFEA" w14:textId="5DB05C08" w:rsidR="00720170" w:rsidRPr="00DD2B48" w:rsidRDefault="00720170" w:rsidP="00720170">
      <w:pPr>
        <w:jc w:val="center"/>
      </w:pPr>
      <w:r>
        <w:object w:dxaOrig="15880" w:dyaOrig="8851" w14:anchorId="26AF01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5pt;height:235.45pt" o:ole="">
            <v:imagedata r:id="rId12" o:title=""/>
          </v:shape>
          <o:OLEObject Type="Embed" ProgID="Visio.Drawing.15" ShapeID="_x0000_i1025" DrawAspect="Content" ObjectID="_1607969142" r:id="rId13"/>
        </w:object>
      </w:r>
    </w:p>
    <w:p w14:paraId="641A4155" w14:textId="3159EEDC" w:rsidR="00720170" w:rsidRPr="00A72B29" w:rsidRDefault="00720170" w:rsidP="00720170">
      <w:pPr>
        <w:pStyle w:val="Caption"/>
        <w:jc w:val="center"/>
        <w:rPr>
          <w:rFonts w:ascii="Times New Roman" w:hAnsi="Times New Roman"/>
        </w:rPr>
      </w:pPr>
      <w:bookmarkStart w:id="2" w:name="_Ref496091359"/>
      <w:r w:rsidRPr="00A72B29">
        <w:rPr>
          <w:rFonts w:ascii="Times New Roman" w:hAnsi="Times New Roman"/>
        </w:rPr>
        <w:t xml:space="preserve">Figure </w:t>
      </w:r>
      <w:r w:rsidRPr="00A72B29">
        <w:rPr>
          <w:rFonts w:ascii="Times New Roman" w:hAnsi="Times New Roman"/>
        </w:rPr>
        <w:fldChar w:fldCharType="begin"/>
      </w:r>
      <w:r w:rsidRPr="00A72B29">
        <w:rPr>
          <w:rFonts w:ascii="Times New Roman" w:hAnsi="Times New Roman"/>
        </w:rPr>
        <w:instrText xml:space="preserve"> SEQ Figure \* ARABIC </w:instrText>
      </w:r>
      <w:r w:rsidRPr="00A72B29">
        <w:rPr>
          <w:rFonts w:ascii="Times New Roman" w:hAnsi="Times New Roman"/>
        </w:rPr>
        <w:fldChar w:fldCharType="separate"/>
      </w:r>
      <w:r w:rsidR="0024579B">
        <w:rPr>
          <w:rFonts w:ascii="Times New Roman" w:hAnsi="Times New Roman"/>
          <w:noProof/>
        </w:rPr>
        <w:t>1</w:t>
      </w:r>
      <w:r w:rsidRPr="00A72B29">
        <w:rPr>
          <w:rFonts w:ascii="Times New Roman" w:hAnsi="Times New Roman"/>
          <w:noProof/>
        </w:rPr>
        <w:fldChar w:fldCharType="end"/>
      </w:r>
      <w:bookmarkEnd w:id="2"/>
      <w:r w:rsidRPr="00A72B29">
        <w:rPr>
          <w:rFonts w:ascii="Times New Roman" w:hAnsi="Times New Roman"/>
        </w:rPr>
        <w:t xml:space="preserve"> Local illumination compensation</w:t>
      </w:r>
    </w:p>
    <w:p w14:paraId="117A812A" w14:textId="77777777" w:rsidR="00720170" w:rsidRDefault="00720170" w:rsidP="00133F89">
      <w:pPr>
        <w:spacing w:before="240" w:after="240"/>
        <w:rPr>
          <w:szCs w:val="22"/>
        </w:rPr>
      </w:pPr>
    </w:p>
    <w:p w14:paraId="361E21D0" w14:textId="0F34B557" w:rsidR="00133F89" w:rsidRDefault="00133F89" w:rsidP="00133F89">
      <w:pPr>
        <w:spacing w:before="240" w:after="240"/>
        <w:rPr>
          <w:szCs w:val="22"/>
        </w:rPr>
      </w:pPr>
      <w:r>
        <w:rPr>
          <w:szCs w:val="22"/>
        </w:rPr>
        <w:t xml:space="preserve">Moreover, when LIC is applied to bi-directional blocks (i.e., being predicted by two temporal prediction blocks), the LIC parameters are derived and applied for each prediction direction, i.e., L0 and L1, separately. 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_Ref496091359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720170" w:rsidRPr="00720170">
        <w:rPr>
          <w:szCs w:val="22"/>
        </w:rPr>
        <w:t>Figure</w:t>
      </w:r>
      <w:r w:rsidR="00720170" w:rsidRPr="006E6DDB">
        <w:t xml:space="preserve"> </w:t>
      </w:r>
      <w:r w:rsidR="00720170" w:rsidRPr="00720170">
        <w:rPr>
          <w:noProof/>
          <w:szCs w:val="22"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based on the two motion vectors </w:t>
      </w:r>
      <w:r w:rsidRPr="003429AB">
        <w:rPr>
          <w:i/>
          <w:szCs w:val="22"/>
        </w:rPr>
        <w:t>MV0</w:t>
      </w:r>
      <w:r>
        <w:rPr>
          <w:szCs w:val="22"/>
        </w:rPr>
        <w:t xml:space="preserve"> and </w:t>
      </w:r>
      <w:r w:rsidRPr="003429AB">
        <w:rPr>
          <w:i/>
          <w:szCs w:val="22"/>
        </w:rPr>
        <w:t>MV1</w:t>
      </w:r>
      <w:r>
        <w:rPr>
          <w:szCs w:val="22"/>
        </w:rPr>
        <w:t xml:space="preserve">, two reference templates </w:t>
      </w:r>
      <w:r w:rsidRPr="003429AB">
        <w:rPr>
          <w:i/>
          <w:szCs w:val="22"/>
        </w:rPr>
        <w:t>T0</w:t>
      </w:r>
      <w:r>
        <w:rPr>
          <w:szCs w:val="22"/>
        </w:rPr>
        <w:t xml:space="preserve"> and </w:t>
      </w:r>
      <w:r w:rsidRPr="003429AB">
        <w:rPr>
          <w:i/>
          <w:szCs w:val="22"/>
        </w:rPr>
        <w:t>T1</w:t>
      </w:r>
      <w:r>
        <w:rPr>
          <w:szCs w:val="22"/>
        </w:rPr>
        <w:t xml:space="preserve"> can be obtained; by separately minimizing the distortions between </w:t>
      </w:r>
      <w:r w:rsidRPr="003429AB">
        <w:rPr>
          <w:i/>
          <w:szCs w:val="22"/>
        </w:rPr>
        <w:t>T0</w:t>
      </w:r>
      <w:r>
        <w:rPr>
          <w:szCs w:val="22"/>
        </w:rPr>
        <w:t xml:space="preserve"> and </w:t>
      </w:r>
      <w:r w:rsidRPr="003429AB">
        <w:rPr>
          <w:i/>
          <w:szCs w:val="22"/>
        </w:rPr>
        <w:t>T</w:t>
      </w:r>
      <w:r>
        <w:rPr>
          <w:szCs w:val="22"/>
        </w:rPr>
        <w:t xml:space="preserve">, and </w:t>
      </w:r>
      <w:r w:rsidRPr="003429AB">
        <w:rPr>
          <w:i/>
          <w:szCs w:val="22"/>
        </w:rPr>
        <w:t>T1</w:t>
      </w:r>
      <w:r>
        <w:rPr>
          <w:szCs w:val="22"/>
        </w:rPr>
        <w:t xml:space="preserve"> and </w:t>
      </w:r>
      <w:r w:rsidRPr="003429AB">
        <w:rPr>
          <w:i/>
          <w:szCs w:val="22"/>
        </w:rPr>
        <w:t>T</w:t>
      </w:r>
      <w:r>
        <w:rPr>
          <w:szCs w:val="22"/>
        </w:rPr>
        <w:t>, the corresponding pairs of LIC parameters in two directions can be derived</w:t>
      </w:r>
      <w:r w:rsidRPr="003429AB">
        <w:rPr>
          <w:szCs w:val="22"/>
        </w:rPr>
        <w:t>.</w:t>
      </w:r>
      <w:r>
        <w:rPr>
          <w:szCs w:val="22"/>
        </w:rPr>
        <w:t xml:space="preserve"> Afterwards, the final bi-directional prediction signal of the current block is generated by combining two LIC uni-prediction blocks, as indicated as </w:t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0"/>
        <w:gridCol w:w="1260"/>
      </w:tblGrid>
      <w:tr w:rsidR="00133F89" w:rsidRPr="0064749E" w14:paraId="20DAF1DD" w14:textId="77777777" w:rsidTr="00720170">
        <w:trPr>
          <w:trHeight w:val="125"/>
        </w:trPr>
        <w:tc>
          <w:tcPr>
            <w:tcW w:w="8190" w:type="dxa"/>
            <w:vAlign w:val="center"/>
          </w:tcPr>
          <w:p w14:paraId="3D040925" w14:textId="241528F4" w:rsidR="00133F89" w:rsidRPr="0064749E" w:rsidRDefault="00133F89" w:rsidP="008208B8">
            <w:pPr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Cs w:val="22"/>
                  </w:rPr>
                  <m:t xml:space="preserve">=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1-w</m:t>
                    </m:r>
                  </m:e>
                </m:d>
                <m:r>
                  <w:rPr>
                    <w:rFonts w:ascii="Cambria Math" w:hAnsi="Cambria Math"/>
                    <w:szCs w:val="22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0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x+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0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Cs w:val="22"/>
                          </w:rPr>
                          <m:t>,y+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y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0</m:t>
                            </m:r>
                          </m:sup>
                        </m:sSubSup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2"/>
                  </w:rPr>
                  <m:t>+w×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1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x+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Cs w:val="22"/>
                          </w:rPr>
                          <m:t>,y+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y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</m:t>
                            </m:r>
                          </m:sup>
                        </m:sSubSup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  <w:p w14:paraId="5EDFAF73" w14:textId="77777777" w:rsidR="00133F89" w:rsidRPr="0064749E" w:rsidRDefault="00133F89" w:rsidP="003A2CBE">
            <w:pPr>
              <w:pStyle w:val="BodyText"/>
              <w:spacing w:before="100" w:after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465AB4E8" w14:textId="3C3C1AA1" w:rsidR="00133F89" w:rsidRPr="0064749E" w:rsidRDefault="00133F89" w:rsidP="008208B8">
            <w:pPr>
              <w:pStyle w:val="Caption"/>
              <w:rPr>
                <w:rFonts w:ascii="Times New Roman" w:hAnsi="Times New Roman"/>
                <w:szCs w:val="22"/>
              </w:rPr>
            </w:pPr>
            <w:bookmarkStart w:id="3" w:name="_Ref503277245"/>
            <w:r w:rsidRPr="0064749E">
              <w:rPr>
                <w:rFonts w:ascii="Times New Roman" w:hAnsi="Times New Roman"/>
                <w:b w:val="0"/>
                <w:szCs w:val="22"/>
              </w:rPr>
              <w:t>(</w: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begin"/>
            </w:r>
            <w:r w:rsidRPr="0064749E">
              <w:rPr>
                <w:rFonts w:ascii="Times New Roman" w:hAnsi="Times New Roman"/>
                <w:b w:val="0"/>
                <w:szCs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separate"/>
            </w:r>
            <w:r w:rsidR="00EE443B">
              <w:rPr>
                <w:rFonts w:ascii="Times New Roman" w:hAnsi="Times New Roman"/>
                <w:b w:val="0"/>
                <w:noProof/>
                <w:szCs w:val="22"/>
              </w:rPr>
              <w:t>2</w: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end"/>
            </w:r>
            <w:bookmarkEnd w:id="3"/>
            <w:r w:rsidRPr="0064749E">
              <w:rPr>
                <w:rFonts w:ascii="Times New Roman" w:hAnsi="Times New Roman"/>
                <w:b w:val="0"/>
                <w:szCs w:val="22"/>
              </w:rPr>
              <w:t>)</w:t>
            </w:r>
          </w:p>
        </w:tc>
      </w:tr>
    </w:tbl>
    <w:p w14:paraId="0A7D6D00" w14:textId="7AC2638B" w:rsidR="00133F89" w:rsidRDefault="003132CF" w:rsidP="00133F89">
      <w:pPr>
        <w:spacing w:before="240" w:after="240"/>
        <w:rPr>
          <w:szCs w:val="22"/>
        </w:rPr>
      </w:pPr>
      <w:r>
        <w:rPr>
          <w:szCs w:val="22"/>
        </w:rPr>
        <w:t xml:space="preserve">where </w:t>
      </w:r>
      <m:oMath>
        <m:r>
          <w:rPr>
            <w:rFonts w:ascii="Cambria Math" w:hAnsi="Cambria Math"/>
            <w:szCs w:val="22"/>
          </w:rPr>
          <m:t>P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>
        <w:rPr>
          <w:szCs w:val="22"/>
        </w:rPr>
        <w:t xml:space="preserve"> is the final prediction signal of the current block/sub-block;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  <m:sup>
            <m:r>
              <w:rPr>
                <w:rFonts w:ascii="Cambria Math" w:hAnsi="Cambria Math"/>
                <w:szCs w:val="22"/>
              </w:rPr>
              <m:t>0</m:t>
            </m:r>
          </m:sup>
        </m:sSubSup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  <m:r>
              <w:rPr>
                <w:rFonts w:ascii="Cambria Math" w:hAnsi="Cambria Math"/>
                <w:szCs w:val="22"/>
              </w:rPr>
              <m:t>,y+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</m:e>
        </m:d>
      </m:oMath>
      <w:r>
        <w:rPr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  <m:sup>
            <m:r>
              <w:rPr>
                <w:rFonts w:ascii="Cambria Math" w:hAnsi="Cambria Math"/>
                <w:szCs w:val="22"/>
              </w:rPr>
              <m:t>1</m:t>
            </m:r>
          </m:sup>
        </m:sSubSup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  <m:r>
              <w:rPr>
                <w:rFonts w:ascii="Cambria Math" w:hAnsi="Cambria Math"/>
                <w:szCs w:val="22"/>
              </w:rPr>
              <m:t>,y+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</m:e>
        </m:d>
      </m:oMath>
      <w:r>
        <w:rPr>
          <w:szCs w:val="22"/>
        </w:rPr>
        <w:t xml:space="preserve"> are the two references of the current block/sub-block in L0 and L1, respectively</w:t>
      </w:r>
      <w:r w:rsidR="00965827">
        <w:rPr>
          <w:szCs w:val="22"/>
        </w:rPr>
        <w:t xml:space="preserve">, </w:t>
      </w:r>
      <w:r>
        <w:rPr>
          <w:szCs w:val="22"/>
        </w:rPr>
        <w:t>,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 w:rsidR="00A5500C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β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 w:rsidR="00A5500C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="00A5500C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β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="00A5500C">
        <w:rPr>
          <w:szCs w:val="22"/>
        </w:rPr>
        <w:t xml:space="preserve"> are the LIC parameters associated with the L0 and L1 motion vectors (i.e.,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  <m:r>
              <w:rPr>
                <w:rFonts w:ascii="Cambria Math" w:hAnsi="Cambria Math"/>
                <w:szCs w:val="22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</m:e>
        </m:d>
      </m:oMath>
      <w:r w:rsidR="00A5500C">
        <w:rPr>
          <w:szCs w:val="22"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  <m:r>
              <w:rPr>
                <w:rFonts w:ascii="Cambria Math" w:hAnsi="Cambria Math"/>
                <w:szCs w:val="22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</m:e>
        </m:d>
      </m:oMath>
      <w:r w:rsidR="00A5500C">
        <w:rPr>
          <w:szCs w:val="22"/>
        </w:rPr>
        <w:t>) of the current block</w:t>
      </w:r>
      <w:r w:rsidR="004F738F">
        <w:rPr>
          <w:szCs w:val="22"/>
          <w:lang w:val="en-CA"/>
        </w:rPr>
        <w:t>, (</w:t>
      </w:r>
      <m:oMath>
        <m:r>
          <w:rPr>
            <w:rFonts w:ascii="Cambria Math" w:hAnsi="Cambria Math"/>
            <w:szCs w:val="22"/>
            <w:lang w:val="en-CA"/>
          </w:rPr>
          <m:t>1-w</m:t>
        </m:r>
      </m:oMath>
      <w:r w:rsidR="004F738F">
        <w:rPr>
          <w:szCs w:val="22"/>
          <w:lang w:val="en-CA"/>
        </w:rPr>
        <w:t xml:space="preserve">) and </w:t>
      </w:r>
      <m:oMath>
        <m:r>
          <w:rPr>
            <w:rFonts w:ascii="Cambria Math" w:hAnsi="Cambria Math"/>
            <w:szCs w:val="22"/>
            <w:lang w:val="en-CA"/>
          </w:rPr>
          <m:t>w</m:t>
        </m:r>
      </m:oMath>
      <w:r w:rsidR="004F738F">
        <w:rPr>
          <w:szCs w:val="22"/>
          <w:lang w:val="en-CA"/>
        </w:rPr>
        <w:t xml:space="preserve"> denote the BPWA weights applied to L0 and L1 reference samples</w:t>
      </w:r>
      <w:r>
        <w:rPr>
          <w:szCs w:val="22"/>
          <w:lang w:val="en-CA"/>
        </w:rPr>
        <w:t xml:space="preserve">. </w:t>
      </w:r>
    </w:p>
    <w:p w14:paraId="41FC2A86" w14:textId="49693D8F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55EA3">
        <w:rPr>
          <w:lang w:val="en-CA"/>
        </w:rPr>
        <w:t xml:space="preserve">LIC </w:t>
      </w:r>
      <w:r w:rsidR="00725150">
        <w:rPr>
          <w:lang w:val="en-CA"/>
        </w:rPr>
        <w:t>simplifications</w:t>
      </w:r>
    </w:p>
    <w:p w14:paraId="206BACBE" w14:textId="4688EB83" w:rsidR="00725150" w:rsidRDefault="00F04CEF" w:rsidP="00725150">
      <w:pPr>
        <w:pStyle w:val="Heading2"/>
      </w:pPr>
      <w:bookmarkStart w:id="4" w:name="_Ref534104547"/>
      <w:r>
        <w:t>Simplified LIC process for bi-prediction CUs</w:t>
      </w:r>
      <w:bookmarkEnd w:id="4"/>
    </w:p>
    <w:p w14:paraId="164156B7" w14:textId="7D943E4E" w:rsidR="00F04CEF" w:rsidRDefault="00F04CEF" w:rsidP="00F04CEF">
      <w:pPr>
        <w:spacing w:before="240" w:after="240"/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r w:rsidR="00DE5D97">
        <w:rPr>
          <w:szCs w:val="22"/>
          <w:lang w:val="en-CA"/>
        </w:rPr>
        <w:t>bi-predictive weighted average (BPWA)</w:t>
      </w:r>
      <w:r w:rsidR="00DE5D97" w:rsidDel="00DE5D9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enabled, a weight index is signaled for explicit bi-prediction CUs. The traditional approach performs </w:t>
      </w:r>
      <w:r w:rsidR="004A1D2F">
        <w:rPr>
          <w:szCs w:val="22"/>
          <w:lang w:val="en-CA"/>
        </w:rPr>
        <w:t xml:space="preserve">BPWA </w:t>
      </w:r>
      <w:r>
        <w:rPr>
          <w:szCs w:val="22"/>
          <w:lang w:val="en-CA"/>
        </w:rPr>
        <w:t xml:space="preserve">on top of LIC. Thus, first local illumination compensation is applied to the individual reference lists L0 and L1 for each of the two prediction blocks. Next, </w:t>
      </w:r>
      <w:r w:rsidR="00DE5D97">
        <w:rPr>
          <w:szCs w:val="22"/>
          <w:lang w:val="en-CA"/>
        </w:rPr>
        <w:t>BPWA</w:t>
      </w:r>
      <w:r>
        <w:rPr>
          <w:szCs w:val="22"/>
          <w:lang w:val="en-CA"/>
        </w:rPr>
        <w:t xml:space="preserve"> provided for each of the two illumination compensated prediction blocks for bi-prediction are used to combine the prediction templates. </w:t>
      </w:r>
    </w:p>
    <w:p w14:paraId="4CCA75F1" w14:textId="14C5636B" w:rsidR="00F04CEF" w:rsidRDefault="00F04CEF" w:rsidP="00F04CEF">
      <w:pPr>
        <w:spacing w:before="240" w:after="240"/>
        <w:rPr>
          <w:szCs w:val="22"/>
          <w:lang w:val="en-CA"/>
        </w:rPr>
      </w:pPr>
      <w:r>
        <w:rPr>
          <w:szCs w:val="22"/>
          <w:lang w:val="en-CA"/>
        </w:rPr>
        <w:t xml:space="preserve">Our proposed approach, as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_Ref496518964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6E6DDB">
        <w:t xml:space="preserve">Figure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firstly performs the generalized bi-prediction of the template samples from two prediction lists to produce </w:t>
      </w:r>
      <w:r w:rsidR="004A1D2F">
        <w:rPr>
          <w:szCs w:val="22"/>
          <w:lang w:val="en-CA"/>
        </w:rPr>
        <w:t xml:space="preserve">BPWA </w:t>
      </w:r>
      <w:r>
        <w:rPr>
          <w:szCs w:val="22"/>
          <w:lang w:val="en-CA"/>
        </w:rPr>
        <w:t xml:space="preserve">based bi-prediction template reference samples. The </w:t>
      </w:r>
      <w:r>
        <w:rPr>
          <w:szCs w:val="22"/>
          <w:lang w:val="en-CA"/>
        </w:rPr>
        <w:lastRenderedPageBreak/>
        <w:t xml:space="preserve">LIC parameters are estimated using the </w:t>
      </w:r>
      <w:r w:rsidR="004A1D2F">
        <w:rPr>
          <w:szCs w:val="22"/>
          <w:lang w:val="en-CA"/>
        </w:rPr>
        <w:t xml:space="preserve">BPWA </w:t>
      </w:r>
      <w:r>
        <w:rPr>
          <w:szCs w:val="22"/>
          <w:lang w:val="en-CA"/>
        </w:rPr>
        <w:t>based bi-prediction template reference samples</w:t>
      </w:r>
      <w:r w:rsidDel="00010FA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the template samples of the current CU. Thus, the proposed method is different in the sense that it performs </w:t>
      </w:r>
      <w:r w:rsidR="004A1D2F">
        <w:rPr>
          <w:szCs w:val="22"/>
          <w:lang w:val="en-CA"/>
        </w:rPr>
        <w:t xml:space="preserve">BPWA </w:t>
      </w:r>
      <w:r>
        <w:rPr>
          <w:szCs w:val="22"/>
          <w:lang w:val="en-CA"/>
        </w:rPr>
        <w:t xml:space="preserve">first followed by LIC on </w:t>
      </w:r>
      <w:r>
        <w:rPr>
          <w:szCs w:val="22"/>
        </w:rPr>
        <w:t>bi-directional prediction signal of the current block/sub-block</w:t>
      </w:r>
      <w:r>
        <w:rPr>
          <w:szCs w:val="22"/>
          <w:lang w:val="en-CA"/>
        </w:rPr>
        <w:t xml:space="preserve">. </w:t>
      </w:r>
      <w:r w:rsidR="00F42F5E">
        <w:rPr>
          <w:szCs w:val="22"/>
          <w:lang w:val="en-CA"/>
        </w:rPr>
        <w:t>It is</w:t>
      </w:r>
      <w:r>
        <w:rPr>
          <w:szCs w:val="22"/>
          <w:lang w:val="en-CA"/>
        </w:rPr>
        <w:t xml:space="preserve"> mathematically shown below in </w:t>
      </w:r>
      <w:r>
        <w:rPr>
          <w:b/>
          <w:noProof/>
          <w:szCs w:val="24"/>
        </w:rPr>
        <w:fldChar w:fldCharType="begin"/>
      </w:r>
      <w:r>
        <w:rPr>
          <w:szCs w:val="22"/>
          <w:lang w:val="en-CA"/>
        </w:rPr>
        <w:instrText xml:space="preserve"> REF _Ref533326811 \h </w:instrText>
      </w:r>
      <w:r>
        <w:rPr>
          <w:b/>
          <w:noProof/>
          <w:szCs w:val="24"/>
        </w:rPr>
      </w:r>
      <w:r>
        <w:rPr>
          <w:b/>
          <w:noProof/>
          <w:szCs w:val="24"/>
        </w:rPr>
        <w:fldChar w:fldCharType="separate"/>
      </w:r>
      <w:r w:rsidR="00F42F5E" w:rsidRPr="00332139">
        <w:rPr>
          <w:sz w:val="20"/>
          <w:szCs w:val="24"/>
        </w:rPr>
        <w:t>(</w:t>
      </w:r>
      <w:r w:rsidR="00F42F5E">
        <w:rPr>
          <w:b/>
          <w:noProof/>
          <w:sz w:val="20"/>
          <w:szCs w:val="24"/>
        </w:rPr>
        <w:t>3</w:t>
      </w:r>
      <w:r w:rsidR="00F42F5E" w:rsidRPr="00332139">
        <w:rPr>
          <w:sz w:val="20"/>
          <w:szCs w:val="24"/>
        </w:rPr>
        <w:t>)</w:t>
      </w:r>
      <w:r>
        <w:rPr>
          <w:b/>
          <w:noProof/>
          <w:szCs w:val="24"/>
        </w:rPr>
        <w:fldChar w:fldCharType="end"/>
      </w:r>
      <w:r>
        <w:rPr>
          <w:szCs w:val="22"/>
          <w:lang w:val="en-CA"/>
        </w:rPr>
        <w:t xml:space="preserve">. In the proposed LIC method, the bi-directional prediction signal of the template is firstly generated by weighted averaging two reference samples of the template in L0 and L1, i.e., </w:t>
      </w:r>
    </w:p>
    <w:tbl>
      <w:tblPr>
        <w:tblStyle w:val="TableGrid"/>
        <w:tblW w:w="9642" w:type="dxa"/>
        <w:tblLook w:val="04A0" w:firstRow="1" w:lastRow="0" w:firstColumn="1" w:lastColumn="0" w:noHBand="0" w:noVBand="1"/>
      </w:tblPr>
      <w:tblGrid>
        <w:gridCol w:w="8280"/>
        <w:gridCol w:w="1362"/>
      </w:tblGrid>
      <w:tr w:rsidR="00F04CEF" w:rsidRPr="00332139" w14:paraId="01923CEA" w14:textId="77777777" w:rsidTr="00F04CEF">
        <w:trPr>
          <w:trHeight w:val="125"/>
        </w:trPr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 w14:paraId="0E1B8CD9" w14:textId="77777777" w:rsidR="00F04CEF" w:rsidRDefault="00EB797D" w:rsidP="008208B8">
            <w:pPr>
              <w:pStyle w:val="References"/>
              <w:numPr>
                <w:ilvl w:val="0"/>
                <w:numId w:val="0"/>
              </w:numPr>
              <w:spacing w:after="120"/>
              <w:ind w:left="504" w:hanging="504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w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1-w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x+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x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0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,y+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y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0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+w×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x+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x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,y+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y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</m:t>
                        </m:r>
                      </m:sup>
                    </m:sSubSup>
                  </m:e>
                </m:d>
              </m:oMath>
            </m:oMathPara>
          </w:p>
          <w:p w14:paraId="51F722B1" w14:textId="77777777" w:rsidR="00F04CEF" w:rsidRPr="00E16C99" w:rsidRDefault="00F04CEF" w:rsidP="008208B8">
            <w:pPr>
              <w:pStyle w:val="BodyText"/>
              <w:spacing w:before="100" w:after="0"/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AD38B" w14:textId="032F75C6" w:rsidR="00F04CEF" w:rsidRPr="00332139" w:rsidRDefault="00F04CEF" w:rsidP="008208B8">
            <w:pPr>
              <w:pStyle w:val="Caption"/>
              <w:rPr>
                <w:rFonts w:ascii="Times New Roman" w:hAnsi="Times New Roman"/>
                <w:szCs w:val="22"/>
              </w:rPr>
            </w:pPr>
            <w:bookmarkStart w:id="5" w:name="_Ref533326811"/>
            <w:r w:rsidRPr="00332139">
              <w:rPr>
                <w:rFonts w:ascii="Times New Roman" w:hAnsi="Times New Roman"/>
                <w:b w:val="0"/>
                <w:sz w:val="20"/>
                <w:szCs w:val="24"/>
              </w:rPr>
              <w:t>(</w:t>
            </w:r>
            <w:r w:rsidRPr="00332139">
              <w:rPr>
                <w:rFonts w:ascii="Times New Roman" w:hAnsi="Times New Roman"/>
                <w:b w:val="0"/>
                <w:sz w:val="20"/>
                <w:szCs w:val="24"/>
              </w:rPr>
              <w:fldChar w:fldCharType="begin"/>
            </w:r>
            <w:r w:rsidRPr="00332139">
              <w:rPr>
                <w:rFonts w:ascii="Times New Roman" w:hAnsi="Times New Roman"/>
                <w:b w:val="0"/>
                <w:sz w:val="20"/>
                <w:szCs w:val="24"/>
              </w:rPr>
              <w:instrText xml:space="preserve"> SEQ Equation \* ARABIC </w:instrText>
            </w:r>
            <w:r w:rsidRPr="00332139">
              <w:rPr>
                <w:rFonts w:ascii="Times New Roman" w:hAnsi="Times New Roman"/>
                <w:b w:val="0"/>
                <w:sz w:val="20"/>
                <w:szCs w:val="24"/>
              </w:rPr>
              <w:fldChar w:fldCharType="separate"/>
            </w:r>
            <w:r w:rsidR="00F42F5E">
              <w:rPr>
                <w:rFonts w:ascii="Times New Roman" w:hAnsi="Times New Roman"/>
                <w:b w:val="0"/>
                <w:noProof/>
                <w:sz w:val="20"/>
                <w:szCs w:val="24"/>
              </w:rPr>
              <w:t>3</w:t>
            </w:r>
            <w:r w:rsidRPr="00332139">
              <w:rPr>
                <w:rFonts w:ascii="Times New Roman" w:hAnsi="Times New Roman"/>
                <w:b w:val="0"/>
                <w:sz w:val="20"/>
                <w:szCs w:val="24"/>
              </w:rPr>
              <w:fldChar w:fldCharType="end"/>
            </w:r>
            <w:r w:rsidRPr="00332139">
              <w:rPr>
                <w:rFonts w:ascii="Times New Roman" w:hAnsi="Times New Roman"/>
                <w:b w:val="0"/>
                <w:sz w:val="20"/>
                <w:szCs w:val="24"/>
              </w:rPr>
              <w:t>)</w:t>
            </w:r>
            <w:bookmarkEnd w:id="5"/>
          </w:p>
        </w:tc>
      </w:tr>
    </w:tbl>
    <w:p w14:paraId="62378013" w14:textId="42F87BBF" w:rsidR="00F04CEF" w:rsidRDefault="00F04CEF" w:rsidP="00F04CEF">
      <w:pPr>
        <w:spacing w:before="240" w:after="240"/>
        <w:rPr>
          <w:szCs w:val="22"/>
          <w:lang w:val="en-CA"/>
        </w:rPr>
      </w:pPr>
      <w:r>
        <w:t xml:space="preserve">where,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w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 w:rsidR="00D85909">
        <w:rPr>
          <w:szCs w:val="22"/>
        </w:rPr>
        <w:t xml:space="preserve"> </w:t>
      </w:r>
      <w:r>
        <w:rPr>
          <w:szCs w:val="22"/>
          <w:lang w:val="en-CA"/>
        </w:rPr>
        <w:t xml:space="preserve">denotes the bi-directional prediction signal of the template.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  <m:r>
              <w:rPr>
                <w:rFonts w:ascii="Cambria Math" w:hAnsi="Cambria Math"/>
                <w:szCs w:val="22"/>
              </w:rPr>
              <m:t>,y+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szCs w:val="22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  <m:r>
              <w:rPr>
                <w:rFonts w:ascii="Cambria Math" w:hAnsi="Cambria Math"/>
                <w:szCs w:val="22"/>
              </w:rPr>
              <m:t>,y+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szCs w:val="22"/>
          </w:rPr>
          <m:t xml:space="preserve"> </m:t>
        </m:r>
      </m:oMath>
      <w:r>
        <w:rPr>
          <w:szCs w:val="22"/>
        </w:rPr>
        <w:t xml:space="preserve">, </w:t>
      </w:r>
      <w:r w:rsidRPr="0072752D">
        <w:rPr>
          <w:szCs w:val="22"/>
        </w:rPr>
        <w:t xml:space="preserve">are the L0 and L1 reference samples of the template as indicated by the bi-directional motion vectors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  <m:r>
              <w:rPr>
                <w:rFonts w:ascii="Cambria Math" w:hAnsi="Cambria Math"/>
                <w:szCs w:val="22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</m:e>
        </m:d>
      </m:oMath>
      <w:r>
        <w:rPr>
          <w:szCs w:val="22"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  <m:r>
              <w:rPr>
                <w:rFonts w:ascii="Cambria Math" w:hAnsi="Cambria Math"/>
                <w:szCs w:val="22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</m:e>
        </m:d>
      </m:oMath>
      <w:r>
        <w:rPr>
          <w:szCs w:val="22"/>
        </w:rPr>
        <w:t xml:space="preserve"> of the current block / sub-block respectively</w:t>
      </w:r>
      <w:r>
        <w:rPr>
          <w:szCs w:val="22"/>
          <w:lang w:val="en-CA"/>
        </w:rPr>
        <w:t>, (</w:t>
      </w:r>
      <m:oMath>
        <m:r>
          <w:rPr>
            <w:rFonts w:ascii="Cambria Math" w:hAnsi="Cambria Math"/>
            <w:szCs w:val="22"/>
            <w:lang w:val="en-CA"/>
          </w:rPr>
          <m:t>1-w</m:t>
        </m:r>
      </m:oMath>
      <w:r>
        <w:rPr>
          <w:szCs w:val="22"/>
          <w:lang w:val="en-CA"/>
        </w:rPr>
        <w:t xml:space="preserve">) and </w:t>
      </w:r>
      <m:oMath>
        <m:r>
          <w:rPr>
            <w:rFonts w:ascii="Cambria Math" w:hAnsi="Cambria Math"/>
            <w:szCs w:val="22"/>
            <w:lang w:val="en-CA"/>
          </w:rPr>
          <m:t>w</m:t>
        </m:r>
      </m:oMath>
      <w:r>
        <w:rPr>
          <w:szCs w:val="22"/>
          <w:lang w:val="en-CA"/>
        </w:rPr>
        <w:t xml:space="preserve"> denote the </w:t>
      </w:r>
      <w:r w:rsidR="004A1D2F">
        <w:rPr>
          <w:szCs w:val="22"/>
          <w:lang w:val="en-CA"/>
        </w:rPr>
        <w:t xml:space="preserve">BPWA </w:t>
      </w:r>
      <w:r>
        <w:rPr>
          <w:szCs w:val="22"/>
          <w:lang w:val="en-CA"/>
        </w:rPr>
        <w:t xml:space="preserve">weights applied to L0 and L1 reference samples. </w:t>
      </w:r>
      <w:r w:rsidR="009F0E88">
        <w:rPr>
          <w:szCs w:val="22"/>
          <w:lang w:val="en-CA"/>
        </w:rPr>
        <w:t>w=0.5 is the special case whereby, the LIC prediction signals are averaged to generate the final prediction signal of the current block/sub-block.</w:t>
      </w:r>
    </w:p>
    <w:p w14:paraId="7D50953B" w14:textId="021A1CF2" w:rsidR="00F04CEF" w:rsidRPr="009D664A" w:rsidRDefault="008208B8" w:rsidP="00F04CEF">
      <w:pPr>
        <w:jc w:val="center"/>
      </w:pPr>
      <w:r>
        <w:object w:dxaOrig="15870" w:dyaOrig="11700" w14:anchorId="5FDB5B76">
          <v:shape id="_x0000_i1026" type="#_x0000_t75" style="width:410.15pt;height:302.35pt" o:ole="">
            <v:imagedata r:id="rId14" o:title=""/>
          </v:shape>
          <o:OLEObject Type="Embed" ProgID="Visio.Drawing.15" ShapeID="_x0000_i1026" DrawAspect="Content" ObjectID="_1607969143" r:id="rId15"/>
        </w:object>
      </w:r>
    </w:p>
    <w:p w14:paraId="1779F0B2" w14:textId="7F9242CA" w:rsidR="00F04CEF" w:rsidRPr="00A72B29" w:rsidRDefault="00F04CEF" w:rsidP="00F04CEF">
      <w:pPr>
        <w:pStyle w:val="Caption"/>
        <w:jc w:val="center"/>
        <w:rPr>
          <w:rFonts w:ascii="Times New Roman" w:hAnsi="Times New Roman"/>
        </w:rPr>
      </w:pPr>
      <w:bookmarkStart w:id="6" w:name="_Ref496518964"/>
      <w:r w:rsidRPr="00A72B29">
        <w:rPr>
          <w:rFonts w:ascii="Times New Roman" w:hAnsi="Times New Roman"/>
        </w:rPr>
        <w:t xml:space="preserve">Figure </w:t>
      </w:r>
      <w:r w:rsidRPr="00A72B29">
        <w:rPr>
          <w:rFonts w:ascii="Times New Roman" w:hAnsi="Times New Roman"/>
        </w:rPr>
        <w:fldChar w:fldCharType="begin"/>
      </w:r>
      <w:r w:rsidRPr="00A72B29">
        <w:rPr>
          <w:rFonts w:ascii="Times New Roman" w:hAnsi="Times New Roman"/>
        </w:rPr>
        <w:instrText xml:space="preserve"> SEQ Figure \* ARABIC </w:instrText>
      </w:r>
      <w:r w:rsidRPr="00A72B29">
        <w:rPr>
          <w:rFonts w:ascii="Times New Roman" w:hAnsi="Times New Roman"/>
        </w:rPr>
        <w:fldChar w:fldCharType="separate"/>
      </w:r>
      <w:r w:rsidRPr="00A72B29">
        <w:rPr>
          <w:rFonts w:ascii="Times New Roman" w:hAnsi="Times New Roman"/>
          <w:noProof/>
        </w:rPr>
        <w:t>2</w:t>
      </w:r>
      <w:r w:rsidRPr="00A72B29">
        <w:rPr>
          <w:rFonts w:ascii="Times New Roman" w:hAnsi="Times New Roman"/>
        </w:rPr>
        <w:fldChar w:fldCharType="end"/>
      </w:r>
      <w:bookmarkEnd w:id="6"/>
      <w:r w:rsidRPr="00A72B29">
        <w:rPr>
          <w:rFonts w:ascii="Times New Roman" w:hAnsi="Times New Roman"/>
        </w:rPr>
        <w:t xml:space="preserve"> The proposed LIC method for bi-directional prediction</w:t>
      </w:r>
    </w:p>
    <w:p w14:paraId="0639330C" w14:textId="3F6FCA87" w:rsidR="00F04CEF" w:rsidRDefault="00F04CEF" w:rsidP="00F04CEF">
      <w:pPr>
        <w:spacing w:before="240" w:after="240"/>
        <w:rPr>
          <w:szCs w:val="22"/>
        </w:rPr>
      </w:pPr>
      <w:r>
        <w:rPr>
          <w:szCs w:val="22"/>
        </w:rPr>
        <w:t>After that, the linear model parameter derivation, such as LMSE-based method, is employed to calculate the values of the scaling factor and the offset used for the LIC by minimizing the difference between the template samples and their bi-directional reference samples.</w:t>
      </w:r>
    </w:p>
    <w:p w14:paraId="5B67FFA4" w14:textId="77777777" w:rsidR="00F04CEF" w:rsidRDefault="00F04CEF" w:rsidP="00F04CEF">
      <w:pPr>
        <w:spacing w:before="240" w:after="240"/>
        <w:rPr>
          <w:szCs w:val="22"/>
        </w:rPr>
      </w:pPr>
      <w:r>
        <w:rPr>
          <w:szCs w:val="22"/>
        </w:rPr>
        <w:t>Finally, the derived LIC parameters are applied to the bi-directional prediction signal of the current block/sub-block based on the linear model, i.e.,</w:t>
      </w:r>
    </w:p>
    <w:tbl>
      <w:tblPr>
        <w:tblStyle w:val="TableGrid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305"/>
      </w:tblGrid>
      <w:tr w:rsidR="00F04CEF" w:rsidRPr="0064749E" w14:paraId="747139FB" w14:textId="77777777" w:rsidTr="00F04CEF">
        <w:trPr>
          <w:trHeight w:val="125"/>
        </w:trPr>
        <w:tc>
          <w:tcPr>
            <w:tcW w:w="8280" w:type="dxa"/>
            <w:vAlign w:val="center"/>
          </w:tcPr>
          <w:p w14:paraId="3FC71DD4" w14:textId="77777777" w:rsidR="00F04CEF" w:rsidRPr="0064749E" w:rsidRDefault="00F04CEF" w:rsidP="008208B8">
            <w:pPr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Cs w:val="22"/>
                  </w:rPr>
                  <m:t xml:space="preserve">= α∙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1-w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</w:rPr>
                          <m:t>×P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0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x+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0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Cs w:val="22"/>
                          </w:rPr>
                          <m:t>,y+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y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0</m:t>
                            </m:r>
                          </m:sup>
                        </m:sSubSup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>+w×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1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x+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Cs w:val="22"/>
                          </w:rPr>
                          <m:t>,y+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y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</m:t>
                            </m:r>
                          </m:sup>
                        </m:sSubSup>
                      </m:e>
                    </m:d>
                  </m:e>
                </m:d>
                <m:r>
                  <w:rPr>
                    <w:rFonts w:ascii="Cambria Math" w:hAnsi="Cambria Math"/>
                    <w:szCs w:val="22"/>
                  </w:rPr>
                  <m:t xml:space="preserve"> +β</m:t>
                </m:r>
              </m:oMath>
            </m:oMathPara>
          </w:p>
          <w:p w14:paraId="54D03365" w14:textId="77777777" w:rsidR="00F04CEF" w:rsidRPr="0064749E" w:rsidRDefault="00F04CEF" w:rsidP="008208B8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2507A50" w14:textId="42916FAD" w:rsidR="00F04CEF" w:rsidRPr="0064749E" w:rsidRDefault="00F04CEF" w:rsidP="008208B8">
            <w:pPr>
              <w:pStyle w:val="Caption"/>
              <w:rPr>
                <w:rFonts w:ascii="Times New Roman" w:hAnsi="Times New Roman"/>
                <w:szCs w:val="22"/>
              </w:rPr>
            </w:pPr>
            <w:bookmarkStart w:id="7" w:name="_Ref533329225"/>
            <w:r w:rsidRPr="0064749E">
              <w:rPr>
                <w:rFonts w:ascii="Times New Roman" w:hAnsi="Times New Roman"/>
                <w:b w:val="0"/>
                <w:szCs w:val="22"/>
              </w:rPr>
              <w:t>(</w: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begin"/>
            </w:r>
            <w:r w:rsidRPr="0064749E">
              <w:rPr>
                <w:rFonts w:ascii="Times New Roman" w:hAnsi="Times New Roman"/>
                <w:b w:val="0"/>
                <w:szCs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separate"/>
            </w:r>
            <w:r w:rsidR="001826DF">
              <w:rPr>
                <w:rFonts w:ascii="Times New Roman" w:hAnsi="Times New Roman"/>
                <w:b w:val="0"/>
                <w:noProof/>
                <w:szCs w:val="22"/>
              </w:rPr>
              <w:t>4</w: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end"/>
            </w:r>
            <w:r w:rsidRPr="0064749E">
              <w:rPr>
                <w:rFonts w:ascii="Times New Roman" w:hAnsi="Times New Roman"/>
                <w:b w:val="0"/>
                <w:szCs w:val="22"/>
              </w:rPr>
              <w:t>)</w:t>
            </w:r>
            <w:bookmarkEnd w:id="7"/>
          </w:p>
        </w:tc>
      </w:tr>
    </w:tbl>
    <w:p w14:paraId="311D7082" w14:textId="159E6457" w:rsidR="00972E95" w:rsidRDefault="00F04CEF" w:rsidP="00972E95">
      <w:pPr>
        <w:rPr>
          <w:szCs w:val="22"/>
          <w:lang w:val="en-CA"/>
        </w:rPr>
      </w:pPr>
      <w:r>
        <w:rPr>
          <w:szCs w:val="22"/>
        </w:rPr>
        <w:lastRenderedPageBreak/>
        <w:t xml:space="preserve">where </w:t>
      </w:r>
      <m:oMath>
        <m:r>
          <w:rPr>
            <w:rFonts w:ascii="Cambria Math" w:hAnsi="Cambria Math"/>
            <w:szCs w:val="22"/>
          </w:rPr>
          <m:t>P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>
        <w:rPr>
          <w:szCs w:val="22"/>
        </w:rPr>
        <w:t xml:space="preserve"> is the final prediction signal of the current block/sub-block;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  <m:sup>
            <m:r>
              <w:rPr>
                <w:rFonts w:ascii="Cambria Math" w:hAnsi="Cambria Math"/>
                <w:szCs w:val="22"/>
              </w:rPr>
              <m:t>0</m:t>
            </m:r>
          </m:sup>
        </m:sSubSup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  <m:r>
              <w:rPr>
                <w:rFonts w:ascii="Cambria Math" w:hAnsi="Cambria Math"/>
                <w:szCs w:val="22"/>
              </w:rPr>
              <m:t>,y+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</m:e>
        </m:d>
      </m:oMath>
      <w:r>
        <w:rPr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  <m:sup>
            <m:r>
              <w:rPr>
                <w:rFonts w:ascii="Cambria Math" w:hAnsi="Cambria Math"/>
                <w:szCs w:val="22"/>
              </w:rPr>
              <m:t>1</m:t>
            </m:r>
          </m:sup>
        </m:sSubSup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  <m:r>
              <w:rPr>
                <w:rFonts w:ascii="Cambria Math" w:hAnsi="Cambria Math"/>
                <w:szCs w:val="22"/>
              </w:rPr>
              <m:t>,y+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</m:e>
        </m:d>
      </m:oMath>
      <w:r>
        <w:rPr>
          <w:szCs w:val="22"/>
        </w:rPr>
        <w:t xml:space="preserve"> are the two references of the current block/sub-block in L0 and L1, respectively,</w:t>
      </w:r>
      <w:r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t xml:space="preserve"> are the local illumination compensation slope and offset parameters. Therefore,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_Ref533329225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826DF" w:rsidRPr="0064749E">
        <w:rPr>
          <w:szCs w:val="22"/>
        </w:rPr>
        <w:t>(</w:t>
      </w:r>
      <w:r w:rsidR="001826DF">
        <w:rPr>
          <w:b/>
          <w:noProof/>
          <w:szCs w:val="22"/>
        </w:rPr>
        <w:t>4</w:t>
      </w:r>
      <w:r w:rsidR="001826DF" w:rsidRPr="0064749E">
        <w:rPr>
          <w:szCs w:val="22"/>
        </w:rPr>
        <w:t>)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A571F1">
        <w:rPr>
          <w:szCs w:val="22"/>
          <w:lang w:val="en-CA"/>
        </w:rPr>
        <w:t xml:space="preserve">applies LIC once </w:t>
      </w:r>
      <w:r w:rsidR="00A72B29">
        <w:rPr>
          <w:szCs w:val="22"/>
          <w:lang w:val="en-CA"/>
        </w:rPr>
        <w:t xml:space="preserve">(i.e., one LIC parameter estimation and one LIC-based sample adjustment) </w:t>
      </w:r>
      <w:r w:rsidR="00A571F1">
        <w:rPr>
          <w:szCs w:val="22"/>
          <w:lang w:val="en-CA"/>
        </w:rPr>
        <w:t xml:space="preserve">on </w:t>
      </w:r>
      <w:r w:rsidR="00A571F1">
        <w:rPr>
          <w:szCs w:val="22"/>
        </w:rPr>
        <w:t>bi-directional prediction signal of the current block/sub-block</w:t>
      </w:r>
      <w:r>
        <w:rPr>
          <w:szCs w:val="22"/>
          <w:lang w:val="en-CA"/>
        </w:rPr>
        <w:t>.</w:t>
      </w:r>
    </w:p>
    <w:p w14:paraId="1C0EB969" w14:textId="0DBDC4AA" w:rsidR="00455017" w:rsidRDefault="00455017" w:rsidP="00455017">
      <w:pPr>
        <w:pStyle w:val="Heading2"/>
      </w:pPr>
      <w:bookmarkStart w:id="8" w:name="_Ref534104654"/>
      <w:r>
        <w:t>Disabling LIC for ATMVP</w:t>
      </w:r>
      <w:bookmarkEnd w:id="8"/>
    </w:p>
    <w:p w14:paraId="6423A5DF" w14:textId="149C5C07" w:rsidR="00455017" w:rsidRPr="00972E95" w:rsidRDefault="00455017" w:rsidP="00455017">
      <w:pPr>
        <w:rPr>
          <w:lang w:val="en-CA"/>
        </w:rPr>
      </w:pPr>
      <w:r>
        <w:rPr>
          <w:szCs w:val="22"/>
          <w:lang w:val="en-CA"/>
        </w:rPr>
        <w:t xml:space="preserve">It is proposed to disable LIC for the sub-block coding modes e.g. ATMVP. For the blocks coded by any of the sub-block </w:t>
      </w:r>
      <w:r w:rsidR="00C4741A">
        <w:rPr>
          <w:szCs w:val="22"/>
          <w:lang w:val="en-CA"/>
        </w:rPr>
        <w:t xml:space="preserve">modes, one block is further divided into multiple sub-blocks, each with unique motion vector in order to generate fine granularity motion field. Disabling LIC operation for the ATMVP sub-block mode will reduce the computational complexity. </w:t>
      </w:r>
    </w:p>
    <w:p w14:paraId="5A08C1CB" w14:textId="17D22AA2" w:rsidR="003C3A6F" w:rsidRDefault="001525EC" w:rsidP="003C3A6F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3C3A6F">
        <w:rPr>
          <w:lang w:val="en-CA"/>
        </w:rPr>
        <w:t>Results</w:t>
      </w:r>
    </w:p>
    <w:p w14:paraId="666046DA" w14:textId="051E034E" w:rsidR="000A2995" w:rsidRPr="002F6B7F" w:rsidRDefault="000A2995" w:rsidP="000A2995">
      <w:r>
        <w:t xml:space="preserve">The following experiments were conducted using the VTM-3.0 reference software and the JVET common test conditions </w:t>
      </w:r>
      <w:r w:rsidR="00F1697C">
        <w:fldChar w:fldCharType="begin"/>
      </w:r>
      <w:r w:rsidR="00F1697C">
        <w:instrText xml:space="preserve"> REF _Ref534150683 \n \h </w:instrText>
      </w:r>
      <w:r w:rsidR="00F1697C">
        <w:fldChar w:fldCharType="separate"/>
      </w:r>
      <w:r w:rsidR="00F1697C">
        <w:t>[2]</w:t>
      </w:r>
      <w:r w:rsidR="00F1697C">
        <w:fldChar w:fldCharType="end"/>
      </w:r>
      <w:r w:rsidR="00DE449D">
        <w:t xml:space="preserve"> </w:t>
      </w:r>
      <w:r>
        <w:t xml:space="preserve">to collect </w:t>
      </w:r>
      <w:r w:rsidRPr="00327B1D">
        <w:rPr>
          <w:szCs w:val="22"/>
          <w:lang w:val="en-CA"/>
        </w:rPr>
        <w:t>the B</w:t>
      </w:r>
      <w:r>
        <w:rPr>
          <w:szCs w:val="22"/>
          <w:lang w:val="en-CA"/>
        </w:rPr>
        <w:t>-</w:t>
      </w:r>
      <w:r w:rsidRPr="00327B1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</w:t>
      </w:r>
      <w:r w:rsidRPr="00327B1D">
        <w:rPr>
          <w:szCs w:val="22"/>
          <w:lang w:val="en-CA"/>
        </w:rPr>
        <w:t xml:space="preserve">rate, encoding and decoding time of the proposed techniques in </w:t>
      </w:r>
      <w:r>
        <w:rPr>
          <w:szCs w:val="22"/>
          <w:lang w:val="en-CA"/>
        </w:rPr>
        <w:t xml:space="preserve">the </w:t>
      </w:r>
      <w:r w:rsidRPr="00327B1D">
        <w:rPr>
          <w:szCs w:val="22"/>
          <w:lang w:val="en-CA"/>
        </w:rPr>
        <w:t>Random Access and Low Delay B configurations.</w:t>
      </w:r>
    </w:p>
    <w:p w14:paraId="586A958D" w14:textId="1161E93A" w:rsidR="002B6E4E" w:rsidRDefault="009F1330" w:rsidP="00055F18">
      <w:pPr>
        <w:rPr>
          <w:lang w:val="en-CA"/>
        </w:rPr>
      </w:pPr>
      <w:r>
        <w:rPr>
          <w:szCs w:val="22"/>
          <w:lang w:val="en-CA"/>
        </w:rPr>
        <w:t xml:space="preserve">The results of the proposed implementation are shown </w:t>
      </w:r>
      <w:r w:rsidR="00023C7B">
        <w:rPr>
          <w:szCs w:val="22"/>
          <w:lang w:val="en-CA"/>
        </w:rPr>
        <w:t xml:space="preserve">against </w:t>
      </w:r>
      <w:r w:rsidR="00E4737D">
        <w:rPr>
          <w:szCs w:val="22"/>
          <w:lang w:val="en-CA"/>
        </w:rPr>
        <w:t>the</w:t>
      </w:r>
      <w:r w:rsidR="00023C7B">
        <w:rPr>
          <w:szCs w:val="22"/>
          <w:lang w:val="en-CA"/>
        </w:rPr>
        <w:t xml:space="preserve"> </w:t>
      </w:r>
      <w:r w:rsidR="00F6563A">
        <w:rPr>
          <w:szCs w:val="22"/>
          <w:lang w:val="en-CA"/>
        </w:rPr>
        <w:t xml:space="preserve">VTM3.0 and </w:t>
      </w:r>
      <w:r w:rsidR="0023335B">
        <w:rPr>
          <w:szCs w:val="22"/>
          <w:lang w:val="en-CA"/>
        </w:rPr>
        <w:t>the CE10.5</w:t>
      </w:r>
      <w:r w:rsidR="00032B39">
        <w:rPr>
          <w:szCs w:val="22"/>
          <w:lang w:val="en-CA"/>
        </w:rPr>
        <w:t>.2</w:t>
      </w:r>
      <w:r w:rsidR="00A5231B">
        <w:rPr>
          <w:szCs w:val="22"/>
          <w:lang w:val="en-CA"/>
        </w:rPr>
        <w:t xml:space="preserve"> </w:t>
      </w:r>
      <w:r w:rsidR="00E4737D">
        <w:rPr>
          <w:szCs w:val="22"/>
          <w:lang w:val="en-CA"/>
        </w:rPr>
        <w:t>as anchor.</w:t>
      </w:r>
      <w:r w:rsidR="00760BD0">
        <w:rPr>
          <w:szCs w:val="22"/>
          <w:lang w:val="en-CA"/>
        </w:rPr>
        <w:t xml:space="preserve"> The proposed simplification in </w:t>
      </w:r>
      <w:r w:rsidR="00D16C8C">
        <w:rPr>
          <w:szCs w:val="22"/>
          <w:lang w:val="en-CA"/>
        </w:rPr>
        <w:t xml:space="preserve">Sections </w:t>
      </w:r>
      <w:r w:rsidR="00D16C8C">
        <w:rPr>
          <w:szCs w:val="22"/>
          <w:lang w:val="en-CA"/>
        </w:rPr>
        <w:fldChar w:fldCharType="begin"/>
      </w:r>
      <w:r w:rsidR="00D16C8C">
        <w:rPr>
          <w:szCs w:val="22"/>
          <w:lang w:val="en-CA"/>
        </w:rPr>
        <w:instrText xml:space="preserve"> REF _Ref534104547 \n \h </w:instrText>
      </w:r>
      <w:r w:rsidR="00D16C8C">
        <w:rPr>
          <w:szCs w:val="22"/>
          <w:lang w:val="en-CA"/>
        </w:rPr>
      </w:r>
      <w:r w:rsidR="00D16C8C">
        <w:rPr>
          <w:szCs w:val="22"/>
          <w:lang w:val="en-CA"/>
        </w:rPr>
        <w:fldChar w:fldCharType="separate"/>
      </w:r>
      <w:r w:rsidR="00D16C8C">
        <w:rPr>
          <w:szCs w:val="22"/>
          <w:lang w:val="en-CA"/>
        </w:rPr>
        <w:t>2.1</w:t>
      </w:r>
      <w:r w:rsidR="00D16C8C">
        <w:rPr>
          <w:szCs w:val="22"/>
          <w:lang w:val="en-CA"/>
        </w:rPr>
        <w:fldChar w:fldCharType="end"/>
      </w:r>
      <w:r w:rsidR="00D16C8C">
        <w:rPr>
          <w:szCs w:val="22"/>
          <w:lang w:val="en-CA"/>
        </w:rPr>
        <w:t xml:space="preserve"> &amp; </w:t>
      </w:r>
      <w:r w:rsidR="00D16C8C">
        <w:rPr>
          <w:szCs w:val="22"/>
          <w:lang w:val="en-CA"/>
        </w:rPr>
        <w:fldChar w:fldCharType="begin"/>
      </w:r>
      <w:r w:rsidR="00D16C8C">
        <w:rPr>
          <w:szCs w:val="22"/>
          <w:lang w:val="en-CA"/>
        </w:rPr>
        <w:instrText xml:space="preserve"> REF _Ref534104654 \n \h </w:instrText>
      </w:r>
      <w:r w:rsidR="00D16C8C">
        <w:rPr>
          <w:szCs w:val="22"/>
          <w:lang w:val="en-CA"/>
        </w:rPr>
      </w:r>
      <w:r w:rsidR="00D16C8C">
        <w:rPr>
          <w:szCs w:val="22"/>
          <w:lang w:val="en-CA"/>
        </w:rPr>
        <w:fldChar w:fldCharType="separate"/>
      </w:r>
      <w:r w:rsidR="00D16C8C">
        <w:rPr>
          <w:szCs w:val="22"/>
          <w:lang w:val="en-CA"/>
        </w:rPr>
        <w:t>2.2</w:t>
      </w:r>
      <w:r w:rsidR="00D16C8C">
        <w:rPr>
          <w:szCs w:val="22"/>
          <w:lang w:val="en-CA"/>
        </w:rPr>
        <w:fldChar w:fldCharType="end"/>
      </w:r>
      <w:r w:rsidR="00760BD0">
        <w:rPr>
          <w:szCs w:val="22"/>
          <w:lang w:val="en-CA"/>
        </w:rPr>
        <w:t xml:space="preserve"> is used as test. LIC for ATMVP sub-block mode </w:t>
      </w:r>
      <w:r w:rsidR="001525EC">
        <w:rPr>
          <w:szCs w:val="22"/>
          <w:lang w:val="en-CA"/>
        </w:rPr>
        <w:t xml:space="preserve">is disabled </w:t>
      </w:r>
      <w:r w:rsidR="00963AE3">
        <w:rPr>
          <w:szCs w:val="22"/>
          <w:lang w:val="en-CA"/>
        </w:rPr>
        <w:t xml:space="preserve">for </w:t>
      </w:r>
      <w:r w:rsidR="0023335B">
        <w:rPr>
          <w:szCs w:val="22"/>
          <w:lang w:val="en-CA"/>
        </w:rPr>
        <w:t>test</w:t>
      </w:r>
      <w:r w:rsidR="00963AE3">
        <w:rPr>
          <w:szCs w:val="22"/>
          <w:lang w:val="en-CA"/>
        </w:rPr>
        <w:t xml:space="preserve"> </w:t>
      </w:r>
      <w:r w:rsidR="00760BD0">
        <w:rPr>
          <w:szCs w:val="22"/>
          <w:lang w:val="en-CA"/>
        </w:rPr>
        <w:t xml:space="preserve">as in Section </w:t>
      </w:r>
      <w:r w:rsidR="00760BD0">
        <w:rPr>
          <w:szCs w:val="22"/>
          <w:lang w:val="en-CA"/>
        </w:rPr>
        <w:fldChar w:fldCharType="begin"/>
      </w:r>
      <w:r w:rsidR="00760BD0">
        <w:rPr>
          <w:szCs w:val="22"/>
          <w:lang w:val="en-CA"/>
        </w:rPr>
        <w:instrText xml:space="preserve"> REF _Ref534104654 \n \h </w:instrText>
      </w:r>
      <w:r w:rsidR="00760BD0">
        <w:rPr>
          <w:szCs w:val="22"/>
          <w:lang w:val="en-CA"/>
        </w:rPr>
      </w:r>
      <w:r w:rsidR="00760BD0">
        <w:rPr>
          <w:szCs w:val="22"/>
          <w:lang w:val="en-CA"/>
        </w:rPr>
        <w:fldChar w:fldCharType="separate"/>
      </w:r>
      <w:r w:rsidR="00760BD0">
        <w:rPr>
          <w:szCs w:val="22"/>
          <w:lang w:val="en-CA"/>
        </w:rPr>
        <w:t>2.2</w:t>
      </w:r>
      <w:r w:rsidR="00760BD0">
        <w:rPr>
          <w:szCs w:val="22"/>
          <w:lang w:val="en-CA"/>
        </w:rPr>
        <w:fldChar w:fldCharType="end"/>
      </w:r>
      <w:r w:rsidR="00760BD0">
        <w:rPr>
          <w:szCs w:val="22"/>
          <w:lang w:val="en-CA"/>
        </w:rPr>
        <w:t>.</w:t>
      </w:r>
      <w:r w:rsidR="006D34DA">
        <w:rPr>
          <w:szCs w:val="22"/>
          <w:lang w:val="en-CA"/>
        </w:rPr>
        <w:t xml:space="preserve"> </w:t>
      </w:r>
      <w:r w:rsidR="0086414D">
        <w:rPr>
          <w:lang w:val="en-CA"/>
        </w:rPr>
        <w:t xml:space="preserve">The experimental results </w:t>
      </w:r>
      <w:r w:rsidR="001B7A23">
        <w:rPr>
          <w:lang w:val="en-CA"/>
        </w:rPr>
        <w:t>show</w:t>
      </w:r>
      <w:r w:rsidR="0086414D">
        <w:rPr>
          <w:lang w:val="en-CA"/>
        </w:rPr>
        <w:t xml:space="preserve"> negligible impact due to the proposed simplification.</w:t>
      </w:r>
    </w:p>
    <w:p w14:paraId="43F9A01A" w14:textId="37782A10" w:rsidR="001C3941" w:rsidRDefault="001C3941" w:rsidP="001C3941">
      <w:pPr>
        <w:pStyle w:val="Heading2"/>
        <w:rPr>
          <w:lang w:val="en-CA"/>
        </w:rPr>
      </w:pPr>
      <w:r>
        <w:rPr>
          <w:lang w:val="en-CA"/>
        </w:rPr>
        <w:t>Comparison with VTM-3.0 anchor</w:t>
      </w:r>
    </w:p>
    <w:p w14:paraId="03B73DFB" w14:textId="77777777" w:rsidR="00BB3534" w:rsidRDefault="00BB3534" w:rsidP="00BB3534">
      <w:pPr>
        <w:pStyle w:val="Caption"/>
        <w:jc w:val="center"/>
        <w:rPr>
          <w:szCs w:val="22"/>
          <w:lang w:val="en-CA"/>
        </w:rPr>
      </w:pPr>
      <w:r>
        <w:t xml:space="preserve">Table </w:t>
      </w:r>
      <w:r w:rsidR="00EB797D">
        <w:fldChar w:fldCharType="begin"/>
      </w:r>
      <w:r w:rsidR="00EB797D">
        <w:instrText xml:space="preserve"> SEQ Table \* ARABIC </w:instrText>
      </w:r>
      <w:r w:rsidR="00EB797D">
        <w:fldChar w:fldCharType="separate"/>
      </w:r>
      <w:r>
        <w:rPr>
          <w:noProof/>
        </w:rPr>
        <w:t>1</w:t>
      </w:r>
      <w:r w:rsidR="00EB797D">
        <w:rPr>
          <w:noProof/>
        </w:rPr>
        <w:fldChar w:fldCharType="end"/>
      </w:r>
      <w:r>
        <w:t xml:space="preserve">. </w:t>
      </w:r>
      <w:r>
        <w:rPr>
          <w:szCs w:val="22"/>
          <w:lang w:val="en-CA"/>
        </w:rPr>
        <w:t>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B3534" w:rsidRPr="00BB3534" w14:paraId="5622BCCD" w14:textId="77777777" w:rsidTr="00BA43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17A30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9392A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BB3534" w:rsidRPr="00BB3534" w14:paraId="17F50731" w14:textId="77777777" w:rsidTr="00BA43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D553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18440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B86CF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7AE9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AE99A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9230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B3534" w:rsidRPr="00BB3534" w14:paraId="5598D7B0" w14:textId="77777777" w:rsidTr="00BA43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AEC8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E92C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37DE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154A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A953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1AF24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3534" w:rsidRPr="00BB3534" w14:paraId="3477EDEA" w14:textId="77777777" w:rsidTr="00BA43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4C15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B6F8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0CCD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03F7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FF5B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4417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3534" w:rsidRPr="00BB3534" w14:paraId="4687A5A4" w14:textId="77777777" w:rsidTr="00BA43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EF63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B0D0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5DB2C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2F5B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8003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D7A4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3534" w:rsidRPr="00BB3534" w14:paraId="27100BA6" w14:textId="77777777" w:rsidTr="00BA43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502E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2D91E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16AA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252B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98F2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60D8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3534" w:rsidRPr="00BB3534" w14:paraId="46E964E2" w14:textId="77777777" w:rsidTr="00BA43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963B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0E61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7AE0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C2D6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4EF4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BDDB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3534" w:rsidRPr="00BB3534" w14:paraId="0F007617" w14:textId="77777777" w:rsidTr="00BA43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00247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1EE9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7E34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6C25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BDA4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17D7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3534" w:rsidRPr="00BB3534" w14:paraId="3DAE9406" w14:textId="77777777" w:rsidTr="00BA43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01CF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5378A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0A511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416F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02B60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B2A7" w14:textId="77777777" w:rsidR="00BB3534" w:rsidRPr="00BB3534" w:rsidRDefault="00BB3534" w:rsidP="00BA4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353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D717E9F" w14:textId="77777777" w:rsidR="00BB3534" w:rsidRPr="00BB3534" w:rsidRDefault="00BB3534" w:rsidP="00BB3534">
      <w:pPr>
        <w:rPr>
          <w:lang w:val="en-CA"/>
        </w:rPr>
      </w:pPr>
    </w:p>
    <w:p w14:paraId="36138ECD" w14:textId="0E06097E" w:rsidR="00BB3534" w:rsidRDefault="00BB3534" w:rsidP="00BB3534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 w:rsidRPr="00D556F4">
        <w:rPr>
          <w:rFonts w:asciiTheme="minorHAnsi" w:hAnsiTheme="minorHAnsi" w:cstheme="minorHAnsi"/>
          <w:b/>
          <w:szCs w:val="22"/>
          <w:lang w:val="en-CA"/>
        </w:rPr>
        <w:t xml:space="preserve">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B7E1C" w:rsidRPr="001B7E1C" w14:paraId="2BBC517E" w14:textId="77777777" w:rsidTr="001B7E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257D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30965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1B7E1C" w:rsidRPr="001B7E1C" w14:paraId="19336520" w14:textId="77777777" w:rsidTr="001B7E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1487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835D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37E98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7824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9DEA2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ED9B9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B7E1C" w:rsidRPr="001B7E1C" w14:paraId="4AE01264" w14:textId="77777777" w:rsidTr="001B7E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B4B13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F890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6BED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451C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E6C4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4AB65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7E1C" w:rsidRPr="001B7E1C" w14:paraId="6D58FEF1" w14:textId="77777777" w:rsidTr="001B7E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51DC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1BFF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CC84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DDB6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6F54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8A5B0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7E1C" w:rsidRPr="001B7E1C" w14:paraId="4BAC8CDC" w14:textId="77777777" w:rsidTr="001B7E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95D20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5058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10E4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DB42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6A69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2C83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B7E1C" w:rsidRPr="001B7E1C" w14:paraId="78741B6F" w14:textId="77777777" w:rsidTr="001B7E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A3A6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D4F9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1ABD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AD09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E0D16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BE29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E1C" w:rsidRPr="001B7E1C" w14:paraId="1124F8CB" w14:textId="77777777" w:rsidTr="001B7E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D6AC9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656E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0094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22E2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E7FB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64A6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7E1C" w:rsidRPr="001B7E1C" w14:paraId="20671E3B" w14:textId="77777777" w:rsidTr="001B7E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937F8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1616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2089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F9BD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BCEC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E8DEA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B7E1C" w:rsidRPr="001B7E1C" w14:paraId="065E6BFA" w14:textId="77777777" w:rsidTr="001B7E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7734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CE175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1F7A1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C92E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3E6EA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E8CDB" w14:textId="77777777" w:rsidR="001B7E1C" w:rsidRPr="001B7E1C" w:rsidRDefault="001B7E1C" w:rsidP="001B7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E1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8A6EF62" w14:textId="77777777" w:rsidR="001B7E1C" w:rsidRDefault="001B7E1C" w:rsidP="00BB3534">
      <w:pPr>
        <w:jc w:val="center"/>
        <w:rPr>
          <w:rFonts w:asciiTheme="minorHAnsi" w:hAnsiTheme="minorHAnsi" w:cstheme="minorHAnsi"/>
          <w:b/>
          <w:szCs w:val="22"/>
          <w:lang w:val="en-CA"/>
        </w:rPr>
      </w:pPr>
    </w:p>
    <w:p w14:paraId="1FB63276" w14:textId="77777777" w:rsidR="00BB3534" w:rsidRPr="00D556F4" w:rsidRDefault="00BB3534" w:rsidP="00D556F4">
      <w:pPr>
        <w:jc w:val="center"/>
        <w:rPr>
          <w:rFonts w:asciiTheme="minorHAnsi" w:hAnsiTheme="minorHAnsi" w:cstheme="minorHAnsi"/>
          <w:b/>
          <w:szCs w:val="22"/>
          <w:lang w:val="en-CA"/>
        </w:rPr>
      </w:pPr>
    </w:p>
    <w:p w14:paraId="49C30EA3" w14:textId="13547A16" w:rsidR="00D556F4" w:rsidRDefault="00D556F4" w:rsidP="002430BA">
      <w:pPr>
        <w:jc w:val="center"/>
        <w:rPr>
          <w:szCs w:val="22"/>
          <w:lang w:val="en-CA"/>
        </w:rPr>
      </w:pPr>
    </w:p>
    <w:p w14:paraId="2ADC5956" w14:textId="079BEC8E" w:rsidR="00D556F4" w:rsidRDefault="00D556F4" w:rsidP="002430BA">
      <w:pPr>
        <w:jc w:val="center"/>
        <w:rPr>
          <w:szCs w:val="22"/>
          <w:lang w:val="en-CA"/>
        </w:rPr>
      </w:pPr>
    </w:p>
    <w:p w14:paraId="03CEAE00" w14:textId="3447AEE7" w:rsidR="00D556F4" w:rsidRDefault="00D556F4" w:rsidP="002430BA">
      <w:pPr>
        <w:jc w:val="center"/>
        <w:rPr>
          <w:szCs w:val="22"/>
          <w:lang w:val="en-CA"/>
        </w:rPr>
      </w:pPr>
    </w:p>
    <w:p w14:paraId="3D0DB5C6" w14:textId="77777777" w:rsidR="00D556F4" w:rsidRDefault="00D556F4" w:rsidP="002430BA">
      <w:pPr>
        <w:jc w:val="center"/>
        <w:rPr>
          <w:szCs w:val="22"/>
          <w:lang w:val="en-CA"/>
        </w:rPr>
      </w:pPr>
    </w:p>
    <w:p w14:paraId="370706B8" w14:textId="38481778" w:rsidR="001C3941" w:rsidRDefault="001C3941" w:rsidP="001C3941">
      <w:pPr>
        <w:pStyle w:val="Heading2"/>
        <w:rPr>
          <w:lang w:val="en-CA"/>
        </w:rPr>
      </w:pPr>
      <w:r>
        <w:rPr>
          <w:lang w:val="en-CA"/>
        </w:rPr>
        <w:t>Comparison with CE10.5</w:t>
      </w:r>
      <w:r w:rsidR="00BA43CC">
        <w:rPr>
          <w:lang w:val="en-CA"/>
        </w:rPr>
        <w:t>.2</w:t>
      </w:r>
      <w:r>
        <w:rPr>
          <w:lang w:val="en-CA"/>
        </w:rPr>
        <w:t xml:space="preserve"> </w:t>
      </w:r>
      <w:r w:rsidR="00BA43CC">
        <w:rPr>
          <w:lang w:val="en-CA"/>
        </w:rPr>
        <w:t>test</w:t>
      </w:r>
    </w:p>
    <w:p w14:paraId="6751BF78" w14:textId="7E2AADF1" w:rsidR="00D556F4" w:rsidRDefault="00D556F4" w:rsidP="00D556F4">
      <w:pPr>
        <w:pStyle w:val="Caption"/>
        <w:jc w:val="center"/>
        <w:rPr>
          <w:szCs w:val="22"/>
          <w:lang w:val="en-CA"/>
        </w:rPr>
      </w:pPr>
      <w:r>
        <w:t xml:space="preserve">Table </w:t>
      </w:r>
      <w:r w:rsidR="00EB797D">
        <w:fldChar w:fldCharType="begin"/>
      </w:r>
      <w:r w:rsidR="00EB797D">
        <w:instrText xml:space="preserve"> SEQ Table \* ARABIC </w:instrText>
      </w:r>
      <w:r w:rsidR="00EB797D">
        <w:fldChar w:fldCharType="separate"/>
      </w:r>
      <w:r w:rsidR="000415C3">
        <w:rPr>
          <w:noProof/>
        </w:rPr>
        <w:t>2</w:t>
      </w:r>
      <w:r w:rsidR="00EB797D">
        <w:rPr>
          <w:noProof/>
        </w:rPr>
        <w:fldChar w:fldCharType="end"/>
      </w:r>
      <w:r>
        <w:t xml:space="preserve">. </w:t>
      </w:r>
      <w:r>
        <w:rPr>
          <w:szCs w:val="22"/>
          <w:lang w:val="en-CA"/>
        </w:rPr>
        <w:t>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73B30" w:rsidRPr="00573B30" w14:paraId="3084E18E" w14:textId="77777777" w:rsidTr="00573B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7DC9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C89F2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 10.5.2</w:t>
            </w:r>
          </w:p>
        </w:tc>
      </w:tr>
      <w:tr w:rsidR="00573B30" w:rsidRPr="00573B30" w14:paraId="75F65ED6" w14:textId="77777777" w:rsidTr="00573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D9DA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B7529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A6E33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7F3C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7D911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F4AD3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73B30" w:rsidRPr="00573B30" w14:paraId="7B9FA947" w14:textId="77777777" w:rsidTr="00573B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1DF3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9D76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9BD2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ACF7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6C3A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C783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3B30" w:rsidRPr="00573B30" w14:paraId="5ADBE652" w14:textId="77777777" w:rsidTr="00573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0DF1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A7D8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0CBE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B7DC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166F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A446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3B30" w:rsidRPr="00573B30" w14:paraId="07A2D08D" w14:textId="77777777" w:rsidTr="00573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D046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EA43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0E91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9ED4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EFCD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15B93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3B30" w:rsidRPr="00573B30" w14:paraId="488D29F7" w14:textId="77777777" w:rsidTr="00573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62E7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FBCD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D70B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F863A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58FA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5D0B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3B30" w:rsidRPr="00573B30" w14:paraId="4AC6E4A4" w14:textId="77777777" w:rsidTr="00573B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FC0B2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4FF2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7C43D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4363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DDAC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C582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3B30" w:rsidRPr="00573B30" w14:paraId="0C96766A" w14:textId="77777777" w:rsidTr="00573B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4E4E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E14D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0E14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FD92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7784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80CFA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3B30" w:rsidRPr="00573B30" w14:paraId="7343A030" w14:textId="77777777" w:rsidTr="00573B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7EB4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69BA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AD01A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4386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297F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1C15B" w14:textId="77777777" w:rsidR="00573B30" w:rsidRPr="00573B30" w:rsidRDefault="00573B30" w:rsidP="00573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3B3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8238BE" w14:textId="77777777" w:rsidR="00573B30" w:rsidRPr="00573B30" w:rsidRDefault="00573B30" w:rsidP="00573B30">
      <w:pPr>
        <w:rPr>
          <w:lang w:val="en-CA"/>
        </w:rPr>
      </w:pPr>
    </w:p>
    <w:p w14:paraId="4FAC2BDA" w14:textId="6722BD12" w:rsidR="00D556F4" w:rsidRDefault="00D556F4" w:rsidP="00D556F4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 w:rsidRPr="00D556F4">
        <w:rPr>
          <w:rFonts w:asciiTheme="minorHAnsi" w:hAnsiTheme="minorHAnsi" w:cstheme="minorHAnsi"/>
          <w:b/>
          <w:szCs w:val="22"/>
          <w:lang w:val="en-CA"/>
        </w:rPr>
        <w:t xml:space="preserve">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620C2" w:rsidRPr="005620C2" w14:paraId="4E2AB07B" w14:textId="77777777" w:rsidTr="005620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41AF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68435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CE-10.5.2</w:t>
            </w:r>
          </w:p>
        </w:tc>
      </w:tr>
      <w:tr w:rsidR="005620C2" w:rsidRPr="005620C2" w14:paraId="2B798A85" w14:textId="77777777" w:rsidTr="005620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469C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EA60A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49F87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EC56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8777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CD379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620C2" w:rsidRPr="005620C2" w14:paraId="0CF1786D" w14:textId="77777777" w:rsidTr="005620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3E7AE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F679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47F7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9790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3812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CC54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620C2" w:rsidRPr="005620C2" w14:paraId="36471854" w14:textId="77777777" w:rsidTr="005620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5B322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E868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BB71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B9D7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3424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B040C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620C2" w:rsidRPr="005620C2" w14:paraId="48B5B3EF" w14:textId="77777777" w:rsidTr="005620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D226F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E6F3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BDF6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5D5D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67D6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7FA5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620C2" w:rsidRPr="005620C2" w14:paraId="35D9604F" w14:textId="77777777" w:rsidTr="005620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4AD3D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000E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25E0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E7E8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677A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A9600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620C2" w:rsidRPr="005620C2" w14:paraId="63D90E5E" w14:textId="77777777" w:rsidTr="005620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07629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FD53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51DD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56BE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6720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27FE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620C2" w:rsidRPr="005620C2" w14:paraId="46867A99" w14:textId="77777777" w:rsidTr="005620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16D9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4F7D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1AEA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7F2B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4758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FA0D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5620C2" w:rsidRPr="005620C2" w14:paraId="48856421" w14:textId="77777777" w:rsidTr="005620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A0A10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0D06A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87316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E125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10D3A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3A2B" w14:textId="77777777" w:rsidR="005620C2" w:rsidRPr="005620C2" w:rsidRDefault="005620C2" w:rsidP="0056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0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05D0E05" w14:textId="43D40208" w:rsidR="00A5231B" w:rsidRDefault="00A5231B" w:rsidP="00A523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290F72">
        <w:rPr>
          <w:szCs w:val="22"/>
          <w:lang w:val="en-CA"/>
        </w:rPr>
        <w:t xml:space="preserve">LIC simplifications </w:t>
      </w:r>
      <w:r>
        <w:rPr>
          <w:szCs w:val="22"/>
          <w:lang w:val="en-CA"/>
        </w:rPr>
        <w:t>reduce the complexity with</w:t>
      </w:r>
      <w:r w:rsidR="007075E0">
        <w:rPr>
          <w:szCs w:val="22"/>
          <w:lang w:val="en-CA"/>
        </w:rPr>
        <w:t xml:space="preserve"> a marginal</w:t>
      </w:r>
      <w:r>
        <w:rPr>
          <w:szCs w:val="22"/>
          <w:lang w:val="en-CA"/>
        </w:rPr>
        <w:t xml:space="preserve"> </w:t>
      </w:r>
      <w:r w:rsidR="00B63EE2">
        <w:rPr>
          <w:szCs w:val="22"/>
          <w:lang w:val="en-CA"/>
        </w:rPr>
        <w:t>variation</w:t>
      </w:r>
      <w:bookmarkStart w:id="9" w:name="_GoBack"/>
      <w:bookmarkEnd w:id="9"/>
      <w:r w:rsidR="007075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 the LIC performance. One </w:t>
      </w:r>
      <w:r w:rsidR="007075E0">
        <w:rPr>
          <w:szCs w:val="22"/>
          <w:lang w:val="en-CA"/>
        </w:rPr>
        <w:t xml:space="preserve">simplified </w:t>
      </w:r>
      <w:r>
        <w:rPr>
          <w:szCs w:val="22"/>
          <w:lang w:val="en-CA"/>
        </w:rPr>
        <w:t xml:space="preserve">LIC method is proposed to reduce the complexity of deriving the LIC parameters for the </w:t>
      </w:r>
      <w:r w:rsidR="007075E0">
        <w:rPr>
          <w:szCs w:val="22"/>
          <w:lang w:val="en-CA"/>
        </w:rPr>
        <w:t xml:space="preserve">bi-predicted </w:t>
      </w:r>
      <w:r>
        <w:rPr>
          <w:szCs w:val="22"/>
          <w:lang w:val="en-CA"/>
        </w:rPr>
        <w:t xml:space="preserve">blocks. Unlike the existing LIC method which estimates the LIC parameters for each prediction direction separately, the proposed LIC method generates the bi-prediction reference samples of the template samples for the current </w:t>
      </w:r>
      <w:r w:rsidR="00835F56">
        <w:rPr>
          <w:szCs w:val="22"/>
          <w:lang w:val="en-CA"/>
        </w:rPr>
        <w:t>block and</w:t>
      </w:r>
      <w:r>
        <w:rPr>
          <w:szCs w:val="22"/>
          <w:lang w:val="en-CA"/>
        </w:rPr>
        <w:t xml:space="preserve"> estimate the LIC parameters only once. By this way, only one single LIC operation (i.e., one LIC parameter estimation and one LIC-based sample adjustment) needs to be performed for generating the prediction signal of the current block.</w:t>
      </w:r>
      <w:r w:rsidR="008E66A0">
        <w:rPr>
          <w:szCs w:val="22"/>
          <w:lang w:val="en-CA"/>
        </w:rPr>
        <w:t xml:space="preserve"> </w:t>
      </w:r>
      <w:r w:rsidR="007075E0">
        <w:rPr>
          <w:szCs w:val="22"/>
          <w:lang w:val="en-CA"/>
        </w:rPr>
        <w:t>The</w:t>
      </w:r>
      <w:r w:rsidR="008E66A0">
        <w:rPr>
          <w:szCs w:val="22"/>
          <w:lang w:val="en-CA"/>
        </w:rPr>
        <w:t xml:space="preserve"> LIC for ATMVP sub-block mode</w:t>
      </w:r>
      <w:r w:rsidR="007075E0">
        <w:rPr>
          <w:szCs w:val="22"/>
          <w:lang w:val="en-CA"/>
        </w:rPr>
        <w:t xml:space="preserve"> is proposed to be disabled</w:t>
      </w:r>
      <w:r w:rsidR="008E66A0">
        <w:rPr>
          <w:szCs w:val="22"/>
          <w:lang w:val="en-CA"/>
        </w:rPr>
        <w:t>.</w:t>
      </w:r>
    </w:p>
    <w:p w14:paraId="0967F833" w14:textId="7C5EA2B1" w:rsidR="00B90CF2" w:rsidRDefault="00B90CF2" w:rsidP="00B90CF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7D3F922" w14:textId="1ADCA8E9" w:rsidR="00ED098B" w:rsidRDefault="008F7A9E" w:rsidP="00DD0866">
      <w:pPr>
        <w:pStyle w:val="References"/>
        <w:jc w:val="both"/>
        <w:rPr>
          <w:sz w:val="22"/>
          <w:szCs w:val="22"/>
        </w:rPr>
      </w:pPr>
      <w:bookmarkStart w:id="10" w:name="_Ref534128392"/>
      <w:r>
        <w:rPr>
          <w:sz w:val="22"/>
          <w:szCs w:val="22"/>
          <w:lang w:val="en-CA"/>
        </w:rPr>
        <w:t>K. Abe, T. Toma and J. Li</w:t>
      </w:r>
      <w:r w:rsidR="00FC53C6" w:rsidRPr="00FC53C6">
        <w:rPr>
          <w:sz w:val="22"/>
          <w:szCs w:val="22"/>
          <w:lang w:val="en-CA"/>
        </w:rPr>
        <w:t>, “</w:t>
      </w:r>
      <w:r>
        <w:rPr>
          <w:sz w:val="22"/>
          <w:szCs w:val="22"/>
          <w:lang w:val="en-CA"/>
        </w:rPr>
        <w:t>CE-4 related: Low pipeline latency LIC</w:t>
      </w:r>
      <w:r w:rsidR="00FC53C6" w:rsidRPr="00FC53C6">
        <w:rPr>
          <w:sz w:val="22"/>
          <w:szCs w:val="22"/>
          <w:lang w:val="en-CA"/>
        </w:rPr>
        <w:t>”, JVET-</w:t>
      </w:r>
      <w:r>
        <w:rPr>
          <w:sz w:val="22"/>
          <w:szCs w:val="22"/>
          <w:lang w:val="en-CA"/>
        </w:rPr>
        <w:t>L0120</w:t>
      </w:r>
      <w:r w:rsidR="00FC53C6" w:rsidRPr="00FC53C6">
        <w:rPr>
          <w:sz w:val="22"/>
          <w:szCs w:val="22"/>
          <w:lang w:val="en-CA"/>
        </w:rPr>
        <w:t xml:space="preserve">, </w:t>
      </w:r>
      <w:r w:rsidR="007119DD">
        <w:rPr>
          <w:sz w:val="22"/>
          <w:szCs w:val="22"/>
          <w:lang w:val="en-CA"/>
        </w:rPr>
        <w:t>Macao, CN</w:t>
      </w:r>
      <w:r w:rsidR="00FC53C6" w:rsidRPr="00FC53C6">
        <w:rPr>
          <w:sz w:val="22"/>
          <w:szCs w:val="22"/>
          <w:lang w:val="en-CA"/>
        </w:rPr>
        <w:t xml:space="preserve">, </w:t>
      </w:r>
      <w:r w:rsidR="007119DD">
        <w:rPr>
          <w:sz w:val="22"/>
          <w:szCs w:val="22"/>
          <w:lang w:val="en-CA"/>
        </w:rPr>
        <w:t>October</w:t>
      </w:r>
      <w:r w:rsidR="00FC53C6" w:rsidRPr="00FC53C6">
        <w:rPr>
          <w:sz w:val="22"/>
          <w:szCs w:val="22"/>
          <w:lang w:val="en-CA"/>
        </w:rPr>
        <w:t xml:space="preserve"> 2018.</w:t>
      </w:r>
      <w:bookmarkEnd w:id="10"/>
      <w:r w:rsidR="00DD0866">
        <w:rPr>
          <w:sz w:val="22"/>
          <w:szCs w:val="22"/>
        </w:rPr>
        <w:t xml:space="preserve"> </w:t>
      </w:r>
    </w:p>
    <w:p w14:paraId="0604DA01" w14:textId="4104B506" w:rsidR="008F7A9E" w:rsidRPr="008F7A9E" w:rsidRDefault="008F7A9E" w:rsidP="008F7A9E">
      <w:pPr>
        <w:pStyle w:val="References"/>
        <w:jc w:val="both"/>
        <w:rPr>
          <w:sz w:val="22"/>
          <w:szCs w:val="22"/>
        </w:rPr>
      </w:pPr>
      <w:bookmarkStart w:id="11" w:name="_Ref534150683"/>
      <w:r w:rsidRPr="00ED098B">
        <w:rPr>
          <w:sz w:val="22"/>
          <w:szCs w:val="22"/>
          <w:lang w:val="en-CA"/>
        </w:rPr>
        <w:t>F. Bossen, J. Boyce, K. Suehring, X. Li and V. Seregin, “JVET common test conditions and software reference configurations”, JVET-</w:t>
      </w:r>
      <w:r>
        <w:rPr>
          <w:sz w:val="22"/>
          <w:szCs w:val="22"/>
          <w:lang w:val="en-CA"/>
        </w:rPr>
        <w:t>L</w:t>
      </w:r>
      <w:r w:rsidRPr="00ED098B">
        <w:rPr>
          <w:sz w:val="22"/>
          <w:szCs w:val="22"/>
          <w:lang w:val="en-CA"/>
        </w:rPr>
        <w:t>1010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Macao, CN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October</w:t>
      </w:r>
      <w:r w:rsidRPr="00FC53C6">
        <w:rPr>
          <w:sz w:val="22"/>
          <w:szCs w:val="22"/>
          <w:lang w:val="en-CA"/>
        </w:rPr>
        <w:t xml:space="preserve"> 2018</w:t>
      </w:r>
      <w:r w:rsidRPr="00ED098B">
        <w:rPr>
          <w:sz w:val="22"/>
          <w:szCs w:val="22"/>
          <w:lang w:val="en-CA"/>
        </w:rPr>
        <w:t>.</w:t>
      </w:r>
      <w:bookmarkEnd w:id="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3980E9F" w:rsidR="007F1F8B" w:rsidRDefault="007107B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InterDigital Inc.</w:t>
      </w:r>
      <w:r w:rsidR="00C13B82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C434B" w14:textId="77777777" w:rsidR="00EB797D" w:rsidRDefault="00EB797D">
      <w:r>
        <w:separator/>
      </w:r>
    </w:p>
  </w:endnote>
  <w:endnote w:type="continuationSeparator" w:id="0">
    <w:p w14:paraId="17AE6ACD" w14:textId="77777777" w:rsidR="00EB797D" w:rsidRDefault="00EB7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1F862A" w:rsidR="00BA43CC" w:rsidRPr="00C00DDE" w:rsidRDefault="00BA43C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63EE2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3EE2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FA80B" w14:textId="77777777" w:rsidR="00EB797D" w:rsidRDefault="00EB797D">
      <w:r>
        <w:separator/>
      </w:r>
    </w:p>
  </w:footnote>
  <w:footnote w:type="continuationSeparator" w:id="0">
    <w:p w14:paraId="0457211D" w14:textId="77777777" w:rsidR="00EB797D" w:rsidRDefault="00EB7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0409C"/>
    <w:multiLevelType w:val="hybridMultilevel"/>
    <w:tmpl w:val="F112D892"/>
    <w:lvl w:ilvl="0" w:tplc="08608C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80C73"/>
    <w:multiLevelType w:val="hybridMultilevel"/>
    <w:tmpl w:val="D8B4FEEA"/>
    <w:lvl w:ilvl="0" w:tplc="3FDEA6B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420105"/>
    <w:multiLevelType w:val="hybridMultilevel"/>
    <w:tmpl w:val="B8807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F14B1"/>
    <w:multiLevelType w:val="hybridMultilevel"/>
    <w:tmpl w:val="F9E6A6E6"/>
    <w:lvl w:ilvl="0" w:tplc="0BC86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7"/>
  </w:num>
  <w:num w:numId="13">
    <w:abstractNumId w:val="7"/>
  </w:num>
  <w:num w:numId="14">
    <w:abstractNumId w:val="15"/>
  </w:num>
  <w:num w:numId="15">
    <w:abstractNumId w:val="9"/>
  </w:num>
  <w:num w:numId="16">
    <w:abstractNumId w:val="17"/>
  </w:num>
  <w:num w:numId="17">
    <w:abstractNumId w:val="4"/>
  </w:num>
  <w:num w:numId="18">
    <w:abstractNumId w:val="8"/>
  </w:num>
  <w:num w:numId="19">
    <w:abstractNumId w:val="14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EB7"/>
    <w:rsid w:val="00023C7B"/>
    <w:rsid w:val="0002690D"/>
    <w:rsid w:val="000308A3"/>
    <w:rsid w:val="000325AE"/>
    <w:rsid w:val="00032B39"/>
    <w:rsid w:val="00032CDF"/>
    <w:rsid w:val="000415C3"/>
    <w:rsid w:val="000458BC"/>
    <w:rsid w:val="00045C41"/>
    <w:rsid w:val="00046C03"/>
    <w:rsid w:val="00055F18"/>
    <w:rsid w:val="000605FF"/>
    <w:rsid w:val="00062898"/>
    <w:rsid w:val="0006353D"/>
    <w:rsid w:val="00064E18"/>
    <w:rsid w:val="00065039"/>
    <w:rsid w:val="0007614F"/>
    <w:rsid w:val="00081398"/>
    <w:rsid w:val="000817A8"/>
    <w:rsid w:val="00087073"/>
    <w:rsid w:val="00094479"/>
    <w:rsid w:val="000945F5"/>
    <w:rsid w:val="000962AC"/>
    <w:rsid w:val="00096BFB"/>
    <w:rsid w:val="000973F1"/>
    <w:rsid w:val="000A2995"/>
    <w:rsid w:val="000A78EA"/>
    <w:rsid w:val="000B0C0F"/>
    <w:rsid w:val="000B1C6B"/>
    <w:rsid w:val="000B4FF9"/>
    <w:rsid w:val="000C09AC"/>
    <w:rsid w:val="000D602C"/>
    <w:rsid w:val="000E00F3"/>
    <w:rsid w:val="000E7251"/>
    <w:rsid w:val="000F158C"/>
    <w:rsid w:val="00102F3D"/>
    <w:rsid w:val="00124E38"/>
    <w:rsid w:val="0012580B"/>
    <w:rsid w:val="00131F90"/>
    <w:rsid w:val="00133F89"/>
    <w:rsid w:val="0013458C"/>
    <w:rsid w:val="0013526E"/>
    <w:rsid w:val="00137E92"/>
    <w:rsid w:val="00145C8E"/>
    <w:rsid w:val="00146152"/>
    <w:rsid w:val="001525EC"/>
    <w:rsid w:val="0015338E"/>
    <w:rsid w:val="001553E1"/>
    <w:rsid w:val="00155526"/>
    <w:rsid w:val="00155EA3"/>
    <w:rsid w:val="00157AD9"/>
    <w:rsid w:val="001675F0"/>
    <w:rsid w:val="00167F0F"/>
    <w:rsid w:val="00171371"/>
    <w:rsid w:val="00175A24"/>
    <w:rsid w:val="001826DF"/>
    <w:rsid w:val="0018568C"/>
    <w:rsid w:val="00187E58"/>
    <w:rsid w:val="001A297E"/>
    <w:rsid w:val="001A368E"/>
    <w:rsid w:val="001A7329"/>
    <w:rsid w:val="001A792F"/>
    <w:rsid w:val="001B2DEF"/>
    <w:rsid w:val="001B4E28"/>
    <w:rsid w:val="001B5EA3"/>
    <w:rsid w:val="001B7A23"/>
    <w:rsid w:val="001B7E1C"/>
    <w:rsid w:val="001C3525"/>
    <w:rsid w:val="001C3941"/>
    <w:rsid w:val="001C3AFB"/>
    <w:rsid w:val="001D1BD2"/>
    <w:rsid w:val="001E0248"/>
    <w:rsid w:val="001E02BE"/>
    <w:rsid w:val="001E1A9E"/>
    <w:rsid w:val="001E3B37"/>
    <w:rsid w:val="001F2594"/>
    <w:rsid w:val="002055A6"/>
    <w:rsid w:val="00206460"/>
    <w:rsid w:val="002069B4"/>
    <w:rsid w:val="0021474E"/>
    <w:rsid w:val="00215DFC"/>
    <w:rsid w:val="00216A0D"/>
    <w:rsid w:val="002212DF"/>
    <w:rsid w:val="00222CD4"/>
    <w:rsid w:val="00225016"/>
    <w:rsid w:val="002253CA"/>
    <w:rsid w:val="0022621D"/>
    <w:rsid w:val="002264A6"/>
    <w:rsid w:val="00227BA7"/>
    <w:rsid w:val="0023011C"/>
    <w:rsid w:val="0023335B"/>
    <w:rsid w:val="002375C1"/>
    <w:rsid w:val="002430BA"/>
    <w:rsid w:val="0024579B"/>
    <w:rsid w:val="00262BEF"/>
    <w:rsid w:val="00263398"/>
    <w:rsid w:val="00263B99"/>
    <w:rsid w:val="00266F06"/>
    <w:rsid w:val="0027542E"/>
    <w:rsid w:val="00275BCF"/>
    <w:rsid w:val="00290F72"/>
    <w:rsid w:val="00291E36"/>
    <w:rsid w:val="00292257"/>
    <w:rsid w:val="0029363D"/>
    <w:rsid w:val="002A54E0"/>
    <w:rsid w:val="002A7D73"/>
    <w:rsid w:val="002B1595"/>
    <w:rsid w:val="002B191D"/>
    <w:rsid w:val="002B2E83"/>
    <w:rsid w:val="002B6E4E"/>
    <w:rsid w:val="002C46EC"/>
    <w:rsid w:val="002C6FA6"/>
    <w:rsid w:val="002D0AF6"/>
    <w:rsid w:val="002D6BE6"/>
    <w:rsid w:val="002E75BA"/>
    <w:rsid w:val="002F164D"/>
    <w:rsid w:val="003021BC"/>
    <w:rsid w:val="00306206"/>
    <w:rsid w:val="003132CF"/>
    <w:rsid w:val="00317D85"/>
    <w:rsid w:val="003222B3"/>
    <w:rsid w:val="00327C56"/>
    <w:rsid w:val="003300E2"/>
    <w:rsid w:val="003315A1"/>
    <w:rsid w:val="00331F1C"/>
    <w:rsid w:val="00332B2D"/>
    <w:rsid w:val="003362B6"/>
    <w:rsid w:val="003373EC"/>
    <w:rsid w:val="0034090E"/>
    <w:rsid w:val="00342FF4"/>
    <w:rsid w:val="00344E5A"/>
    <w:rsid w:val="0034566F"/>
    <w:rsid w:val="00346148"/>
    <w:rsid w:val="003669EA"/>
    <w:rsid w:val="003706CC"/>
    <w:rsid w:val="0037438D"/>
    <w:rsid w:val="00377710"/>
    <w:rsid w:val="00381476"/>
    <w:rsid w:val="003840C5"/>
    <w:rsid w:val="00396607"/>
    <w:rsid w:val="003A2CBE"/>
    <w:rsid w:val="003A2D8E"/>
    <w:rsid w:val="003A7CE6"/>
    <w:rsid w:val="003C20E4"/>
    <w:rsid w:val="003C3A6F"/>
    <w:rsid w:val="003D6342"/>
    <w:rsid w:val="003E6F90"/>
    <w:rsid w:val="003E73ED"/>
    <w:rsid w:val="003F5D0F"/>
    <w:rsid w:val="004025BA"/>
    <w:rsid w:val="00410A6C"/>
    <w:rsid w:val="00414101"/>
    <w:rsid w:val="00416F86"/>
    <w:rsid w:val="004219CF"/>
    <w:rsid w:val="004234F0"/>
    <w:rsid w:val="00433DDB"/>
    <w:rsid w:val="00435A29"/>
    <w:rsid w:val="00437619"/>
    <w:rsid w:val="00442514"/>
    <w:rsid w:val="00455017"/>
    <w:rsid w:val="00457C5A"/>
    <w:rsid w:val="00465A1E"/>
    <w:rsid w:val="00466C41"/>
    <w:rsid w:val="004738A2"/>
    <w:rsid w:val="00482D8C"/>
    <w:rsid w:val="00484EE2"/>
    <w:rsid w:val="00484F4E"/>
    <w:rsid w:val="004877F8"/>
    <w:rsid w:val="004930F6"/>
    <w:rsid w:val="00493A99"/>
    <w:rsid w:val="0049445A"/>
    <w:rsid w:val="00494952"/>
    <w:rsid w:val="004974F3"/>
    <w:rsid w:val="00497ED8"/>
    <w:rsid w:val="004A1D2F"/>
    <w:rsid w:val="004A2A63"/>
    <w:rsid w:val="004A520C"/>
    <w:rsid w:val="004A6FC0"/>
    <w:rsid w:val="004B1A1F"/>
    <w:rsid w:val="004B210C"/>
    <w:rsid w:val="004D405F"/>
    <w:rsid w:val="004D5D44"/>
    <w:rsid w:val="004E4F4F"/>
    <w:rsid w:val="004E6789"/>
    <w:rsid w:val="004F61E3"/>
    <w:rsid w:val="004F738F"/>
    <w:rsid w:val="00502D97"/>
    <w:rsid w:val="00502E10"/>
    <w:rsid w:val="0051015C"/>
    <w:rsid w:val="00516CF1"/>
    <w:rsid w:val="00523D3E"/>
    <w:rsid w:val="005302A7"/>
    <w:rsid w:val="00531AE9"/>
    <w:rsid w:val="00533960"/>
    <w:rsid w:val="0054732C"/>
    <w:rsid w:val="00550A66"/>
    <w:rsid w:val="00551088"/>
    <w:rsid w:val="00561085"/>
    <w:rsid w:val="005620C2"/>
    <w:rsid w:val="00563BB2"/>
    <w:rsid w:val="00567EC7"/>
    <w:rsid w:val="00570013"/>
    <w:rsid w:val="00573B30"/>
    <w:rsid w:val="005753EC"/>
    <w:rsid w:val="005801A2"/>
    <w:rsid w:val="005952A5"/>
    <w:rsid w:val="005A33A1"/>
    <w:rsid w:val="005A5FCE"/>
    <w:rsid w:val="005B217D"/>
    <w:rsid w:val="005B5BD9"/>
    <w:rsid w:val="005C22AE"/>
    <w:rsid w:val="005C385F"/>
    <w:rsid w:val="005C414A"/>
    <w:rsid w:val="005E1AC6"/>
    <w:rsid w:val="005F6F1B"/>
    <w:rsid w:val="00606F90"/>
    <w:rsid w:val="006110AF"/>
    <w:rsid w:val="006129C3"/>
    <w:rsid w:val="00615995"/>
    <w:rsid w:val="00616155"/>
    <w:rsid w:val="00617F52"/>
    <w:rsid w:val="006206B4"/>
    <w:rsid w:val="00620EA8"/>
    <w:rsid w:val="00624A44"/>
    <w:rsid w:val="00624B33"/>
    <w:rsid w:val="00626D5B"/>
    <w:rsid w:val="0063041A"/>
    <w:rsid w:val="00630AA2"/>
    <w:rsid w:val="006410C7"/>
    <w:rsid w:val="00643BF3"/>
    <w:rsid w:val="006440EE"/>
    <w:rsid w:val="00646707"/>
    <w:rsid w:val="00653202"/>
    <w:rsid w:val="00657F7E"/>
    <w:rsid w:val="006601B9"/>
    <w:rsid w:val="00662E58"/>
    <w:rsid w:val="006637F2"/>
    <w:rsid w:val="006642A5"/>
    <w:rsid w:val="00664DCF"/>
    <w:rsid w:val="0067240C"/>
    <w:rsid w:val="0068160D"/>
    <w:rsid w:val="006950CF"/>
    <w:rsid w:val="006A505F"/>
    <w:rsid w:val="006B1D71"/>
    <w:rsid w:val="006C5D39"/>
    <w:rsid w:val="006D34DA"/>
    <w:rsid w:val="006D6D9B"/>
    <w:rsid w:val="006E2810"/>
    <w:rsid w:val="006E5417"/>
    <w:rsid w:val="006F0794"/>
    <w:rsid w:val="006F7528"/>
    <w:rsid w:val="007023DE"/>
    <w:rsid w:val="007075E0"/>
    <w:rsid w:val="007107B2"/>
    <w:rsid w:val="007119DD"/>
    <w:rsid w:val="00712F60"/>
    <w:rsid w:val="00715B8C"/>
    <w:rsid w:val="00720170"/>
    <w:rsid w:val="00720E3B"/>
    <w:rsid w:val="00723BFC"/>
    <w:rsid w:val="00725150"/>
    <w:rsid w:val="00725CE0"/>
    <w:rsid w:val="00734090"/>
    <w:rsid w:val="0073637C"/>
    <w:rsid w:val="0074393F"/>
    <w:rsid w:val="00745F6B"/>
    <w:rsid w:val="00750AB3"/>
    <w:rsid w:val="0075585E"/>
    <w:rsid w:val="00760BD0"/>
    <w:rsid w:val="00760D9D"/>
    <w:rsid w:val="00770571"/>
    <w:rsid w:val="007768FF"/>
    <w:rsid w:val="007824D3"/>
    <w:rsid w:val="00794F68"/>
    <w:rsid w:val="00796120"/>
    <w:rsid w:val="00796EE3"/>
    <w:rsid w:val="007A04A5"/>
    <w:rsid w:val="007A7D29"/>
    <w:rsid w:val="007B440C"/>
    <w:rsid w:val="007B4AB8"/>
    <w:rsid w:val="007D03DF"/>
    <w:rsid w:val="007D1181"/>
    <w:rsid w:val="007E01A3"/>
    <w:rsid w:val="007E7410"/>
    <w:rsid w:val="007E752D"/>
    <w:rsid w:val="007F1F8B"/>
    <w:rsid w:val="007F67A1"/>
    <w:rsid w:val="008073A8"/>
    <w:rsid w:val="008106A9"/>
    <w:rsid w:val="00811C05"/>
    <w:rsid w:val="00812019"/>
    <w:rsid w:val="008206C8"/>
    <w:rsid w:val="008208B8"/>
    <w:rsid w:val="008255C0"/>
    <w:rsid w:val="00827735"/>
    <w:rsid w:val="008346AF"/>
    <w:rsid w:val="00835F56"/>
    <w:rsid w:val="008417C4"/>
    <w:rsid w:val="00842C38"/>
    <w:rsid w:val="00844B59"/>
    <w:rsid w:val="0086387C"/>
    <w:rsid w:val="00863B37"/>
    <w:rsid w:val="0086414D"/>
    <w:rsid w:val="00874A6C"/>
    <w:rsid w:val="00876C65"/>
    <w:rsid w:val="00897273"/>
    <w:rsid w:val="008A4B4C"/>
    <w:rsid w:val="008C239F"/>
    <w:rsid w:val="008C402C"/>
    <w:rsid w:val="008C62B3"/>
    <w:rsid w:val="008C779D"/>
    <w:rsid w:val="008D27D5"/>
    <w:rsid w:val="008D32E0"/>
    <w:rsid w:val="008E480C"/>
    <w:rsid w:val="008E66A0"/>
    <w:rsid w:val="008F1036"/>
    <w:rsid w:val="008F7A9E"/>
    <w:rsid w:val="00900115"/>
    <w:rsid w:val="00901519"/>
    <w:rsid w:val="0090277E"/>
    <w:rsid w:val="00907757"/>
    <w:rsid w:val="0091310D"/>
    <w:rsid w:val="009212B0"/>
    <w:rsid w:val="0092178D"/>
    <w:rsid w:val="00921FA1"/>
    <w:rsid w:val="009234A5"/>
    <w:rsid w:val="009320F9"/>
    <w:rsid w:val="00933453"/>
    <w:rsid w:val="009336F7"/>
    <w:rsid w:val="0093636C"/>
    <w:rsid w:val="009374A7"/>
    <w:rsid w:val="009459D9"/>
    <w:rsid w:val="009478A9"/>
    <w:rsid w:val="00954ABD"/>
    <w:rsid w:val="00955F6D"/>
    <w:rsid w:val="00957A2D"/>
    <w:rsid w:val="00963AE3"/>
    <w:rsid w:val="00965214"/>
    <w:rsid w:val="00965827"/>
    <w:rsid w:val="00971886"/>
    <w:rsid w:val="00972E95"/>
    <w:rsid w:val="00976B23"/>
    <w:rsid w:val="00977C16"/>
    <w:rsid w:val="00984FD1"/>
    <w:rsid w:val="0098551D"/>
    <w:rsid w:val="0099518F"/>
    <w:rsid w:val="00996378"/>
    <w:rsid w:val="009978F9"/>
    <w:rsid w:val="009A2BA4"/>
    <w:rsid w:val="009A392E"/>
    <w:rsid w:val="009A523D"/>
    <w:rsid w:val="009B02A1"/>
    <w:rsid w:val="009B22A6"/>
    <w:rsid w:val="009B3361"/>
    <w:rsid w:val="009B5D06"/>
    <w:rsid w:val="009C3CB1"/>
    <w:rsid w:val="009C42EB"/>
    <w:rsid w:val="009D5F60"/>
    <w:rsid w:val="009D7CE6"/>
    <w:rsid w:val="009E23F5"/>
    <w:rsid w:val="009E292C"/>
    <w:rsid w:val="009F0E88"/>
    <w:rsid w:val="009F1330"/>
    <w:rsid w:val="009F496B"/>
    <w:rsid w:val="00A01439"/>
    <w:rsid w:val="00A02E61"/>
    <w:rsid w:val="00A05CFF"/>
    <w:rsid w:val="00A12DDB"/>
    <w:rsid w:val="00A13048"/>
    <w:rsid w:val="00A14D98"/>
    <w:rsid w:val="00A15E4C"/>
    <w:rsid w:val="00A15EDC"/>
    <w:rsid w:val="00A44D19"/>
    <w:rsid w:val="00A46843"/>
    <w:rsid w:val="00A5231B"/>
    <w:rsid w:val="00A5287F"/>
    <w:rsid w:val="00A5500C"/>
    <w:rsid w:val="00A56B97"/>
    <w:rsid w:val="00A571F1"/>
    <w:rsid w:val="00A57AF3"/>
    <w:rsid w:val="00A6093D"/>
    <w:rsid w:val="00A72B29"/>
    <w:rsid w:val="00A767DC"/>
    <w:rsid w:val="00A76A6D"/>
    <w:rsid w:val="00A83253"/>
    <w:rsid w:val="00AA1B05"/>
    <w:rsid w:val="00AA3436"/>
    <w:rsid w:val="00AA51EE"/>
    <w:rsid w:val="00AA5D3A"/>
    <w:rsid w:val="00AA6E84"/>
    <w:rsid w:val="00AB1A1C"/>
    <w:rsid w:val="00AC01ED"/>
    <w:rsid w:val="00AC26FC"/>
    <w:rsid w:val="00AC2A4D"/>
    <w:rsid w:val="00AC7ABA"/>
    <w:rsid w:val="00AD05A8"/>
    <w:rsid w:val="00AD40FC"/>
    <w:rsid w:val="00AE341B"/>
    <w:rsid w:val="00AF1251"/>
    <w:rsid w:val="00AF5EF5"/>
    <w:rsid w:val="00B00A56"/>
    <w:rsid w:val="00B01905"/>
    <w:rsid w:val="00B05BB4"/>
    <w:rsid w:val="00B07CA7"/>
    <w:rsid w:val="00B1161C"/>
    <w:rsid w:val="00B1279A"/>
    <w:rsid w:val="00B4194A"/>
    <w:rsid w:val="00B437E8"/>
    <w:rsid w:val="00B46C36"/>
    <w:rsid w:val="00B50DBC"/>
    <w:rsid w:val="00B5222E"/>
    <w:rsid w:val="00B53179"/>
    <w:rsid w:val="00B57A23"/>
    <w:rsid w:val="00B600CD"/>
    <w:rsid w:val="00B61C96"/>
    <w:rsid w:val="00B63EE2"/>
    <w:rsid w:val="00B73A2A"/>
    <w:rsid w:val="00B75A51"/>
    <w:rsid w:val="00B7755A"/>
    <w:rsid w:val="00B80C5A"/>
    <w:rsid w:val="00B827C6"/>
    <w:rsid w:val="00B85F60"/>
    <w:rsid w:val="00B90CF2"/>
    <w:rsid w:val="00B94B06"/>
    <w:rsid w:val="00B94C28"/>
    <w:rsid w:val="00BA43CC"/>
    <w:rsid w:val="00BB094A"/>
    <w:rsid w:val="00BB3534"/>
    <w:rsid w:val="00BB49EB"/>
    <w:rsid w:val="00BC10BA"/>
    <w:rsid w:val="00BC5AFD"/>
    <w:rsid w:val="00BC6EFF"/>
    <w:rsid w:val="00BE7A39"/>
    <w:rsid w:val="00C00DDE"/>
    <w:rsid w:val="00C01615"/>
    <w:rsid w:val="00C02577"/>
    <w:rsid w:val="00C04F43"/>
    <w:rsid w:val="00C0609D"/>
    <w:rsid w:val="00C115AB"/>
    <w:rsid w:val="00C13B82"/>
    <w:rsid w:val="00C14DC5"/>
    <w:rsid w:val="00C26CCB"/>
    <w:rsid w:val="00C30249"/>
    <w:rsid w:val="00C3723B"/>
    <w:rsid w:val="00C42466"/>
    <w:rsid w:val="00C4741A"/>
    <w:rsid w:val="00C525EC"/>
    <w:rsid w:val="00C5476C"/>
    <w:rsid w:val="00C606C9"/>
    <w:rsid w:val="00C6451C"/>
    <w:rsid w:val="00C66C1C"/>
    <w:rsid w:val="00C72AA1"/>
    <w:rsid w:val="00C748C6"/>
    <w:rsid w:val="00C80288"/>
    <w:rsid w:val="00C84003"/>
    <w:rsid w:val="00C90650"/>
    <w:rsid w:val="00C93B06"/>
    <w:rsid w:val="00C97D78"/>
    <w:rsid w:val="00CA2986"/>
    <w:rsid w:val="00CA3EC3"/>
    <w:rsid w:val="00CB1CE9"/>
    <w:rsid w:val="00CC06E3"/>
    <w:rsid w:val="00CC2AA0"/>
    <w:rsid w:val="00CC2AAE"/>
    <w:rsid w:val="00CC5A42"/>
    <w:rsid w:val="00CC701C"/>
    <w:rsid w:val="00CD0EAB"/>
    <w:rsid w:val="00CE5E02"/>
    <w:rsid w:val="00CF0EC6"/>
    <w:rsid w:val="00CF34DB"/>
    <w:rsid w:val="00CF3917"/>
    <w:rsid w:val="00CF558F"/>
    <w:rsid w:val="00CF7B45"/>
    <w:rsid w:val="00D0087A"/>
    <w:rsid w:val="00D010C0"/>
    <w:rsid w:val="00D01278"/>
    <w:rsid w:val="00D069CA"/>
    <w:rsid w:val="00D073E2"/>
    <w:rsid w:val="00D1042A"/>
    <w:rsid w:val="00D1290D"/>
    <w:rsid w:val="00D16C8C"/>
    <w:rsid w:val="00D25CE1"/>
    <w:rsid w:val="00D3219B"/>
    <w:rsid w:val="00D355EF"/>
    <w:rsid w:val="00D376E1"/>
    <w:rsid w:val="00D446EC"/>
    <w:rsid w:val="00D51BF0"/>
    <w:rsid w:val="00D51F32"/>
    <w:rsid w:val="00D531DB"/>
    <w:rsid w:val="00D556F4"/>
    <w:rsid w:val="00D55942"/>
    <w:rsid w:val="00D57A4A"/>
    <w:rsid w:val="00D721BF"/>
    <w:rsid w:val="00D72C91"/>
    <w:rsid w:val="00D807BF"/>
    <w:rsid w:val="00D82FCC"/>
    <w:rsid w:val="00D85909"/>
    <w:rsid w:val="00D93DE7"/>
    <w:rsid w:val="00DA17FC"/>
    <w:rsid w:val="00DA7887"/>
    <w:rsid w:val="00DB2C26"/>
    <w:rsid w:val="00DB4A61"/>
    <w:rsid w:val="00DC284B"/>
    <w:rsid w:val="00DD02F4"/>
    <w:rsid w:val="00DD0866"/>
    <w:rsid w:val="00DD6622"/>
    <w:rsid w:val="00DE15B2"/>
    <w:rsid w:val="00DE1C7C"/>
    <w:rsid w:val="00DE449D"/>
    <w:rsid w:val="00DE5D97"/>
    <w:rsid w:val="00DE6B43"/>
    <w:rsid w:val="00DF271A"/>
    <w:rsid w:val="00E02222"/>
    <w:rsid w:val="00E044DC"/>
    <w:rsid w:val="00E07F66"/>
    <w:rsid w:val="00E11923"/>
    <w:rsid w:val="00E262D4"/>
    <w:rsid w:val="00E36250"/>
    <w:rsid w:val="00E43A34"/>
    <w:rsid w:val="00E4737D"/>
    <w:rsid w:val="00E47F2D"/>
    <w:rsid w:val="00E54511"/>
    <w:rsid w:val="00E57F68"/>
    <w:rsid w:val="00E61DAC"/>
    <w:rsid w:val="00E72B80"/>
    <w:rsid w:val="00E75FE3"/>
    <w:rsid w:val="00E86C4C"/>
    <w:rsid w:val="00E907A3"/>
    <w:rsid w:val="00EA5AE0"/>
    <w:rsid w:val="00EB56E1"/>
    <w:rsid w:val="00EB797D"/>
    <w:rsid w:val="00EB7AB1"/>
    <w:rsid w:val="00EC7033"/>
    <w:rsid w:val="00ED098B"/>
    <w:rsid w:val="00ED2D4A"/>
    <w:rsid w:val="00ED5F84"/>
    <w:rsid w:val="00EE0E24"/>
    <w:rsid w:val="00EE1B85"/>
    <w:rsid w:val="00EE3C9A"/>
    <w:rsid w:val="00EE442B"/>
    <w:rsid w:val="00EE443B"/>
    <w:rsid w:val="00EE7CD8"/>
    <w:rsid w:val="00EF1D62"/>
    <w:rsid w:val="00EF37F6"/>
    <w:rsid w:val="00EF48CC"/>
    <w:rsid w:val="00F00801"/>
    <w:rsid w:val="00F04CEF"/>
    <w:rsid w:val="00F060D6"/>
    <w:rsid w:val="00F13C40"/>
    <w:rsid w:val="00F1657A"/>
    <w:rsid w:val="00F1697C"/>
    <w:rsid w:val="00F2488D"/>
    <w:rsid w:val="00F24F2F"/>
    <w:rsid w:val="00F275F1"/>
    <w:rsid w:val="00F303F3"/>
    <w:rsid w:val="00F32A05"/>
    <w:rsid w:val="00F40209"/>
    <w:rsid w:val="00F42F5E"/>
    <w:rsid w:val="00F601A0"/>
    <w:rsid w:val="00F6563A"/>
    <w:rsid w:val="00F66891"/>
    <w:rsid w:val="00F712E9"/>
    <w:rsid w:val="00F719EC"/>
    <w:rsid w:val="00F73032"/>
    <w:rsid w:val="00F73C64"/>
    <w:rsid w:val="00F75785"/>
    <w:rsid w:val="00F778FF"/>
    <w:rsid w:val="00F77D37"/>
    <w:rsid w:val="00F848FC"/>
    <w:rsid w:val="00F906F6"/>
    <w:rsid w:val="00F9282A"/>
    <w:rsid w:val="00F9507F"/>
    <w:rsid w:val="00F96BAD"/>
    <w:rsid w:val="00FA139D"/>
    <w:rsid w:val="00FA60F5"/>
    <w:rsid w:val="00FB0E84"/>
    <w:rsid w:val="00FB4118"/>
    <w:rsid w:val="00FC2405"/>
    <w:rsid w:val="00FC53C6"/>
    <w:rsid w:val="00FD01C2"/>
    <w:rsid w:val="00FD49C1"/>
    <w:rsid w:val="00FD77B6"/>
    <w:rsid w:val="00FE595C"/>
    <w:rsid w:val="00FF010D"/>
    <w:rsid w:val="00FF0CE3"/>
    <w:rsid w:val="00FF1A37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B46C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640"/>
      </w:tabs>
      <w:overflowPunct/>
      <w:autoSpaceDE/>
      <w:autoSpaceDN/>
      <w:adjustRightInd/>
      <w:spacing w:before="0" w:after="200"/>
      <w:ind w:firstLine="720"/>
      <w:jc w:val="left"/>
      <w:textAlignment w:val="auto"/>
    </w:pPr>
    <w:rPr>
      <w:rFonts w:ascii="Calibri" w:eastAsia="Calibri" w:hAnsi="Calibri"/>
      <w:b/>
      <w:bCs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B46C36"/>
    <w:rPr>
      <w:rFonts w:ascii="Calibri" w:eastAsia="Calibri" w:hAnsi="Calibri"/>
      <w:b/>
      <w:bCs/>
      <w:sz w:val="22"/>
      <w:szCs w:val="18"/>
    </w:rPr>
  </w:style>
  <w:style w:type="paragraph" w:customStyle="1" w:styleId="Equation">
    <w:name w:val="Equation"/>
    <w:basedOn w:val="Normal"/>
    <w:uiPriority w:val="99"/>
    <w:qFormat/>
    <w:rsid w:val="007251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60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133F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133F89"/>
    <w:rPr>
      <w:rFonts w:ascii="Calibri" w:eastAsia="Calibri" w:hAnsi="Calibri"/>
    </w:rPr>
  </w:style>
  <w:style w:type="paragraph" w:customStyle="1" w:styleId="References">
    <w:name w:val="References"/>
    <w:basedOn w:val="Normal"/>
    <w:rsid w:val="00F04CEF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A528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287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287F"/>
  </w:style>
  <w:style w:type="paragraph" w:styleId="CommentSubject">
    <w:name w:val="annotation subject"/>
    <w:basedOn w:val="CommentText"/>
    <w:next w:val="CommentText"/>
    <w:link w:val="CommentSubjectChar"/>
    <w:rsid w:val="00A52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287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D098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saurav.bandyopadhyay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D13FD-7086-44CC-9775-BB65FBE79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1804</Words>
  <Characters>10284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Saurav Bandyopadhyay</cp:lastModifiedBy>
  <cp:revision>17</cp:revision>
  <cp:lastPrinted>1900-01-01T08:00:00Z</cp:lastPrinted>
  <dcterms:created xsi:type="dcterms:W3CDTF">2019-01-02T07:51:00Z</dcterms:created>
  <dcterms:modified xsi:type="dcterms:W3CDTF">2019-01-03T05:19:00Z</dcterms:modified>
</cp:coreProperties>
</file>