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2813027" w:rsidR="006C5D39" w:rsidRPr="005B217D" w:rsidRDefault="0056296C"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441EF3F1">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EA65B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B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BtOt+0&#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18D6E63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05834AA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418A92" w:rsidR="00E61DAC" w:rsidRPr="005B217D" w:rsidRDefault="00F712E9" w:rsidP="00F712E9">
            <w:pPr>
              <w:tabs>
                <w:tab w:val="left" w:pos="7200"/>
              </w:tabs>
              <w:spacing w:before="0"/>
              <w:rPr>
                <w:b/>
                <w:szCs w:val="22"/>
                <w:lang w:val="en-CA"/>
              </w:rPr>
            </w:pPr>
            <w:r>
              <w:t>1</w:t>
            </w:r>
            <w:r w:rsidR="00C74DEF">
              <w:t>2</w:t>
            </w:r>
            <w:r w:rsidR="00155526">
              <w:t>th</w:t>
            </w:r>
            <w:r w:rsidR="00A767DC" w:rsidRPr="00B648F1">
              <w:t xml:space="preserve"> Meeting: </w:t>
            </w:r>
            <w:r w:rsidR="00C74DEF">
              <w:rPr>
                <w:lang w:val="en-CA"/>
              </w:rPr>
              <w:t>Macau</w:t>
            </w:r>
            <w:r w:rsidR="00B57A23" w:rsidRPr="00B57A23">
              <w:rPr>
                <w:lang w:val="en-CA"/>
              </w:rPr>
              <w:t xml:space="preserve">, </w:t>
            </w:r>
            <w:r w:rsidR="00C74DEF">
              <w:rPr>
                <w:lang w:val="en-CA"/>
              </w:rPr>
              <w:t>CN</w:t>
            </w:r>
            <w:r w:rsidR="00B57A23" w:rsidRPr="00B57A23">
              <w:rPr>
                <w:lang w:val="en-CA"/>
              </w:rPr>
              <w:t xml:space="preserve">, </w:t>
            </w:r>
            <w:r w:rsidR="00C74DEF">
              <w:rPr>
                <w:lang w:val="en-CA"/>
              </w:rPr>
              <w:t>3</w:t>
            </w:r>
            <w:r w:rsidR="00B57A23" w:rsidRPr="00B57A23">
              <w:rPr>
                <w:lang w:val="en-CA"/>
              </w:rPr>
              <w:t>–1</w:t>
            </w:r>
            <w:r w:rsidR="00C74DEF">
              <w:rPr>
                <w:lang w:val="en-CA"/>
              </w:rPr>
              <w:t>2</w:t>
            </w:r>
            <w:r w:rsidR="00B57A23" w:rsidRPr="00B57A23">
              <w:rPr>
                <w:lang w:val="en-CA"/>
              </w:rPr>
              <w:t xml:space="preserve"> </w:t>
            </w:r>
            <w:r w:rsidR="00C74DEF">
              <w:rPr>
                <w:lang w:val="en-CA"/>
              </w:rPr>
              <w:t>October</w:t>
            </w:r>
            <w:r w:rsidR="00B57A23" w:rsidRPr="00B57A23">
              <w:rPr>
                <w:lang w:val="en-CA"/>
              </w:rPr>
              <w:t xml:space="preserve"> 2018</w:t>
            </w:r>
          </w:p>
        </w:tc>
        <w:tc>
          <w:tcPr>
            <w:tcW w:w="3168" w:type="dxa"/>
          </w:tcPr>
          <w:p w14:paraId="59B7E346" w14:textId="7E90DF3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C421F">
              <w:rPr>
                <w:lang w:val="en-CA"/>
              </w:rPr>
              <w:t>L0254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3BD78F7" w:rsidR="00E61DAC" w:rsidRPr="005B217D" w:rsidRDefault="00DF3636" w:rsidP="009D7CE6">
            <w:pPr>
              <w:spacing w:before="60" w:after="60"/>
              <w:rPr>
                <w:b/>
                <w:szCs w:val="22"/>
                <w:lang w:val="en-CA"/>
              </w:rPr>
            </w:pPr>
            <w:r>
              <w:rPr>
                <w:b/>
                <w:szCs w:val="22"/>
                <w:lang w:val="en-CA"/>
              </w:rPr>
              <w:t>CE</w:t>
            </w:r>
            <w:r w:rsidR="00E003AF">
              <w:rPr>
                <w:b/>
                <w:szCs w:val="22"/>
                <w:lang w:val="en-CA"/>
              </w:rPr>
              <w:t>9</w:t>
            </w:r>
            <w:r>
              <w:rPr>
                <w:b/>
                <w:szCs w:val="22"/>
                <w:lang w:val="en-CA"/>
              </w:rPr>
              <w:t>:</w:t>
            </w:r>
            <w:r w:rsidR="003125B2">
              <w:rPr>
                <w:b/>
                <w:szCs w:val="22"/>
                <w:lang w:val="en-CA"/>
              </w:rPr>
              <w:t xml:space="preserve"> </w:t>
            </w:r>
            <w:r w:rsidR="00F12711">
              <w:rPr>
                <w:b/>
                <w:szCs w:val="22"/>
                <w:lang w:val="en-CA"/>
              </w:rPr>
              <w:t xml:space="preserve">Addressing the decoding </w:t>
            </w:r>
            <w:r w:rsidR="00E003AF">
              <w:rPr>
                <w:b/>
                <w:szCs w:val="22"/>
                <w:lang w:val="en-CA"/>
              </w:rPr>
              <w:t xml:space="preserve">latency </w:t>
            </w:r>
            <w:r w:rsidR="00F12711">
              <w:rPr>
                <w:b/>
                <w:szCs w:val="22"/>
                <w:lang w:val="en-CA"/>
              </w:rPr>
              <w:t xml:space="preserve">issue </w:t>
            </w:r>
            <w:r w:rsidR="00E003AF">
              <w:rPr>
                <w:b/>
                <w:szCs w:val="22"/>
                <w:lang w:val="en-CA"/>
              </w:rPr>
              <w:t>for decoder-side motion vector refinement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21CCDF9" w:rsidR="00E61DAC" w:rsidRPr="005B217D" w:rsidRDefault="003125B2">
            <w:pPr>
              <w:spacing w:before="60" w:after="60"/>
              <w:rPr>
                <w:szCs w:val="22"/>
                <w:lang w:val="en-CA"/>
              </w:rPr>
            </w:pPr>
            <w:proofErr w:type="spellStart"/>
            <w:r>
              <w:rPr>
                <w:szCs w:val="22"/>
                <w:lang w:val="en-CA"/>
              </w:rPr>
              <w:t>Jiancong</w:t>
            </w:r>
            <w:proofErr w:type="spellEnd"/>
            <w:r>
              <w:rPr>
                <w:szCs w:val="22"/>
                <w:lang w:val="en-CA"/>
              </w:rPr>
              <w:t xml:space="preserve"> </w:t>
            </w:r>
            <w:r w:rsidR="00C74DEF">
              <w:rPr>
                <w:szCs w:val="22"/>
                <w:lang w:val="en-CA"/>
              </w:rPr>
              <w:t xml:space="preserve">(Daniel) </w:t>
            </w:r>
            <w:r>
              <w:rPr>
                <w:szCs w:val="22"/>
                <w:lang w:val="en-CA"/>
              </w:rPr>
              <w:t xml:space="preserve">Luo, </w:t>
            </w:r>
            <w:r w:rsidR="000D2703">
              <w:rPr>
                <w:szCs w:val="22"/>
                <w:lang w:val="en-CA"/>
              </w:rPr>
              <w:t>Xiaoyu Xiu, Yuwen He, Yan Ye</w:t>
            </w:r>
            <w:r w:rsidR="00E61DAC" w:rsidRPr="005B217D">
              <w:rPr>
                <w:szCs w:val="22"/>
                <w:lang w:val="en-CA"/>
              </w:rPr>
              <w:br/>
            </w:r>
            <w:r w:rsidR="000D2703">
              <w:rPr>
                <w:szCs w:val="22"/>
                <w:lang w:val="en-CA"/>
              </w:rPr>
              <w:t>9276 Scranton Road, Suite 300</w:t>
            </w:r>
            <w:r w:rsidR="00E61DAC" w:rsidRPr="005B217D">
              <w:rPr>
                <w:szCs w:val="22"/>
                <w:lang w:val="en-CA"/>
              </w:rPr>
              <w:br/>
            </w:r>
            <w:r w:rsidR="000D2703">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B651AEA" w14:textId="15789457" w:rsidR="00C74DEF" w:rsidRDefault="00E61DAC" w:rsidP="000D2703">
            <w:pPr>
              <w:spacing w:before="0"/>
            </w:pPr>
            <w:r w:rsidRPr="005B217D">
              <w:rPr>
                <w:szCs w:val="22"/>
                <w:lang w:val="en-CA"/>
              </w:rPr>
              <w:br/>
            </w:r>
            <w:r w:rsidR="000D2703">
              <w:rPr>
                <w:szCs w:val="22"/>
                <w:lang w:val="en-CA"/>
              </w:rPr>
              <w:t>+1-</w:t>
            </w:r>
            <w:r w:rsidR="00C74DEF">
              <w:rPr>
                <w:szCs w:val="22"/>
                <w:lang w:val="en-CA"/>
              </w:rPr>
              <w:t>609-436-0885</w:t>
            </w:r>
            <w:r w:rsidRPr="005B217D">
              <w:rPr>
                <w:szCs w:val="22"/>
                <w:lang w:val="en-CA"/>
              </w:rPr>
              <w:br/>
            </w:r>
            <w:hyperlink r:id="rId10" w:history="1">
              <w:r w:rsidR="00C74DEF" w:rsidRPr="00C74DEF">
                <w:rPr>
                  <w:rStyle w:val="Hyperlink"/>
                </w:rPr>
                <w:t>Daniel.luo@InterDigital.com</w:t>
              </w:r>
            </w:hyperlink>
          </w:p>
          <w:p w14:paraId="5C401DED" w14:textId="3BE716DE" w:rsidR="000D2703" w:rsidRDefault="002A7546" w:rsidP="000D2703">
            <w:pPr>
              <w:spacing w:before="0"/>
              <w:rPr>
                <w:szCs w:val="22"/>
                <w:lang w:val="en-CA"/>
              </w:rPr>
            </w:pPr>
            <w:hyperlink r:id="rId11"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2A7546" w:rsidP="000D2703">
            <w:pPr>
              <w:spacing w:before="0"/>
              <w:rPr>
                <w:szCs w:val="22"/>
                <w:lang w:val="en-CA"/>
              </w:rPr>
            </w:pPr>
            <w:hyperlink r:id="rId12"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8A039EF" w:rsidR="00E61DAC" w:rsidRPr="005B217D" w:rsidRDefault="0081437A">
            <w:pPr>
              <w:spacing w:before="60" w:after="60"/>
              <w:rPr>
                <w:szCs w:val="22"/>
                <w:lang w:val="en-CA"/>
              </w:rPr>
            </w:pPr>
            <w:proofErr w:type="spellStart"/>
            <w:r>
              <w:rPr>
                <w:szCs w:val="22"/>
                <w:lang w:val="en-CA"/>
              </w:rPr>
              <w:t>InterDigital</w:t>
            </w:r>
            <w:proofErr w:type="spellEnd"/>
            <w:r>
              <w:rPr>
                <w:szCs w:val="22"/>
                <w:lang w:val="en-CA"/>
              </w:rPr>
              <w:t xml:space="preserve"> Communications</w:t>
            </w:r>
            <w:r w:rsidR="00247C05">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E1482C" w14:textId="6468C0B8" w:rsidR="00E003AF" w:rsidRDefault="00E003AF" w:rsidP="00C97D78">
      <w:pPr>
        <w:rPr>
          <w:lang w:val="en-CA"/>
        </w:rPr>
      </w:pPr>
      <w:r>
        <w:rPr>
          <w:lang w:val="en-CA"/>
        </w:rPr>
        <w:t>Decoder-side motion vector refinement (DMVR)</w:t>
      </w:r>
      <w:r w:rsidR="002D6B77">
        <w:rPr>
          <w:lang w:val="en-CA"/>
        </w:rPr>
        <w:t xml:space="preserve"> is included in </w:t>
      </w:r>
      <w:r w:rsidR="002C092D">
        <w:rPr>
          <w:lang w:val="en-CA"/>
        </w:rPr>
        <w:t xml:space="preserve">the </w:t>
      </w:r>
      <w:r w:rsidR="002D6B77">
        <w:rPr>
          <w:lang w:val="en-CA"/>
        </w:rPr>
        <w:t>benchmark set BMS1.0.</w:t>
      </w:r>
      <w:r w:rsidR="00C13F00">
        <w:rPr>
          <w:lang w:val="en-CA"/>
        </w:rPr>
        <w:t xml:space="preserve"> </w:t>
      </w:r>
      <w:r w:rsidR="00350ACA">
        <w:rPr>
          <w:lang w:val="en-CA"/>
        </w:rPr>
        <w:t xml:space="preserve">The DMVR needs to generate L0 and L1 prediction signals </w:t>
      </w:r>
      <w:r w:rsidR="00765BB3">
        <w:rPr>
          <w:lang w:val="en-CA"/>
        </w:rPr>
        <w:t>to derive</w:t>
      </w:r>
      <w:r w:rsidR="00350ACA">
        <w:rPr>
          <w:lang w:val="en-CA"/>
        </w:rPr>
        <w:t xml:space="preserve"> the refined motion vectors (MVs) of one bi-predicted merge candidate</w:t>
      </w:r>
      <w:r w:rsidR="00765BB3">
        <w:rPr>
          <w:lang w:val="en-CA"/>
        </w:rPr>
        <w:t>. In th</w:t>
      </w:r>
      <w:r w:rsidR="005B3B57">
        <w:rPr>
          <w:lang w:val="en-CA"/>
        </w:rPr>
        <w:t xml:space="preserve">e BMS1.0 </w:t>
      </w:r>
      <w:r w:rsidR="00765BB3">
        <w:rPr>
          <w:lang w:val="en-CA"/>
        </w:rPr>
        <w:t>DMVR design,</w:t>
      </w:r>
      <w:r w:rsidR="006B36A7">
        <w:rPr>
          <w:lang w:val="en-CA"/>
        </w:rPr>
        <w:t xml:space="preserve"> the refined MVs </w:t>
      </w:r>
      <w:r w:rsidR="00765BB3">
        <w:rPr>
          <w:lang w:val="en-CA"/>
        </w:rPr>
        <w:t>are</w:t>
      </w:r>
      <w:r w:rsidR="00C106E2">
        <w:rPr>
          <w:lang w:val="en-CA"/>
        </w:rPr>
        <w:t xml:space="preserve"> used to predict the</w:t>
      </w:r>
      <w:r w:rsidR="00913547">
        <w:rPr>
          <w:lang w:val="en-CA"/>
        </w:rPr>
        <w:t xml:space="preserve"> neighboring MVs of the current coding unit (CU)</w:t>
      </w:r>
      <w:r w:rsidR="00C106E2">
        <w:rPr>
          <w:lang w:val="en-CA"/>
        </w:rPr>
        <w:t>.</w:t>
      </w:r>
      <w:r w:rsidR="00F91724">
        <w:rPr>
          <w:lang w:val="en-CA"/>
        </w:rPr>
        <w:t xml:space="preserve"> Such design </w:t>
      </w:r>
      <w:r w:rsidR="000F0FD1">
        <w:rPr>
          <w:lang w:val="en-CA"/>
        </w:rPr>
        <w:t xml:space="preserve">is reported to have </w:t>
      </w:r>
      <w:r w:rsidR="00F91724">
        <w:rPr>
          <w:lang w:val="en-CA"/>
        </w:rPr>
        <w:t>decoding latency</w:t>
      </w:r>
      <w:r w:rsidR="000F0FD1">
        <w:rPr>
          <w:lang w:val="en-CA"/>
        </w:rPr>
        <w:t xml:space="preserve"> issue</w:t>
      </w:r>
      <w:r w:rsidR="00F91724">
        <w:rPr>
          <w:lang w:val="en-CA"/>
        </w:rPr>
        <w:t xml:space="preserve"> due to the interdependency among the decoding of </w:t>
      </w:r>
      <w:r w:rsidR="0022069A">
        <w:rPr>
          <w:lang w:val="en-CA"/>
        </w:rPr>
        <w:t>spatial</w:t>
      </w:r>
      <w:r w:rsidR="00F91724">
        <w:rPr>
          <w:lang w:val="en-CA"/>
        </w:rPr>
        <w:t xml:space="preserve"> neighboring CUs.</w:t>
      </w:r>
      <w:r w:rsidR="00167E3C">
        <w:rPr>
          <w:lang w:val="en-CA"/>
        </w:rPr>
        <w:t xml:space="preserve"> </w:t>
      </w:r>
      <w:bookmarkStart w:id="0" w:name="_Hlk525564567"/>
      <w:r w:rsidR="000F6AF0">
        <w:rPr>
          <w:lang w:val="en-CA"/>
        </w:rPr>
        <w:t xml:space="preserve">In the BMS2.1 DMVR design, unrefined MVs are used to predict the spatial neighboring MVs of the current CU. But </w:t>
      </w:r>
      <w:r w:rsidR="000F6AF0">
        <w:rPr>
          <w:szCs w:val="22"/>
          <w:lang w:val="en-CA"/>
        </w:rPr>
        <w:t>it comes with the degraded coding efficiency because less accurate unrefined MVs are used for the spatial motion prediction.</w:t>
      </w:r>
      <w:bookmarkEnd w:id="0"/>
    </w:p>
    <w:p w14:paraId="040ADB3C" w14:textId="7A3BB7D4" w:rsidR="00E639D0" w:rsidRDefault="00895DBE" w:rsidP="00E639D0">
      <w:pPr>
        <w:rPr>
          <w:lang w:val="en-CA"/>
        </w:rPr>
      </w:pPr>
      <w:r>
        <w:rPr>
          <w:lang w:val="en-CA"/>
        </w:rPr>
        <w:t xml:space="preserve">In contribution JVET-K0347 </w:t>
      </w:r>
      <w:r>
        <w:rPr>
          <w:lang w:val="en-CA"/>
        </w:rPr>
        <w:fldChar w:fldCharType="begin"/>
      </w:r>
      <w:r>
        <w:rPr>
          <w:lang w:val="en-CA"/>
        </w:rPr>
        <w:instrText xml:space="preserve"> REF _Ref525559501 \r \h </w:instrText>
      </w:r>
      <w:r>
        <w:rPr>
          <w:lang w:val="en-CA"/>
        </w:rPr>
      </w:r>
      <w:r>
        <w:rPr>
          <w:lang w:val="en-CA"/>
        </w:rPr>
        <w:fldChar w:fldCharType="separate"/>
      </w:r>
      <w:r>
        <w:rPr>
          <w:lang w:val="en-CA"/>
        </w:rPr>
        <w:t>[1]</w:t>
      </w:r>
      <w:r>
        <w:rPr>
          <w:lang w:val="en-CA"/>
        </w:rPr>
        <w:fldChar w:fldCharType="end"/>
      </w:r>
      <w:r>
        <w:rPr>
          <w:lang w:val="en-CA"/>
        </w:rPr>
        <w:t xml:space="preserve">, two solutions were provided to address DMVR’s decoding latency issue. </w:t>
      </w:r>
      <w:r w:rsidR="00F74280">
        <w:rPr>
          <w:lang w:val="en-CA"/>
        </w:rPr>
        <w:t xml:space="preserve"> </w:t>
      </w:r>
      <w:r>
        <w:rPr>
          <w:lang w:val="en-CA"/>
        </w:rPr>
        <w:t xml:space="preserve">In one of them, it is proposed to use </w:t>
      </w:r>
      <w:r w:rsidR="004D090F">
        <w:rPr>
          <w:lang w:val="en-CA"/>
        </w:rPr>
        <w:t>the unrefined MVs</w:t>
      </w:r>
      <w:r w:rsidR="00DB5273">
        <w:rPr>
          <w:lang w:val="en-CA"/>
        </w:rPr>
        <w:t xml:space="preserve"> of one DMVR CU</w:t>
      </w:r>
      <w:r w:rsidR="004D090F">
        <w:rPr>
          <w:lang w:val="en-CA"/>
        </w:rPr>
        <w:t xml:space="preserve"> to predict the MVs of </w:t>
      </w:r>
      <w:r w:rsidR="00DB5273">
        <w:rPr>
          <w:lang w:val="en-CA"/>
        </w:rPr>
        <w:t>its</w:t>
      </w:r>
      <w:r w:rsidR="004D090F">
        <w:rPr>
          <w:lang w:val="en-CA"/>
        </w:rPr>
        <w:t xml:space="preserve"> neighboring CU that is in the same CTU row. But, for the neighboring CUs that is</w:t>
      </w:r>
      <w:r w:rsidR="00DB5273">
        <w:rPr>
          <w:lang w:val="en-CA"/>
        </w:rPr>
        <w:t xml:space="preserve"> from one different</w:t>
      </w:r>
      <w:r w:rsidR="004D090F">
        <w:rPr>
          <w:lang w:val="en-CA"/>
        </w:rPr>
        <w:t xml:space="preserve"> CTU row, the refined MVs are used for spatial MV prediction. </w:t>
      </w:r>
      <w:r w:rsidR="00DB5273">
        <w:rPr>
          <w:lang w:val="en-CA"/>
        </w:rPr>
        <w:t>Th</w:t>
      </w:r>
      <w:r w:rsidR="00E639D0">
        <w:rPr>
          <w:lang w:val="en-CA"/>
        </w:rPr>
        <w:t>is method</w:t>
      </w:r>
      <w:r w:rsidR="00DB5273">
        <w:rPr>
          <w:lang w:val="en-CA"/>
        </w:rPr>
        <w:t xml:space="preserve"> allows parallel decoding of multiple inter CUs within the same CTU row while the decoding of the CUs on the top boundary</w:t>
      </w:r>
      <w:r w:rsidR="009C2B03">
        <w:rPr>
          <w:lang w:val="en-CA"/>
        </w:rPr>
        <w:t xml:space="preserve"> of</w:t>
      </w:r>
      <w:r w:rsidR="00DB5273">
        <w:rPr>
          <w:lang w:val="en-CA"/>
        </w:rPr>
        <w:t xml:space="preserve"> one CTU is still dependent on that of the top neighboring CTU</w:t>
      </w:r>
      <w:r w:rsidR="004D090F">
        <w:rPr>
          <w:lang w:val="en-CA"/>
        </w:rPr>
        <w:t>.</w:t>
      </w:r>
      <w:r w:rsidR="00765BB3">
        <w:rPr>
          <w:lang w:val="en-CA"/>
        </w:rPr>
        <w:t xml:space="preserve"> </w:t>
      </w:r>
      <w:r w:rsidR="00E639D0">
        <w:rPr>
          <w:lang w:val="en-CA"/>
        </w:rPr>
        <w:t xml:space="preserve">CE9.1.3 </w:t>
      </w:r>
      <w:r w:rsidR="001B4A34">
        <w:rPr>
          <w:lang w:val="en-CA"/>
        </w:rPr>
        <w:t>wa</w:t>
      </w:r>
      <w:r w:rsidR="00E639D0">
        <w:rPr>
          <w:lang w:val="en-CA"/>
        </w:rPr>
        <w:t xml:space="preserve">s setup to evaluate the performance and complexity impact. </w:t>
      </w:r>
    </w:p>
    <w:p w14:paraId="0C42E609" w14:textId="6CD238FA" w:rsidR="003D1CF1" w:rsidRDefault="00E639D0" w:rsidP="003D1CF1">
      <w:pPr>
        <w:rPr>
          <w:lang w:val="en-CA"/>
        </w:rPr>
      </w:pPr>
      <w:r>
        <w:rPr>
          <w:lang w:val="en-CA"/>
        </w:rPr>
        <w:t xml:space="preserve">This contribution reports the simulation result of </w:t>
      </w:r>
      <w:r w:rsidR="00697868">
        <w:rPr>
          <w:lang w:val="en-CA"/>
        </w:rPr>
        <w:t>CE9.1.3</w:t>
      </w:r>
      <w:r>
        <w:rPr>
          <w:lang w:val="en-CA"/>
        </w:rPr>
        <w:t>. Simulation results show that compared to BMS2.1rc1 VTM config anchor, this method provides average {Y, U, V} BD-rate savings of {</w:t>
      </w:r>
      <w:r w:rsidR="00856CF3" w:rsidRPr="00856CF3">
        <w:rPr>
          <w:lang w:val="en-CA"/>
        </w:rPr>
        <w:t>-1.83%</w:t>
      </w:r>
      <w:r w:rsidR="00856CF3">
        <w:rPr>
          <w:lang w:val="en-CA"/>
        </w:rPr>
        <w:t xml:space="preserve">, </w:t>
      </w:r>
      <w:r w:rsidR="00856CF3" w:rsidRPr="00856CF3">
        <w:rPr>
          <w:lang w:val="en-CA"/>
        </w:rPr>
        <w:t>-1.86%</w:t>
      </w:r>
      <w:r w:rsidR="00856CF3">
        <w:rPr>
          <w:lang w:val="en-CA"/>
        </w:rPr>
        <w:t xml:space="preserve">, </w:t>
      </w:r>
      <w:r w:rsidR="00856CF3" w:rsidRPr="00856CF3">
        <w:rPr>
          <w:lang w:val="en-CA"/>
        </w:rPr>
        <w:t>-2.00%</w:t>
      </w:r>
      <w:r>
        <w:rPr>
          <w:lang w:val="en-CA"/>
        </w:rPr>
        <w:t xml:space="preserve">} for the RA configuration with the encoding and decoding time of </w:t>
      </w:r>
      <w:r w:rsidR="00856CF3">
        <w:rPr>
          <w:lang w:val="en-CA"/>
        </w:rPr>
        <w:t>104</w:t>
      </w:r>
      <w:r>
        <w:rPr>
          <w:lang w:val="en-CA"/>
        </w:rPr>
        <w:t xml:space="preserve">% and </w:t>
      </w:r>
      <w:r w:rsidR="00856CF3">
        <w:rPr>
          <w:lang w:val="en-CA"/>
        </w:rPr>
        <w:t>117</w:t>
      </w:r>
      <w:bookmarkStart w:id="1" w:name="_GoBack"/>
      <w:bookmarkEnd w:id="1"/>
      <w:r>
        <w:rPr>
          <w:lang w:val="en-CA"/>
        </w:rPr>
        <w:t>%.</w:t>
      </w:r>
    </w:p>
    <w:p w14:paraId="7D2AC1F0" w14:textId="3FCC613A" w:rsidR="00745F6B" w:rsidRPr="005B217D" w:rsidRDefault="003D1CF1" w:rsidP="003D1CF1">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Problem statement</w:t>
      </w:r>
    </w:p>
    <w:p w14:paraId="1B4EA7D9" w14:textId="7A384347" w:rsidR="005B3B57" w:rsidRDefault="005B3B57" w:rsidP="005B3B57">
      <w:pPr>
        <w:rPr>
          <w:lang w:val="en-CA"/>
        </w:rPr>
      </w:pPr>
      <w:bookmarkStart w:id="2" w:name="_Hlk525562642"/>
      <w:r w:rsidRPr="0044200D">
        <w:rPr>
          <w:lang w:val="en-CA"/>
        </w:rPr>
        <w:t>At the 10</w:t>
      </w:r>
      <w:r w:rsidRPr="001B4A34">
        <w:rPr>
          <w:vertAlign w:val="superscript"/>
          <w:lang w:val="en-CA"/>
        </w:rPr>
        <w:t>th</w:t>
      </w:r>
      <w:r w:rsidRPr="0044200D">
        <w:rPr>
          <w:lang w:val="en-CA"/>
        </w:rPr>
        <w:t xml:space="preserve"> JVET meeting, </w:t>
      </w:r>
      <w:r>
        <w:rPr>
          <w:lang w:val="en-CA"/>
        </w:rPr>
        <w:t>decoder-side motion vector refinement (DMVR)</w:t>
      </w:r>
      <w:r w:rsidRPr="0044200D">
        <w:rPr>
          <w:lang w:val="en-CA"/>
        </w:rPr>
        <w:t xml:space="preserve"> was included in the benchmark set BMS</w:t>
      </w:r>
      <w:r w:rsidR="00E955C0">
        <w:rPr>
          <w:lang w:val="en-CA"/>
        </w:rPr>
        <w:t>-</w:t>
      </w:r>
      <w:r w:rsidRPr="0044200D">
        <w:rPr>
          <w:lang w:val="en-CA"/>
        </w:rPr>
        <w:t xml:space="preserve">1.0 reference software </w:t>
      </w:r>
      <w:r w:rsidRPr="0044200D">
        <w:rPr>
          <w:lang w:val="en-CA"/>
        </w:rPr>
        <w:fldChar w:fldCharType="begin"/>
      </w:r>
      <w:r w:rsidRPr="0044200D">
        <w:rPr>
          <w:lang w:val="en-CA"/>
        </w:rPr>
        <w:instrText xml:space="preserve"> REF _Ref516585053 \r \h </w:instrText>
      </w:r>
      <w:r>
        <w:rPr>
          <w:lang w:val="en-CA"/>
        </w:rPr>
        <w:instrText xml:space="preserve"> \* MERGEFORMAT </w:instrText>
      </w:r>
      <w:r w:rsidRPr="0044200D">
        <w:rPr>
          <w:lang w:val="en-CA"/>
        </w:rPr>
      </w:r>
      <w:r w:rsidRPr="0044200D">
        <w:rPr>
          <w:lang w:val="en-CA"/>
        </w:rPr>
        <w:fldChar w:fldCharType="separate"/>
      </w:r>
      <w:r>
        <w:rPr>
          <w:lang w:val="en-CA"/>
        </w:rPr>
        <w:t>[1]</w:t>
      </w:r>
      <w:r w:rsidRPr="0044200D">
        <w:rPr>
          <w:lang w:val="en-CA"/>
        </w:rPr>
        <w:fldChar w:fldCharType="end"/>
      </w:r>
      <w:r>
        <w:rPr>
          <w:lang w:val="en-CA"/>
        </w:rPr>
        <w:t xml:space="preserve">. To reduce the signaling overhead, in the current DMVR design, the motion refinements are derived at both encoder and decoder using the L0 and L1 prediction signals of each merge candidate that is bi-predicted. </w:t>
      </w:r>
    </w:p>
    <w:p w14:paraId="3389FD9C" w14:textId="33EEC4D3" w:rsidR="005B3B57" w:rsidRDefault="005B3B57" w:rsidP="005B3B57">
      <w:pPr>
        <w:rPr>
          <w:lang w:val="en-CA"/>
        </w:rPr>
      </w:pPr>
      <w:r>
        <w:rPr>
          <w:lang w:val="en-CA"/>
        </w:rPr>
        <w:t>In BMS</w:t>
      </w:r>
      <w:r w:rsidR="00E955C0">
        <w:rPr>
          <w:lang w:val="en-CA"/>
        </w:rPr>
        <w:t>-</w:t>
      </w:r>
      <w:r>
        <w:rPr>
          <w:lang w:val="en-CA"/>
        </w:rPr>
        <w:t xml:space="preserve">1.0, the refined MVs of each DMVR coding unit (CU) are used to predict the MVs of its spatial and temporal neighboring CUs and calculate the boundary strength of deblocking filter. </w:t>
      </w:r>
      <w:bookmarkEnd w:id="2"/>
      <w:r>
        <w:rPr>
          <w:lang w:val="en-CA"/>
        </w:rPr>
        <w:t>Although it can provide good coding gains, the existing DMVR design is reported to have decoding latency issue, because of the interdependency that is introduced between the coding of spatial neighboring CUs. If the MV of the current CU is predicted from one of its spatial neighbors which is coded by the DMVR mode, its decoding cannot start until the refined MVs of the neighboring CU are fully reconstructed through the DMVR.</w:t>
      </w:r>
    </w:p>
    <w:p w14:paraId="226D4170" w14:textId="723DE2CB" w:rsidR="00E64BDF" w:rsidRDefault="005B3B57" w:rsidP="00E64BDF">
      <w:pPr>
        <w:rPr>
          <w:szCs w:val="22"/>
          <w:lang w:val="en-CA"/>
        </w:rPr>
      </w:pPr>
      <w:r>
        <w:rPr>
          <w:lang w:val="en-CA"/>
        </w:rPr>
        <w:lastRenderedPageBreak/>
        <w:t>In BMS</w:t>
      </w:r>
      <w:r w:rsidR="00E955C0">
        <w:rPr>
          <w:lang w:val="en-CA"/>
        </w:rPr>
        <w:t>-</w:t>
      </w:r>
      <w:r>
        <w:rPr>
          <w:lang w:val="en-CA"/>
        </w:rPr>
        <w:t xml:space="preserve">2.1, unrefined MVs are used to predict the spatial neighboring MVs of the current CU. But </w:t>
      </w:r>
      <w:r>
        <w:rPr>
          <w:szCs w:val="22"/>
          <w:lang w:val="en-CA"/>
        </w:rPr>
        <w:t>it comes with the degraded coding efficiency because less accurate unrefined MVs are used for the spatial motion prediction.</w:t>
      </w:r>
    </w:p>
    <w:p w14:paraId="33204F31" w14:textId="7C77FE8C" w:rsidR="00640FA0" w:rsidRPr="006F54C4" w:rsidRDefault="00640FA0" w:rsidP="00E64BD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Proposal</w:t>
      </w:r>
    </w:p>
    <w:p w14:paraId="5E24E704" w14:textId="407F4977" w:rsidR="00882A21" w:rsidRDefault="00E64BDF" w:rsidP="001B4A34">
      <w:pPr>
        <w:spacing w:before="60"/>
        <w:rPr>
          <w:lang w:val="en-CA"/>
        </w:rPr>
      </w:pPr>
      <w:r>
        <w:rPr>
          <w:szCs w:val="22"/>
          <w:lang w:val="en-CA"/>
        </w:rPr>
        <w:t xml:space="preserve">Given the problem mentioned above, </w:t>
      </w:r>
      <w:r w:rsidR="0004166D">
        <w:rPr>
          <w:szCs w:val="22"/>
          <w:lang w:val="en-CA"/>
        </w:rPr>
        <w:t>a solution is proposed in this document to address the decoding latency issue of the current DMVR design.</w:t>
      </w:r>
      <w:r w:rsidR="00A272EA">
        <w:rPr>
          <w:szCs w:val="22"/>
          <w:lang w:val="en-CA"/>
        </w:rPr>
        <w:t xml:space="preserve"> </w:t>
      </w:r>
      <w:r w:rsidR="00A272EA">
        <w:rPr>
          <w:lang w:val="en-CA"/>
        </w:rPr>
        <w:t xml:space="preserve">The proposed method uses </w:t>
      </w:r>
      <w:r w:rsidR="00882A21">
        <w:rPr>
          <w:lang w:val="en-CA"/>
        </w:rPr>
        <w:t xml:space="preserve">the unrefined MVs of one DMVR CU to predict the MVs of its neighboring CU that is in the same CTU row. For the neighboring CUs located in different CTU rows, the refined MVs are used for spatial MV prediction. By this way, multiple CUs within the same CTU row can be decoded in parallel while the decoding of the CUs on the top boundary of one CTU is still dependent on that of </w:t>
      </w:r>
      <w:r w:rsidR="00E955C0">
        <w:rPr>
          <w:lang w:val="en-CA"/>
        </w:rPr>
        <w:t>its</w:t>
      </w:r>
      <w:r w:rsidR="00882A21">
        <w:rPr>
          <w:lang w:val="en-CA"/>
        </w:rPr>
        <w:t xml:space="preserve"> top neighboring CTUs. </w:t>
      </w:r>
      <w:r w:rsidR="00882A21">
        <w:rPr>
          <w:lang w:val="en-CA"/>
        </w:rPr>
        <w:fldChar w:fldCharType="begin"/>
      </w:r>
      <w:r w:rsidR="00882A21">
        <w:rPr>
          <w:lang w:val="en-CA"/>
        </w:rPr>
        <w:instrText xml:space="preserve"> REF _Ref518869521 \h </w:instrText>
      </w:r>
      <w:r w:rsidR="00882A21">
        <w:rPr>
          <w:lang w:val="en-CA"/>
        </w:rPr>
      </w:r>
      <w:r w:rsidR="00882A21">
        <w:rPr>
          <w:lang w:val="en-CA"/>
        </w:rPr>
        <w:fldChar w:fldCharType="separate"/>
      </w:r>
      <w:r w:rsidR="00A272EA">
        <w:t xml:space="preserve">Figure </w:t>
      </w:r>
      <w:r w:rsidR="00A272EA">
        <w:rPr>
          <w:noProof/>
        </w:rPr>
        <w:t>1</w:t>
      </w:r>
      <w:r w:rsidR="00882A21">
        <w:rPr>
          <w:lang w:val="en-CA"/>
        </w:rPr>
        <w:fldChar w:fldCharType="end"/>
      </w:r>
      <w:r w:rsidR="00882A21">
        <w:rPr>
          <w:lang w:val="en-CA"/>
        </w:rPr>
        <w:t xml:space="preserve"> illustrates idea of </w:t>
      </w:r>
      <w:r w:rsidR="00A272EA">
        <w:rPr>
          <w:lang w:val="en-CA"/>
        </w:rPr>
        <w:t xml:space="preserve">this </w:t>
      </w:r>
      <w:r w:rsidR="00882A21">
        <w:rPr>
          <w:lang w:val="en-CA"/>
        </w:rPr>
        <w:t xml:space="preserve">solution. As illustrated in </w:t>
      </w:r>
      <w:r w:rsidR="00882A21">
        <w:rPr>
          <w:lang w:val="en-CA"/>
        </w:rPr>
        <w:fldChar w:fldCharType="begin"/>
      </w:r>
      <w:r w:rsidR="00882A21">
        <w:rPr>
          <w:lang w:val="en-CA"/>
        </w:rPr>
        <w:instrText xml:space="preserve"> REF _Ref518869521 \h </w:instrText>
      </w:r>
      <w:r w:rsidR="00882A21">
        <w:rPr>
          <w:lang w:val="en-CA"/>
        </w:rPr>
      </w:r>
      <w:r w:rsidR="00882A21">
        <w:rPr>
          <w:lang w:val="en-CA"/>
        </w:rPr>
        <w:fldChar w:fldCharType="separate"/>
      </w:r>
      <w:r w:rsidR="00C47ED8">
        <w:t xml:space="preserve">Figure </w:t>
      </w:r>
      <w:r w:rsidR="00C47ED8">
        <w:rPr>
          <w:noProof/>
        </w:rPr>
        <w:t>1</w:t>
      </w:r>
      <w:r w:rsidR="00882A21">
        <w:rPr>
          <w:lang w:val="en-CA"/>
        </w:rPr>
        <w:fldChar w:fldCharType="end"/>
      </w:r>
      <w:r w:rsidR="00882A21">
        <w:rPr>
          <w:lang w:val="en-CA"/>
        </w:rPr>
        <w:t xml:space="preserve">, </w:t>
      </w:r>
      <w:r w:rsidR="00A272EA">
        <w:rPr>
          <w:lang w:val="en-CA"/>
        </w:rPr>
        <w:t>it</w:t>
      </w:r>
      <w:r w:rsidR="00C23722">
        <w:rPr>
          <w:lang w:val="en-CA"/>
        </w:rPr>
        <w:t xml:space="preserve"> </w:t>
      </w:r>
      <w:r w:rsidR="00882A21">
        <w:rPr>
          <w:lang w:val="en-CA"/>
        </w:rPr>
        <w:t>only needs to store both refined and unrefined MVs for the CUs located on the bottom boundary of one CTU. For all the other CUs, only the unrefined MVs need to be stored.</w:t>
      </w:r>
    </w:p>
    <w:p w14:paraId="48BF7BF7" w14:textId="1128F506" w:rsidR="00882A21" w:rsidRDefault="00F23C24" w:rsidP="00882A21">
      <w:pPr>
        <w:jc w:val="center"/>
      </w:pPr>
      <w:r>
        <w:object w:dxaOrig="7537" w:dyaOrig="6720" w14:anchorId="23014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262.9pt" o:ole="">
            <v:imagedata r:id="rId13" o:title="" cropbottom="1099f" cropright="-418f"/>
          </v:shape>
          <o:OLEObject Type="Embed" ProgID="Visio.Drawing.15" ShapeID="_x0000_i1025" DrawAspect="Content" ObjectID="_1599462589" r:id="rId14"/>
        </w:object>
      </w:r>
    </w:p>
    <w:p w14:paraId="750398B4" w14:textId="59AE2AE0" w:rsidR="00882A21" w:rsidRDefault="00882A21" w:rsidP="00882A21">
      <w:pPr>
        <w:pStyle w:val="Caption"/>
        <w:jc w:val="center"/>
      </w:pPr>
      <w:bookmarkStart w:id="3" w:name="_Ref518869521"/>
      <w:r>
        <w:t xml:space="preserve">Figure </w:t>
      </w:r>
      <w:r w:rsidR="00F56CF3">
        <w:fldChar w:fldCharType="begin"/>
      </w:r>
      <w:r w:rsidR="00F56CF3">
        <w:instrText xml:space="preserve"> SEQ Figure \* ARABIC </w:instrText>
      </w:r>
      <w:r w:rsidR="00F56CF3">
        <w:fldChar w:fldCharType="separate"/>
      </w:r>
      <w:r w:rsidR="00A272EA">
        <w:rPr>
          <w:noProof/>
        </w:rPr>
        <w:t>1</w:t>
      </w:r>
      <w:r w:rsidR="00F56CF3">
        <w:rPr>
          <w:noProof/>
        </w:rPr>
        <w:fldChar w:fldCharType="end"/>
      </w:r>
      <w:bookmarkEnd w:id="3"/>
      <w:r>
        <w:t xml:space="preserve"> Illustration of </w:t>
      </w:r>
      <w:r w:rsidR="001B4A34">
        <w:t xml:space="preserve">the </w:t>
      </w:r>
      <w:r>
        <w:t xml:space="preserve">solution </w:t>
      </w:r>
    </w:p>
    <w:p w14:paraId="4AD56DD4" w14:textId="6B143E4C" w:rsidR="003C294A" w:rsidRPr="009A3233" w:rsidRDefault="003C294A" w:rsidP="009A3233">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9A3233">
        <w:rPr>
          <w:lang w:val="en-CA"/>
        </w:rPr>
        <w:t>Simulation results</w:t>
      </w:r>
    </w:p>
    <w:p w14:paraId="6BDF45A4" w14:textId="70C7299A" w:rsidR="00F2745F" w:rsidRDefault="00D63D75" w:rsidP="00F32157">
      <w:pPr>
        <w:rPr>
          <w:szCs w:val="22"/>
          <w:lang w:val="en-CA"/>
        </w:rPr>
      </w:pPr>
      <w:r>
        <w:rPr>
          <w:szCs w:val="22"/>
          <w:lang w:val="en-CA"/>
        </w:rPr>
        <w:t>The implementation is based on the BMS</w:t>
      </w:r>
      <w:r w:rsidR="00E955C0">
        <w:rPr>
          <w:szCs w:val="22"/>
          <w:lang w:val="en-CA"/>
        </w:rPr>
        <w:t>-</w:t>
      </w:r>
      <w:r>
        <w:rPr>
          <w:szCs w:val="22"/>
          <w:lang w:val="en-CA"/>
        </w:rPr>
        <w:t xml:space="preserve">2.1rc1 reference software </w:t>
      </w:r>
      <w:r w:rsidR="001B4A34">
        <w:rPr>
          <w:szCs w:val="22"/>
          <w:lang w:val="en-CA"/>
        </w:rPr>
        <w:fldChar w:fldCharType="begin"/>
      </w:r>
      <w:r w:rsidR="001B4A34">
        <w:rPr>
          <w:szCs w:val="22"/>
          <w:lang w:val="en-CA"/>
        </w:rPr>
        <w:instrText xml:space="preserve"> REF _Ref525588596 \r \h </w:instrText>
      </w:r>
      <w:r w:rsidR="001B4A34">
        <w:rPr>
          <w:szCs w:val="22"/>
          <w:lang w:val="en-CA"/>
        </w:rPr>
      </w:r>
      <w:r w:rsidR="001B4A34">
        <w:rPr>
          <w:szCs w:val="22"/>
          <w:lang w:val="en-CA"/>
        </w:rPr>
        <w:fldChar w:fldCharType="separate"/>
      </w:r>
      <w:r w:rsidR="001B4A34">
        <w:rPr>
          <w:szCs w:val="22"/>
          <w:lang w:val="en-CA"/>
        </w:rPr>
        <w:t>[3]</w:t>
      </w:r>
      <w:r w:rsidR="001B4A34">
        <w:rPr>
          <w:szCs w:val="22"/>
          <w:lang w:val="en-CA"/>
        </w:rPr>
        <w:fldChar w:fldCharType="end"/>
      </w:r>
      <w:r>
        <w:rPr>
          <w:szCs w:val="22"/>
          <w:lang w:val="en-CA"/>
        </w:rPr>
        <w:t xml:space="preserve"> and tested using VTM configurations. The test condition and evaluation criteria that are used in CE9 </w:t>
      </w:r>
      <w:r>
        <w:rPr>
          <w:szCs w:val="22"/>
          <w:lang w:val="en-CA"/>
        </w:rPr>
        <w:fldChar w:fldCharType="begin"/>
      </w:r>
      <w:r>
        <w:rPr>
          <w:szCs w:val="22"/>
          <w:lang w:val="en-CA"/>
        </w:rPr>
        <w:instrText xml:space="preserve"> REF _Ref518162436 \r \h </w:instrText>
      </w:r>
      <w:r>
        <w:rPr>
          <w:szCs w:val="22"/>
          <w:lang w:val="en-CA"/>
        </w:rPr>
      </w:r>
      <w:r>
        <w:rPr>
          <w:szCs w:val="22"/>
          <w:lang w:val="en-CA"/>
        </w:rPr>
        <w:fldChar w:fldCharType="separate"/>
      </w:r>
      <w:r w:rsidR="001B4A34">
        <w:rPr>
          <w:szCs w:val="22"/>
          <w:lang w:val="en-CA"/>
        </w:rPr>
        <w:t>[4]</w:t>
      </w:r>
      <w:r>
        <w:rPr>
          <w:szCs w:val="22"/>
          <w:lang w:val="en-CA"/>
        </w:rPr>
        <w:fldChar w:fldCharType="end"/>
      </w:r>
      <w:r>
        <w:rPr>
          <w:szCs w:val="22"/>
          <w:lang w:val="en-CA"/>
        </w:rPr>
        <w:t xml:space="preserve"> are applied. </w:t>
      </w:r>
    </w:p>
    <w:p w14:paraId="6129C53A" w14:textId="77777777" w:rsidR="0071649A" w:rsidRPr="004467AB" w:rsidRDefault="0071649A" w:rsidP="0071649A">
      <w:pPr>
        <w:pStyle w:val="Caption"/>
        <w:spacing w:after="120"/>
        <w:jc w:val="center"/>
        <w:rPr>
          <w:b w:val="0"/>
          <w:sz w:val="22"/>
          <w:szCs w:val="22"/>
          <w:lang w:val="en-CA"/>
        </w:rPr>
      </w:pPr>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sidRPr="009E288D">
        <w:rPr>
          <w:b w:val="0"/>
          <w:noProof/>
          <w:sz w:val="22"/>
          <w:szCs w:val="22"/>
        </w:rPr>
        <w:t>1</w:t>
      </w:r>
      <w:r w:rsidRPr="009E288D">
        <w:rPr>
          <w:b w:val="0"/>
          <w:sz w:val="22"/>
          <w:szCs w:val="22"/>
        </w:rPr>
        <w:fldChar w:fldCharType="end"/>
      </w:r>
      <w:r>
        <w:rPr>
          <w:b w:val="0"/>
          <w:sz w:val="22"/>
          <w:szCs w:val="22"/>
        </w:rPr>
        <w:t xml:space="preserve"> The performance of the proposed DMVR method, compared to BMS2.1rc1 with VTM config</w:t>
      </w:r>
    </w:p>
    <w:tbl>
      <w:tblPr>
        <w:tblW w:w="9360" w:type="dxa"/>
        <w:tblLayout w:type="fixed"/>
        <w:tblLook w:val="04A0" w:firstRow="1" w:lastRow="0" w:firstColumn="1" w:lastColumn="0" w:noHBand="0" w:noVBand="1"/>
      </w:tblPr>
      <w:tblGrid>
        <w:gridCol w:w="1550"/>
        <w:gridCol w:w="1562"/>
        <w:gridCol w:w="1562"/>
        <w:gridCol w:w="1562"/>
        <w:gridCol w:w="1562"/>
        <w:gridCol w:w="1562"/>
      </w:tblGrid>
      <w:tr w:rsidR="0071649A" w:rsidRPr="0002516A" w14:paraId="0C9957B0" w14:textId="77777777" w:rsidTr="00F6470A">
        <w:trPr>
          <w:trHeight w:val="255"/>
        </w:trPr>
        <w:tc>
          <w:tcPr>
            <w:tcW w:w="1550" w:type="dxa"/>
            <w:tcBorders>
              <w:top w:val="nil"/>
              <w:left w:val="nil"/>
              <w:bottom w:val="nil"/>
              <w:right w:val="nil"/>
            </w:tcBorders>
            <w:shd w:val="clear" w:color="auto" w:fill="auto"/>
            <w:noWrap/>
            <w:vAlign w:val="center"/>
            <w:hideMark/>
          </w:tcPr>
          <w:p w14:paraId="1A802DD2"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1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6A8C68"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516A">
              <w:rPr>
                <w:rFonts w:ascii="Arial" w:hAnsi="Arial" w:cs="Arial"/>
                <w:b/>
                <w:bCs/>
                <w:color w:val="000000"/>
                <w:sz w:val="18"/>
                <w:szCs w:val="18"/>
              </w:rPr>
              <w:t>Random Access Main 10</w:t>
            </w:r>
          </w:p>
        </w:tc>
      </w:tr>
      <w:tr w:rsidR="0071649A" w:rsidRPr="0002516A" w14:paraId="334B5E81" w14:textId="77777777" w:rsidTr="00F6470A">
        <w:trPr>
          <w:trHeight w:val="255"/>
        </w:trPr>
        <w:tc>
          <w:tcPr>
            <w:tcW w:w="1550" w:type="dxa"/>
            <w:tcBorders>
              <w:top w:val="nil"/>
              <w:left w:val="nil"/>
              <w:bottom w:val="nil"/>
              <w:right w:val="nil"/>
            </w:tcBorders>
            <w:shd w:val="clear" w:color="auto" w:fill="auto"/>
            <w:noWrap/>
            <w:vAlign w:val="center"/>
            <w:hideMark/>
          </w:tcPr>
          <w:p w14:paraId="71C5AF9C"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1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EEE81C"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516A">
              <w:rPr>
                <w:rFonts w:ascii="Arial" w:hAnsi="Arial" w:cs="Arial"/>
                <w:b/>
                <w:bCs/>
                <w:color w:val="000000"/>
                <w:sz w:val="18"/>
                <w:szCs w:val="18"/>
              </w:rPr>
              <w:t>Over BMS-2.1rc1 - with VTM config</w:t>
            </w:r>
          </w:p>
        </w:tc>
      </w:tr>
      <w:tr w:rsidR="0071649A" w:rsidRPr="0002516A" w14:paraId="5DBE6741" w14:textId="77777777" w:rsidTr="00F6470A">
        <w:trPr>
          <w:trHeight w:val="255"/>
        </w:trPr>
        <w:tc>
          <w:tcPr>
            <w:tcW w:w="1550" w:type="dxa"/>
            <w:tcBorders>
              <w:top w:val="nil"/>
              <w:left w:val="nil"/>
              <w:bottom w:val="nil"/>
              <w:right w:val="nil"/>
            </w:tcBorders>
            <w:shd w:val="clear" w:color="auto" w:fill="auto"/>
            <w:noWrap/>
            <w:vAlign w:val="center"/>
            <w:hideMark/>
          </w:tcPr>
          <w:p w14:paraId="6D7536A7"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562" w:type="dxa"/>
            <w:tcBorders>
              <w:top w:val="nil"/>
              <w:left w:val="single" w:sz="8" w:space="0" w:color="auto"/>
              <w:bottom w:val="single" w:sz="8" w:space="0" w:color="auto"/>
              <w:right w:val="nil"/>
            </w:tcBorders>
            <w:shd w:val="clear" w:color="auto" w:fill="auto"/>
            <w:noWrap/>
            <w:vAlign w:val="center"/>
            <w:hideMark/>
          </w:tcPr>
          <w:p w14:paraId="44BEA2EC"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Y</w:t>
            </w:r>
          </w:p>
        </w:tc>
        <w:tc>
          <w:tcPr>
            <w:tcW w:w="1562" w:type="dxa"/>
            <w:tcBorders>
              <w:top w:val="nil"/>
              <w:left w:val="nil"/>
              <w:bottom w:val="single" w:sz="8" w:space="0" w:color="auto"/>
              <w:right w:val="nil"/>
            </w:tcBorders>
            <w:shd w:val="clear" w:color="auto" w:fill="auto"/>
            <w:noWrap/>
            <w:vAlign w:val="center"/>
            <w:hideMark/>
          </w:tcPr>
          <w:p w14:paraId="607D141F"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U</w:t>
            </w:r>
          </w:p>
        </w:tc>
        <w:tc>
          <w:tcPr>
            <w:tcW w:w="1562" w:type="dxa"/>
            <w:tcBorders>
              <w:top w:val="nil"/>
              <w:left w:val="nil"/>
              <w:bottom w:val="single" w:sz="8" w:space="0" w:color="auto"/>
              <w:right w:val="single" w:sz="4" w:space="0" w:color="auto"/>
            </w:tcBorders>
            <w:shd w:val="clear" w:color="auto" w:fill="auto"/>
            <w:noWrap/>
            <w:vAlign w:val="center"/>
            <w:hideMark/>
          </w:tcPr>
          <w:p w14:paraId="3979C1AE"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V</w:t>
            </w:r>
          </w:p>
        </w:tc>
        <w:tc>
          <w:tcPr>
            <w:tcW w:w="1562" w:type="dxa"/>
            <w:tcBorders>
              <w:top w:val="nil"/>
              <w:left w:val="nil"/>
              <w:bottom w:val="single" w:sz="8" w:space="0" w:color="auto"/>
              <w:right w:val="nil"/>
            </w:tcBorders>
            <w:shd w:val="clear" w:color="auto" w:fill="auto"/>
            <w:noWrap/>
            <w:vAlign w:val="center"/>
            <w:hideMark/>
          </w:tcPr>
          <w:p w14:paraId="0F07F094"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2516A">
              <w:rPr>
                <w:rFonts w:ascii="Arial" w:hAnsi="Arial" w:cs="Arial"/>
                <w:color w:val="000000"/>
                <w:sz w:val="18"/>
                <w:szCs w:val="18"/>
              </w:rPr>
              <w:t>EncT</w:t>
            </w:r>
            <w:proofErr w:type="spellEnd"/>
          </w:p>
        </w:tc>
        <w:tc>
          <w:tcPr>
            <w:tcW w:w="1562" w:type="dxa"/>
            <w:tcBorders>
              <w:top w:val="nil"/>
              <w:left w:val="nil"/>
              <w:bottom w:val="single" w:sz="8" w:space="0" w:color="auto"/>
              <w:right w:val="single" w:sz="8" w:space="0" w:color="auto"/>
            </w:tcBorders>
            <w:shd w:val="clear" w:color="auto" w:fill="auto"/>
            <w:noWrap/>
            <w:vAlign w:val="center"/>
            <w:hideMark/>
          </w:tcPr>
          <w:p w14:paraId="3EA5125E"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2516A">
              <w:rPr>
                <w:rFonts w:ascii="Arial" w:hAnsi="Arial" w:cs="Arial"/>
                <w:color w:val="000000"/>
                <w:sz w:val="18"/>
                <w:szCs w:val="18"/>
              </w:rPr>
              <w:t>DecT</w:t>
            </w:r>
            <w:proofErr w:type="spellEnd"/>
          </w:p>
        </w:tc>
      </w:tr>
      <w:tr w:rsidR="0050536F" w:rsidRPr="0002516A" w14:paraId="0F073AC2" w14:textId="77777777" w:rsidTr="00F6470A">
        <w:trPr>
          <w:trHeight w:val="255"/>
        </w:trPr>
        <w:tc>
          <w:tcPr>
            <w:tcW w:w="1550" w:type="dxa"/>
            <w:tcBorders>
              <w:top w:val="single" w:sz="8" w:space="0" w:color="auto"/>
              <w:left w:val="single" w:sz="8" w:space="0" w:color="auto"/>
              <w:bottom w:val="nil"/>
              <w:right w:val="single" w:sz="8" w:space="0" w:color="auto"/>
            </w:tcBorders>
            <w:shd w:val="clear" w:color="auto" w:fill="auto"/>
            <w:noWrap/>
            <w:vAlign w:val="center"/>
            <w:hideMark/>
          </w:tcPr>
          <w:p w14:paraId="6C8C10E9" w14:textId="77777777"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A1</w:t>
            </w:r>
          </w:p>
        </w:tc>
        <w:tc>
          <w:tcPr>
            <w:tcW w:w="1562" w:type="dxa"/>
            <w:tcBorders>
              <w:top w:val="nil"/>
              <w:left w:val="nil"/>
              <w:bottom w:val="nil"/>
              <w:right w:val="nil"/>
            </w:tcBorders>
            <w:shd w:val="clear" w:color="auto" w:fill="auto"/>
            <w:noWrap/>
            <w:vAlign w:val="center"/>
            <w:hideMark/>
          </w:tcPr>
          <w:p w14:paraId="5471B4DA" w14:textId="57E0C2F5"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-2.12%</w:t>
            </w:r>
          </w:p>
        </w:tc>
        <w:tc>
          <w:tcPr>
            <w:tcW w:w="1562" w:type="dxa"/>
            <w:tcBorders>
              <w:top w:val="nil"/>
              <w:left w:val="nil"/>
              <w:bottom w:val="nil"/>
              <w:right w:val="nil"/>
            </w:tcBorders>
            <w:shd w:val="clear" w:color="auto" w:fill="auto"/>
            <w:noWrap/>
            <w:vAlign w:val="center"/>
            <w:hideMark/>
          </w:tcPr>
          <w:p w14:paraId="2933F2ED" w14:textId="64A41FD2"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-1.86%</w:t>
            </w:r>
          </w:p>
        </w:tc>
        <w:tc>
          <w:tcPr>
            <w:tcW w:w="1562" w:type="dxa"/>
            <w:tcBorders>
              <w:top w:val="nil"/>
              <w:left w:val="nil"/>
              <w:bottom w:val="nil"/>
              <w:right w:val="single" w:sz="4" w:space="0" w:color="auto"/>
            </w:tcBorders>
            <w:shd w:val="clear" w:color="auto" w:fill="auto"/>
            <w:noWrap/>
            <w:vAlign w:val="center"/>
            <w:hideMark/>
          </w:tcPr>
          <w:p w14:paraId="48FB3EDF" w14:textId="0765ADEF"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-2.21%</w:t>
            </w:r>
          </w:p>
        </w:tc>
        <w:tc>
          <w:tcPr>
            <w:tcW w:w="1562" w:type="dxa"/>
            <w:tcBorders>
              <w:top w:val="nil"/>
              <w:left w:val="nil"/>
              <w:bottom w:val="nil"/>
              <w:right w:val="nil"/>
            </w:tcBorders>
            <w:shd w:val="clear" w:color="auto" w:fill="auto"/>
            <w:noWrap/>
            <w:vAlign w:val="center"/>
            <w:hideMark/>
          </w:tcPr>
          <w:p w14:paraId="69A7C381" w14:textId="62CE59DA"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562" w:type="dxa"/>
            <w:tcBorders>
              <w:top w:val="nil"/>
              <w:left w:val="nil"/>
              <w:bottom w:val="nil"/>
              <w:right w:val="single" w:sz="8" w:space="0" w:color="auto"/>
            </w:tcBorders>
            <w:shd w:val="clear" w:color="auto" w:fill="auto"/>
            <w:noWrap/>
            <w:vAlign w:val="center"/>
            <w:hideMark/>
          </w:tcPr>
          <w:p w14:paraId="64042B8A" w14:textId="2159EA98"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50536F" w:rsidRPr="0002516A" w14:paraId="10378A89" w14:textId="77777777" w:rsidTr="00F6470A">
        <w:trPr>
          <w:trHeight w:val="255"/>
        </w:trPr>
        <w:tc>
          <w:tcPr>
            <w:tcW w:w="1550" w:type="dxa"/>
            <w:tcBorders>
              <w:top w:val="nil"/>
              <w:left w:val="single" w:sz="8" w:space="0" w:color="auto"/>
              <w:bottom w:val="nil"/>
              <w:right w:val="single" w:sz="8" w:space="0" w:color="auto"/>
            </w:tcBorders>
            <w:shd w:val="clear" w:color="auto" w:fill="auto"/>
            <w:noWrap/>
            <w:vAlign w:val="center"/>
            <w:hideMark/>
          </w:tcPr>
          <w:p w14:paraId="2365CDFD" w14:textId="77777777"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A2</w:t>
            </w:r>
          </w:p>
        </w:tc>
        <w:tc>
          <w:tcPr>
            <w:tcW w:w="1562" w:type="dxa"/>
            <w:tcBorders>
              <w:top w:val="nil"/>
              <w:left w:val="nil"/>
              <w:bottom w:val="nil"/>
              <w:right w:val="nil"/>
            </w:tcBorders>
            <w:shd w:val="clear" w:color="000000" w:fill="FFFFFF"/>
            <w:noWrap/>
            <w:vAlign w:val="center"/>
            <w:hideMark/>
          </w:tcPr>
          <w:p w14:paraId="139C2E84" w14:textId="1189A05D"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-2.70%</w:t>
            </w:r>
          </w:p>
        </w:tc>
        <w:tc>
          <w:tcPr>
            <w:tcW w:w="1562" w:type="dxa"/>
            <w:tcBorders>
              <w:top w:val="nil"/>
              <w:left w:val="nil"/>
              <w:bottom w:val="nil"/>
              <w:right w:val="nil"/>
            </w:tcBorders>
            <w:shd w:val="clear" w:color="000000" w:fill="FFFFFF"/>
            <w:noWrap/>
            <w:vAlign w:val="center"/>
            <w:hideMark/>
          </w:tcPr>
          <w:p w14:paraId="69B13BFE" w14:textId="67D9CCC6"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-2.73%</w:t>
            </w:r>
          </w:p>
        </w:tc>
        <w:tc>
          <w:tcPr>
            <w:tcW w:w="1562" w:type="dxa"/>
            <w:tcBorders>
              <w:top w:val="nil"/>
              <w:left w:val="nil"/>
              <w:bottom w:val="nil"/>
              <w:right w:val="single" w:sz="4" w:space="0" w:color="auto"/>
            </w:tcBorders>
            <w:shd w:val="clear" w:color="000000" w:fill="FFFFFF"/>
            <w:noWrap/>
            <w:vAlign w:val="center"/>
            <w:hideMark/>
          </w:tcPr>
          <w:p w14:paraId="4F576866" w14:textId="2991C297"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-2.82%</w:t>
            </w:r>
          </w:p>
        </w:tc>
        <w:tc>
          <w:tcPr>
            <w:tcW w:w="1562" w:type="dxa"/>
            <w:tcBorders>
              <w:top w:val="nil"/>
              <w:left w:val="nil"/>
              <w:bottom w:val="nil"/>
              <w:right w:val="nil"/>
            </w:tcBorders>
            <w:shd w:val="clear" w:color="auto" w:fill="auto"/>
            <w:noWrap/>
            <w:vAlign w:val="center"/>
            <w:hideMark/>
          </w:tcPr>
          <w:p w14:paraId="674CE4D3" w14:textId="57E2DB98"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562" w:type="dxa"/>
            <w:tcBorders>
              <w:top w:val="nil"/>
              <w:left w:val="nil"/>
              <w:bottom w:val="nil"/>
              <w:right w:val="single" w:sz="8" w:space="0" w:color="auto"/>
            </w:tcBorders>
            <w:shd w:val="clear" w:color="auto" w:fill="auto"/>
            <w:noWrap/>
            <w:vAlign w:val="center"/>
            <w:hideMark/>
          </w:tcPr>
          <w:p w14:paraId="0BF34F58" w14:textId="350F2DA9"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50536F" w:rsidRPr="0002516A" w14:paraId="32304C23" w14:textId="77777777" w:rsidTr="00F6470A">
        <w:trPr>
          <w:trHeight w:val="255"/>
        </w:trPr>
        <w:tc>
          <w:tcPr>
            <w:tcW w:w="1550" w:type="dxa"/>
            <w:tcBorders>
              <w:top w:val="nil"/>
              <w:left w:val="single" w:sz="8" w:space="0" w:color="auto"/>
              <w:bottom w:val="nil"/>
              <w:right w:val="single" w:sz="8" w:space="0" w:color="auto"/>
            </w:tcBorders>
            <w:shd w:val="clear" w:color="auto" w:fill="auto"/>
            <w:noWrap/>
            <w:vAlign w:val="center"/>
            <w:hideMark/>
          </w:tcPr>
          <w:p w14:paraId="3DCA59A6" w14:textId="77777777"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B</w:t>
            </w:r>
          </w:p>
        </w:tc>
        <w:tc>
          <w:tcPr>
            <w:tcW w:w="1562" w:type="dxa"/>
            <w:tcBorders>
              <w:top w:val="nil"/>
              <w:left w:val="nil"/>
              <w:bottom w:val="nil"/>
              <w:right w:val="nil"/>
            </w:tcBorders>
            <w:shd w:val="clear" w:color="auto" w:fill="auto"/>
            <w:noWrap/>
            <w:vAlign w:val="center"/>
            <w:hideMark/>
          </w:tcPr>
          <w:p w14:paraId="16DE11C5" w14:textId="22578543"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562" w:type="dxa"/>
            <w:tcBorders>
              <w:top w:val="nil"/>
              <w:left w:val="nil"/>
              <w:bottom w:val="nil"/>
              <w:right w:val="nil"/>
            </w:tcBorders>
            <w:shd w:val="clear" w:color="auto" w:fill="auto"/>
            <w:noWrap/>
            <w:vAlign w:val="center"/>
            <w:hideMark/>
          </w:tcPr>
          <w:p w14:paraId="605C6B96" w14:textId="12A01F27"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-1.56%</w:t>
            </w:r>
          </w:p>
        </w:tc>
        <w:tc>
          <w:tcPr>
            <w:tcW w:w="1562" w:type="dxa"/>
            <w:tcBorders>
              <w:top w:val="nil"/>
              <w:left w:val="nil"/>
              <w:bottom w:val="nil"/>
              <w:right w:val="single" w:sz="4" w:space="0" w:color="auto"/>
            </w:tcBorders>
            <w:shd w:val="clear" w:color="auto" w:fill="auto"/>
            <w:noWrap/>
            <w:vAlign w:val="center"/>
            <w:hideMark/>
          </w:tcPr>
          <w:p w14:paraId="54983C19" w14:textId="23D7DD68"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w:t>
            </w:r>
          </w:p>
        </w:tc>
        <w:tc>
          <w:tcPr>
            <w:tcW w:w="1562" w:type="dxa"/>
            <w:tcBorders>
              <w:top w:val="nil"/>
              <w:left w:val="nil"/>
              <w:bottom w:val="nil"/>
              <w:right w:val="nil"/>
            </w:tcBorders>
            <w:shd w:val="clear" w:color="auto" w:fill="auto"/>
            <w:noWrap/>
            <w:vAlign w:val="center"/>
            <w:hideMark/>
          </w:tcPr>
          <w:p w14:paraId="6F46666B" w14:textId="2B55A823"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562" w:type="dxa"/>
            <w:tcBorders>
              <w:top w:val="nil"/>
              <w:left w:val="nil"/>
              <w:bottom w:val="nil"/>
              <w:right w:val="single" w:sz="8" w:space="0" w:color="auto"/>
            </w:tcBorders>
            <w:shd w:val="clear" w:color="auto" w:fill="auto"/>
            <w:noWrap/>
            <w:vAlign w:val="center"/>
            <w:hideMark/>
          </w:tcPr>
          <w:p w14:paraId="7AD400D1" w14:textId="102019E3"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50536F" w:rsidRPr="0002516A" w14:paraId="3571FDBF" w14:textId="77777777" w:rsidTr="00F6470A">
        <w:trPr>
          <w:trHeight w:val="255"/>
        </w:trPr>
        <w:tc>
          <w:tcPr>
            <w:tcW w:w="1550" w:type="dxa"/>
            <w:tcBorders>
              <w:top w:val="nil"/>
              <w:left w:val="single" w:sz="8" w:space="0" w:color="auto"/>
              <w:bottom w:val="nil"/>
              <w:right w:val="single" w:sz="8" w:space="0" w:color="auto"/>
            </w:tcBorders>
            <w:shd w:val="clear" w:color="auto" w:fill="auto"/>
            <w:noWrap/>
            <w:vAlign w:val="center"/>
            <w:hideMark/>
          </w:tcPr>
          <w:p w14:paraId="01E59816" w14:textId="77777777"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C</w:t>
            </w:r>
          </w:p>
        </w:tc>
        <w:tc>
          <w:tcPr>
            <w:tcW w:w="1562" w:type="dxa"/>
            <w:tcBorders>
              <w:top w:val="nil"/>
              <w:left w:val="nil"/>
              <w:bottom w:val="nil"/>
              <w:right w:val="nil"/>
            </w:tcBorders>
            <w:shd w:val="clear" w:color="auto" w:fill="auto"/>
            <w:noWrap/>
            <w:vAlign w:val="center"/>
            <w:hideMark/>
          </w:tcPr>
          <w:p w14:paraId="60082E66" w14:textId="3A8DE4C5"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1562" w:type="dxa"/>
            <w:tcBorders>
              <w:top w:val="nil"/>
              <w:left w:val="nil"/>
              <w:bottom w:val="nil"/>
              <w:right w:val="nil"/>
            </w:tcBorders>
            <w:shd w:val="clear" w:color="auto" w:fill="auto"/>
            <w:noWrap/>
            <w:vAlign w:val="center"/>
            <w:hideMark/>
          </w:tcPr>
          <w:p w14:paraId="34E8F7EB" w14:textId="708E2218"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-1.59%</w:t>
            </w:r>
          </w:p>
        </w:tc>
        <w:tc>
          <w:tcPr>
            <w:tcW w:w="1562" w:type="dxa"/>
            <w:tcBorders>
              <w:top w:val="nil"/>
              <w:left w:val="nil"/>
              <w:bottom w:val="nil"/>
              <w:right w:val="single" w:sz="4" w:space="0" w:color="auto"/>
            </w:tcBorders>
            <w:shd w:val="clear" w:color="auto" w:fill="auto"/>
            <w:noWrap/>
            <w:vAlign w:val="center"/>
            <w:hideMark/>
          </w:tcPr>
          <w:p w14:paraId="687BBC53" w14:textId="17BEEC55"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1562" w:type="dxa"/>
            <w:tcBorders>
              <w:top w:val="nil"/>
              <w:left w:val="nil"/>
              <w:bottom w:val="nil"/>
              <w:right w:val="nil"/>
            </w:tcBorders>
            <w:shd w:val="clear" w:color="auto" w:fill="auto"/>
            <w:noWrap/>
            <w:vAlign w:val="center"/>
            <w:hideMark/>
          </w:tcPr>
          <w:p w14:paraId="6DF4A0B4" w14:textId="127D24DD"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562" w:type="dxa"/>
            <w:tcBorders>
              <w:top w:val="nil"/>
              <w:left w:val="nil"/>
              <w:bottom w:val="nil"/>
              <w:right w:val="single" w:sz="8" w:space="0" w:color="auto"/>
            </w:tcBorders>
            <w:shd w:val="clear" w:color="auto" w:fill="auto"/>
            <w:noWrap/>
            <w:vAlign w:val="center"/>
            <w:hideMark/>
          </w:tcPr>
          <w:p w14:paraId="5CC61073" w14:textId="65FBFDA9"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50536F" w:rsidRPr="0002516A" w14:paraId="72C86E2D" w14:textId="77777777" w:rsidTr="00F6470A">
        <w:trPr>
          <w:trHeight w:val="255"/>
        </w:trPr>
        <w:tc>
          <w:tcPr>
            <w:tcW w:w="1550" w:type="dxa"/>
            <w:tcBorders>
              <w:top w:val="nil"/>
              <w:left w:val="single" w:sz="8" w:space="0" w:color="auto"/>
              <w:bottom w:val="nil"/>
              <w:right w:val="single" w:sz="8" w:space="0" w:color="auto"/>
            </w:tcBorders>
            <w:shd w:val="clear" w:color="auto" w:fill="auto"/>
            <w:noWrap/>
            <w:vAlign w:val="center"/>
            <w:hideMark/>
          </w:tcPr>
          <w:p w14:paraId="7120466D" w14:textId="77777777"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E</w:t>
            </w:r>
          </w:p>
        </w:tc>
        <w:tc>
          <w:tcPr>
            <w:tcW w:w="1562" w:type="dxa"/>
            <w:tcBorders>
              <w:top w:val="nil"/>
              <w:left w:val="nil"/>
              <w:bottom w:val="nil"/>
              <w:right w:val="nil"/>
            </w:tcBorders>
            <w:shd w:val="clear" w:color="auto" w:fill="auto"/>
            <w:noWrap/>
            <w:vAlign w:val="center"/>
            <w:hideMark/>
          </w:tcPr>
          <w:p w14:paraId="7E3AACB8" w14:textId="0F3F3243"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62" w:type="dxa"/>
            <w:tcBorders>
              <w:top w:val="nil"/>
              <w:left w:val="nil"/>
              <w:bottom w:val="nil"/>
              <w:right w:val="nil"/>
            </w:tcBorders>
            <w:shd w:val="clear" w:color="auto" w:fill="auto"/>
            <w:noWrap/>
            <w:vAlign w:val="center"/>
            <w:hideMark/>
          </w:tcPr>
          <w:p w14:paraId="2C01090E" w14:textId="77777777"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62" w:type="dxa"/>
            <w:tcBorders>
              <w:top w:val="nil"/>
              <w:left w:val="nil"/>
              <w:bottom w:val="nil"/>
              <w:right w:val="single" w:sz="4" w:space="0" w:color="auto"/>
            </w:tcBorders>
            <w:shd w:val="clear" w:color="auto" w:fill="auto"/>
            <w:noWrap/>
            <w:vAlign w:val="center"/>
            <w:hideMark/>
          </w:tcPr>
          <w:p w14:paraId="3EC51B74" w14:textId="0677DD1B"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62" w:type="dxa"/>
            <w:tcBorders>
              <w:top w:val="nil"/>
              <w:left w:val="nil"/>
              <w:bottom w:val="nil"/>
              <w:right w:val="nil"/>
            </w:tcBorders>
            <w:shd w:val="clear" w:color="auto" w:fill="auto"/>
            <w:noWrap/>
            <w:vAlign w:val="center"/>
            <w:hideMark/>
          </w:tcPr>
          <w:p w14:paraId="2ABB01EA" w14:textId="3F6A0117"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62" w:type="dxa"/>
            <w:tcBorders>
              <w:top w:val="nil"/>
              <w:left w:val="nil"/>
              <w:bottom w:val="nil"/>
              <w:right w:val="single" w:sz="8" w:space="0" w:color="auto"/>
            </w:tcBorders>
            <w:shd w:val="clear" w:color="auto" w:fill="auto"/>
            <w:noWrap/>
            <w:vAlign w:val="center"/>
            <w:hideMark/>
          </w:tcPr>
          <w:p w14:paraId="63454081" w14:textId="60B8B69B"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0536F" w:rsidRPr="0002516A" w14:paraId="0783569F" w14:textId="77777777" w:rsidTr="00F6470A">
        <w:trPr>
          <w:trHeight w:val="255"/>
        </w:trPr>
        <w:tc>
          <w:tcPr>
            <w:tcW w:w="1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37A1F9" w14:textId="77777777"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516A">
              <w:rPr>
                <w:rFonts w:ascii="Arial" w:hAnsi="Arial" w:cs="Arial"/>
                <w:b/>
                <w:bCs/>
                <w:color w:val="000000"/>
                <w:sz w:val="18"/>
                <w:szCs w:val="18"/>
              </w:rPr>
              <w:t>Overall</w:t>
            </w:r>
          </w:p>
        </w:tc>
        <w:tc>
          <w:tcPr>
            <w:tcW w:w="1562" w:type="dxa"/>
            <w:tcBorders>
              <w:top w:val="single" w:sz="8" w:space="0" w:color="auto"/>
              <w:left w:val="nil"/>
              <w:bottom w:val="single" w:sz="8" w:space="0" w:color="auto"/>
              <w:right w:val="nil"/>
            </w:tcBorders>
            <w:shd w:val="clear" w:color="auto" w:fill="auto"/>
            <w:noWrap/>
            <w:vAlign w:val="center"/>
            <w:hideMark/>
          </w:tcPr>
          <w:p w14:paraId="074D770C" w14:textId="29423DB0"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-1.83%</w:t>
            </w:r>
          </w:p>
        </w:tc>
        <w:tc>
          <w:tcPr>
            <w:tcW w:w="1562" w:type="dxa"/>
            <w:tcBorders>
              <w:top w:val="single" w:sz="8" w:space="0" w:color="auto"/>
              <w:left w:val="nil"/>
              <w:bottom w:val="single" w:sz="8" w:space="0" w:color="auto"/>
              <w:right w:val="nil"/>
            </w:tcBorders>
            <w:shd w:val="clear" w:color="auto" w:fill="auto"/>
            <w:noWrap/>
            <w:vAlign w:val="center"/>
            <w:hideMark/>
          </w:tcPr>
          <w:p w14:paraId="41DCB391" w14:textId="6D45598F"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-1.86%</w:t>
            </w:r>
          </w:p>
        </w:tc>
        <w:tc>
          <w:tcPr>
            <w:tcW w:w="1562" w:type="dxa"/>
            <w:tcBorders>
              <w:top w:val="single" w:sz="8" w:space="0" w:color="auto"/>
              <w:left w:val="nil"/>
              <w:bottom w:val="single" w:sz="8" w:space="0" w:color="auto"/>
              <w:right w:val="single" w:sz="4" w:space="0" w:color="auto"/>
            </w:tcBorders>
            <w:shd w:val="clear" w:color="auto" w:fill="auto"/>
            <w:noWrap/>
            <w:vAlign w:val="center"/>
            <w:hideMark/>
          </w:tcPr>
          <w:p w14:paraId="4AE1A1F5" w14:textId="1889ADE0"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-2.00%</w:t>
            </w:r>
          </w:p>
        </w:tc>
        <w:tc>
          <w:tcPr>
            <w:tcW w:w="1562" w:type="dxa"/>
            <w:tcBorders>
              <w:top w:val="single" w:sz="8" w:space="0" w:color="auto"/>
              <w:left w:val="nil"/>
              <w:bottom w:val="single" w:sz="8" w:space="0" w:color="auto"/>
              <w:right w:val="nil"/>
            </w:tcBorders>
            <w:shd w:val="clear" w:color="auto" w:fill="auto"/>
            <w:noWrap/>
            <w:vAlign w:val="center"/>
            <w:hideMark/>
          </w:tcPr>
          <w:p w14:paraId="4D0F1D81" w14:textId="74E025A4"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562" w:type="dxa"/>
            <w:tcBorders>
              <w:top w:val="single" w:sz="8" w:space="0" w:color="auto"/>
              <w:left w:val="nil"/>
              <w:bottom w:val="single" w:sz="8" w:space="0" w:color="auto"/>
              <w:right w:val="single" w:sz="8" w:space="0" w:color="auto"/>
            </w:tcBorders>
            <w:shd w:val="clear" w:color="auto" w:fill="auto"/>
            <w:noWrap/>
            <w:vAlign w:val="center"/>
            <w:hideMark/>
          </w:tcPr>
          <w:p w14:paraId="57EBAE1C" w14:textId="5610F86B"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r>
      <w:tr w:rsidR="0050536F" w:rsidRPr="0002516A" w14:paraId="176A4682" w14:textId="77777777" w:rsidTr="00F6470A">
        <w:trPr>
          <w:trHeight w:val="255"/>
        </w:trPr>
        <w:tc>
          <w:tcPr>
            <w:tcW w:w="1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9EBB32" w14:textId="77777777"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D</w:t>
            </w:r>
          </w:p>
        </w:tc>
        <w:tc>
          <w:tcPr>
            <w:tcW w:w="1562" w:type="dxa"/>
            <w:tcBorders>
              <w:top w:val="single" w:sz="8" w:space="0" w:color="auto"/>
              <w:left w:val="nil"/>
              <w:bottom w:val="single" w:sz="8" w:space="0" w:color="auto"/>
              <w:right w:val="nil"/>
            </w:tcBorders>
            <w:shd w:val="clear" w:color="auto" w:fill="auto"/>
            <w:noWrap/>
            <w:vAlign w:val="center"/>
            <w:hideMark/>
          </w:tcPr>
          <w:p w14:paraId="68805829" w14:textId="6416F3D1"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w:t>
            </w:r>
          </w:p>
        </w:tc>
        <w:tc>
          <w:tcPr>
            <w:tcW w:w="1562" w:type="dxa"/>
            <w:tcBorders>
              <w:top w:val="single" w:sz="8" w:space="0" w:color="auto"/>
              <w:left w:val="nil"/>
              <w:bottom w:val="single" w:sz="8" w:space="0" w:color="auto"/>
              <w:right w:val="nil"/>
            </w:tcBorders>
            <w:shd w:val="clear" w:color="auto" w:fill="auto"/>
            <w:noWrap/>
            <w:vAlign w:val="center"/>
            <w:hideMark/>
          </w:tcPr>
          <w:p w14:paraId="1EC3056C" w14:textId="5F9475AF"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1562" w:type="dxa"/>
            <w:tcBorders>
              <w:top w:val="single" w:sz="8" w:space="0" w:color="auto"/>
              <w:left w:val="nil"/>
              <w:bottom w:val="single" w:sz="8" w:space="0" w:color="auto"/>
              <w:right w:val="single" w:sz="4" w:space="0" w:color="auto"/>
            </w:tcBorders>
            <w:shd w:val="clear" w:color="auto" w:fill="auto"/>
            <w:noWrap/>
            <w:vAlign w:val="center"/>
            <w:hideMark/>
          </w:tcPr>
          <w:p w14:paraId="3AB3C29F" w14:textId="5D73B5D4"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-1.84%</w:t>
            </w:r>
          </w:p>
        </w:tc>
        <w:tc>
          <w:tcPr>
            <w:tcW w:w="1562" w:type="dxa"/>
            <w:tcBorders>
              <w:top w:val="single" w:sz="8" w:space="0" w:color="auto"/>
              <w:left w:val="nil"/>
              <w:bottom w:val="single" w:sz="8" w:space="0" w:color="auto"/>
              <w:right w:val="nil"/>
            </w:tcBorders>
            <w:shd w:val="clear" w:color="auto" w:fill="auto"/>
            <w:noWrap/>
            <w:vAlign w:val="center"/>
            <w:hideMark/>
          </w:tcPr>
          <w:p w14:paraId="1D3E250E" w14:textId="3B137E80"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562" w:type="dxa"/>
            <w:tcBorders>
              <w:top w:val="single" w:sz="8" w:space="0" w:color="auto"/>
              <w:left w:val="nil"/>
              <w:bottom w:val="single" w:sz="8" w:space="0" w:color="auto"/>
              <w:right w:val="single" w:sz="8" w:space="0" w:color="auto"/>
            </w:tcBorders>
            <w:shd w:val="clear" w:color="auto" w:fill="auto"/>
            <w:noWrap/>
            <w:vAlign w:val="center"/>
            <w:hideMark/>
          </w:tcPr>
          <w:p w14:paraId="74205503" w14:textId="75E8D155" w:rsidR="0050536F" w:rsidRPr="0002516A"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r>
    </w:tbl>
    <w:p w14:paraId="631FAAC9" w14:textId="77777777" w:rsidR="0071649A" w:rsidRDefault="0071649A" w:rsidP="0071649A">
      <w:pPr>
        <w:rPr>
          <w:lang w:val="en-CA"/>
        </w:rPr>
      </w:pPr>
    </w:p>
    <w:p w14:paraId="50E7DEC0" w14:textId="77777777" w:rsidR="0071649A" w:rsidRDefault="0071649A" w:rsidP="0071649A">
      <w:pPr>
        <w:rPr>
          <w:lang w:val="en-CA"/>
        </w:rPr>
      </w:pPr>
      <w:r>
        <w:rPr>
          <w:lang w:val="en-CA"/>
        </w:rPr>
        <w:t>Additionally, one complementary compa</w:t>
      </w:r>
      <w:r w:rsidRPr="00984326">
        <w:rPr>
          <w:lang w:val="en-CA"/>
        </w:rPr>
        <w:t>rison is provided i</w:t>
      </w:r>
      <w:r>
        <w:rPr>
          <w:lang w:val="en-CA"/>
        </w:rPr>
        <w:t xml:space="preserve">n </w:t>
      </w:r>
      <w:r w:rsidRPr="00984326">
        <w:rPr>
          <w:lang w:val="en-CA"/>
        </w:rPr>
        <w:fldChar w:fldCharType="begin"/>
      </w:r>
      <w:r w:rsidRPr="00984326">
        <w:rPr>
          <w:lang w:val="en-CA"/>
        </w:rPr>
        <w:instrText xml:space="preserve"> REF _Ref518305586 \h  \* MERGEFORMAT </w:instrText>
      </w:r>
      <w:r w:rsidRPr="00984326">
        <w:rPr>
          <w:lang w:val="en-CA"/>
        </w:rPr>
      </w:r>
      <w:r w:rsidRPr="00984326">
        <w:rPr>
          <w:lang w:val="en-CA"/>
        </w:rPr>
        <w:fldChar w:fldCharType="separate"/>
      </w:r>
      <w:r w:rsidRPr="00984326">
        <w:rPr>
          <w:szCs w:val="22"/>
        </w:rPr>
        <w:t xml:space="preserve">Table </w:t>
      </w:r>
      <w:r w:rsidRPr="00984326">
        <w:rPr>
          <w:noProof/>
          <w:szCs w:val="22"/>
        </w:rPr>
        <w:t>2</w:t>
      </w:r>
      <w:r w:rsidRPr="00984326">
        <w:rPr>
          <w:lang w:val="en-CA"/>
        </w:rPr>
        <w:fldChar w:fldCharType="end"/>
      </w:r>
      <w:r>
        <w:rPr>
          <w:lang w:val="en-CA"/>
        </w:rPr>
        <w:t xml:space="preserve"> where the results of the proposed method is compared against the results of BMS-2.1rc1 with VTM config and DMVR being enabled.</w:t>
      </w:r>
    </w:p>
    <w:p w14:paraId="6A593DA5" w14:textId="77777777" w:rsidR="0071649A" w:rsidRDefault="0071649A" w:rsidP="0071649A">
      <w:pPr>
        <w:pStyle w:val="Caption"/>
        <w:spacing w:after="120"/>
        <w:jc w:val="center"/>
        <w:rPr>
          <w:b w:val="0"/>
          <w:sz w:val="22"/>
          <w:szCs w:val="22"/>
        </w:rPr>
      </w:pPr>
      <w:bookmarkStart w:id="4" w:name="_Ref518305586"/>
    </w:p>
    <w:p w14:paraId="7C9ED13C" w14:textId="77777777" w:rsidR="0071649A" w:rsidRDefault="0071649A" w:rsidP="0071649A">
      <w:pPr>
        <w:pStyle w:val="Caption"/>
        <w:spacing w:after="120"/>
        <w:jc w:val="center"/>
        <w:rPr>
          <w:b w:val="0"/>
          <w:sz w:val="22"/>
          <w:szCs w:val="22"/>
        </w:rPr>
      </w:pPr>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2</w:t>
      </w:r>
      <w:r w:rsidRPr="009E288D">
        <w:rPr>
          <w:b w:val="0"/>
          <w:sz w:val="22"/>
          <w:szCs w:val="22"/>
        </w:rPr>
        <w:fldChar w:fldCharType="end"/>
      </w:r>
      <w:bookmarkEnd w:id="4"/>
      <w:r>
        <w:rPr>
          <w:b w:val="0"/>
          <w:sz w:val="22"/>
          <w:szCs w:val="22"/>
        </w:rPr>
        <w:t xml:space="preserve"> The performance of the proposed DMVR method, compared to the results of BMS-2.1rc1 with VTM config and DMVR being enabled</w:t>
      </w:r>
    </w:p>
    <w:tbl>
      <w:tblPr>
        <w:tblW w:w="9350" w:type="dxa"/>
        <w:tblLayout w:type="fixed"/>
        <w:tblLook w:val="04A0" w:firstRow="1" w:lastRow="0" w:firstColumn="1" w:lastColumn="0" w:noHBand="0" w:noVBand="1"/>
      </w:tblPr>
      <w:tblGrid>
        <w:gridCol w:w="1451"/>
        <w:gridCol w:w="1579"/>
        <w:gridCol w:w="1580"/>
        <w:gridCol w:w="1580"/>
        <w:gridCol w:w="1580"/>
        <w:gridCol w:w="1580"/>
      </w:tblGrid>
      <w:tr w:rsidR="0071649A" w:rsidRPr="0002516A" w14:paraId="45FF92CF" w14:textId="77777777" w:rsidTr="00F6470A">
        <w:trPr>
          <w:trHeight w:val="255"/>
        </w:trPr>
        <w:tc>
          <w:tcPr>
            <w:tcW w:w="1451" w:type="dxa"/>
            <w:tcBorders>
              <w:top w:val="nil"/>
              <w:left w:val="nil"/>
              <w:bottom w:val="nil"/>
              <w:right w:val="nil"/>
            </w:tcBorders>
            <w:shd w:val="clear" w:color="auto" w:fill="auto"/>
            <w:noWrap/>
            <w:vAlign w:val="center"/>
            <w:hideMark/>
          </w:tcPr>
          <w:p w14:paraId="73CDD305"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9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255A22"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516A">
              <w:rPr>
                <w:rFonts w:ascii="Arial" w:hAnsi="Arial" w:cs="Arial"/>
                <w:b/>
                <w:bCs/>
                <w:color w:val="000000"/>
                <w:sz w:val="18"/>
                <w:szCs w:val="18"/>
              </w:rPr>
              <w:t>Random Access Main 10</w:t>
            </w:r>
          </w:p>
        </w:tc>
      </w:tr>
      <w:tr w:rsidR="0071649A" w:rsidRPr="0002516A" w14:paraId="0FAC0998" w14:textId="77777777" w:rsidTr="00F6470A">
        <w:trPr>
          <w:trHeight w:val="255"/>
        </w:trPr>
        <w:tc>
          <w:tcPr>
            <w:tcW w:w="1451" w:type="dxa"/>
            <w:tcBorders>
              <w:top w:val="nil"/>
              <w:left w:val="nil"/>
              <w:bottom w:val="nil"/>
              <w:right w:val="nil"/>
            </w:tcBorders>
            <w:shd w:val="clear" w:color="auto" w:fill="auto"/>
            <w:noWrap/>
            <w:vAlign w:val="center"/>
            <w:hideMark/>
          </w:tcPr>
          <w:p w14:paraId="78AFDB79"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9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83ADB7"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516A">
              <w:rPr>
                <w:rFonts w:ascii="Arial" w:hAnsi="Arial" w:cs="Arial"/>
                <w:b/>
                <w:bCs/>
                <w:color w:val="000000"/>
                <w:sz w:val="18"/>
                <w:szCs w:val="18"/>
              </w:rPr>
              <w:t>Over BMS-2.1rc1 - with VTM config</w:t>
            </w:r>
          </w:p>
        </w:tc>
      </w:tr>
      <w:tr w:rsidR="0071649A" w:rsidRPr="0002516A" w14:paraId="03F72970" w14:textId="77777777" w:rsidTr="00F6470A">
        <w:trPr>
          <w:trHeight w:val="255"/>
        </w:trPr>
        <w:tc>
          <w:tcPr>
            <w:tcW w:w="1451" w:type="dxa"/>
            <w:tcBorders>
              <w:top w:val="nil"/>
              <w:left w:val="nil"/>
              <w:bottom w:val="nil"/>
              <w:right w:val="nil"/>
            </w:tcBorders>
            <w:shd w:val="clear" w:color="auto" w:fill="auto"/>
            <w:noWrap/>
            <w:vAlign w:val="center"/>
            <w:hideMark/>
          </w:tcPr>
          <w:p w14:paraId="55F8C3F7"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579" w:type="dxa"/>
            <w:tcBorders>
              <w:top w:val="nil"/>
              <w:left w:val="single" w:sz="8" w:space="0" w:color="auto"/>
              <w:bottom w:val="single" w:sz="8" w:space="0" w:color="auto"/>
              <w:right w:val="nil"/>
            </w:tcBorders>
            <w:shd w:val="clear" w:color="auto" w:fill="auto"/>
            <w:noWrap/>
            <w:vAlign w:val="center"/>
            <w:hideMark/>
          </w:tcPr>
          <w:p w14:paraId="4382B9F7"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Y</w:t>
            </w:r>
          </w:p>
        </w:tc>
        <w:tc>
          <w:tcPr>
            <w:tcW w:w="1580" w:type="dxa"/>
            <w:tcBorders>
              <w:top w:val="nil"/>
              <w:left w:val="nil"/>
              <w:bottom w:val="single" w:sz="8" w:space="0" w:color="auto"/>
              <w:right w:val="nil"/>
            </w:tcBorders>
            <w:shd w:val="clear" w:color="auto" w:fill="auto"/>
            <w:noWrap/>
            <w:vAlign w:val="center"/>
            <w:hideMark/>
          </w:tcPr>
          <w:p w14:paraId="09250D67"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U</w:t>
            </w:r>
          </w:p>
        </w:tc>
        <w:tc>
          <w:tcPr>
            <w:tcW w:w="1580" w:type="dxa"/>
            <w:tcBorders>
              <w:top w:val="nil"/>
              <w:left w:val="nil"/>
              <w:bottom w:val="single" w:sz="8" w:space="0" w:color="auto"/>
              <w:right w:val="single" w:sz="4" w:space="0" w:color="auto"/>
            </w:tcBorders>
            <w:shd w:val="clear" w:color="auto" w:fill="auto"/>
            <w:noWrap/>
            <w:vAlign w:val="center"/>
            <w:hideMark/>
          </w:tcPr>
          <w:p w14:paraId="6D7FE5A2"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V</w:t>
            </w:r>
          </w:p>
        </w:tc>
        <w:tc>
          <w:tcPr>
            <w:tcW w:w="1580" w:type="dxa"/>
            <w:tcBorders>
              <w:top w:val="nil"/>
              <w:left w:val="nil"/>
              <w:bottom w:val="single" w:sz="8" w:space="0" w:color="auto"/>
              <w:right w:val="nil"/>
            </w:tcBorders>
            <w:shd w:val="clear" w:color="auto" w:fill="auto"/>
            <w:noWrap/>
            <w:vAlign w:val="center"/>
            <w:hideMark/>
          </w:tcPr>
          <w:p w14:paraId="5E99610D"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2516A">
              <w:rPr>
                <w:rFonts w:ascii="Arial" w:hAnsi="Arial" w:cs="Arial"/>
                <w:color w:val="000000"/>
                <w:sz w:val="18"/>
                <w:szCs w:val="18"/>
              </w:rPr>
              <w:t>EncT</w:t>
            </w:r>
            <w:proofErr w:type="spellEnd"/>
          </w:p>
        </w:tc>
        <w:tc>
          <w:tcPr>
            <w:tcW w:w="1580" w:type="dxa"/>
            <w:tcBorders>
              <w:top w:val="nil"/>
              <w:left w:val="nil"/>
              <w:bottom w:val="single" w:sz="8" w:space="0" w:color="auto"/>
              <w:right w:val="single" w:sz="8" w:space="0" w:color="auto"/>
            </w:tcBorders>
            <w:shd w:val="clear" w:color="auto" w:fill="auto"/>
            <w:noWrap/>
            <w:vAlign w:val="center"/>
            <w:hideMark/>
          </w:tcPr>
          <w:p w14:paraId="3D2D0A76" w14:textId="77777777" w:rsidR="0071649A" w:rsidRPr="0002516A"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2516A">
              <w:rPr>
                <w:rFonts w:ascii="Arial" w:hAnsi="Arial" w:cs="Arial"/>
                <w:color w:val="000000"/>
                <w:sz w:val="18"/>
                <w:szCs w:val="18"/>
              </w:rPr>
              <w:t>DecT</w:t>
            </w:r>
            <w:proofErr w:type="spellEnd"/>
          </w:p>
        </w:tc>
      </w:tr>
      <w:tr w:rsidR="00E75864" w:rsidRPr="0002516A" w14:paraId="2535C0BA" w14:textId="77777777" w:rsidTr="00F6470A">
        <w:trPr>
          <w:trHeight w:val="255"/>
        </w:trPr>
        <w:tc>
          <w:tcPr>
            <w:tcW w:w="1451" w:type="dxa"/>
            <w:tcBorders>
              <w:top w:val="single" w:sz="8" w:space="0" w:color="auto"/>
              <w:left w:val="single" w:sz="8" w:space="0" w:color="auto"/>
              <w:bottom w:val="nil"/>
              <w:right w:val="single" w:sz="8" w:space="0" w:color="auto"/>
            </w:tcBorders>
            <w:shd w:val="clear" w:color="auto" w:fill="auto"/>
            <w:noWrap/>
            <w:vAlign w:val="center"/>
            <w:hideMark/>
          </w:tcPr>
          <w:p w14:paraId="3BFD55A0" w14:textId="77777777"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A1</w:t>
            </w:r>
          </w:p>
        </w:tc>
        <w:tc>
          <w:tcPr>
            <w:tcW w:w="1579" w:type="dxa"/>
            <w:tcBorders>
              <w:top w:val="nil"/>
              <w:left w:val="nil"/>
              <w:bottom w:val="nil"/>
              <w:right w:val="nil"/>
            </w:tcBorders>
            <w:shd w:val="clear" w:color="auto" w:fill="auto"/>
            <w:noWrap/>
            <w:vAlign w:val="center"/>
            <w:hideMark/>
          </w:tcPr>
          <w:p w14:paraId="00CAADDA" w14:textId="7FB3AC1A"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580" w:type="dxa"/>
            <w:tcBorders>
              <w:top w:val="nil"/>
              <w:left w:val="nil"/>
              <w:bottom w:val="nil"/>
              <w:right w:val="nil"/>
            </w:tcBorders>
            <w:shd w:val="clear" w:color="auto" w:fill="auto"/>
            <w:noWrap/>
            <w:vAlign w:val="center"/>
            <w:hideMark/>
          </w:tcPr>
          <w:p w14:paraId="7A7C25AF" w14:textId="2ADE55F6"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580" w:type="dxa"/>
            <w:tcBorders>
              <w:top w:val="nil"/>
              <w:left w:val="nil"/>
              <w:bottom w:val="nil"/>
              <w:right w:val="single" w:sz="4" w:space="0" w:color="auto"/>
            </w:tcBorders>
            <w:shd w:val="clear" w:color="auto" w:fill="auto"/>
            <w:noWrap/>
            <w:vAlign w:val="center"/>
            <w:hideMark/>
          </w:tcPr>
          <w:p w14:paraId="07BEB233" w14:textId="2E94833A"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580" w:type="dxa"/>
            <w:tcBorders>
              <w:top w:val="nil"/>
              <w:left w:val="nil"/>
              <w:bottom w:val="nil"/>
              <w:right w:val="nil"/>
            </w:tcBorders>
            <w:shd w:val="clear" w:color="auto" w:fill="auto"/>
            <w:noWrap/>
            <w:vAlign w:val="center"/>
            <w:hideMark/>
          </w:tcPr>
          <w:p w14:paraId="39C704B4" w14:textId="127B1F24"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580" w:type="dxa"/>
            <w:tcBorders>
              <w:top w:val="nil"/>
              <w:left w:val="nil"/>
              <w:bottom w:val="nil"/>
              <w:right w:val="single" w:sz="8" w:space="0" w:color="auto"/>
            </w:tcBorders>
            <w:shd w:val="clear" w:color="auto" w:fill="auto"/>
            <w:noWrap/>
            <w:vAlign w:val="center"/>
            <w:hideMark/>
          </w:tcPr>
          <w:p w14:paraId="230C2D62" w14:textId="18665E1B"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75864" w:rsidRPr="0002516A" w14:paraId="682EA847" w14:textId="77777777" w:rsidTr="00F6470A">
        <w:trPr>
          <w:trHeight w:val="255"/>
        </w:trPr>
        <w:tc>
          <w:tcPr>
            <w:tcW w:w="1451" w:type="dxa"/>
            <w:tcBorders>
              <w:top w:val="nil"/>
              <w:left w:val="single" w:sz="8" w:space="0" w:color="auto"/>
              <w:bottom w:val="nil"/>
              <w:right w:val="single" w:sz="8" w:space="0" w:color="auto"/>
            </w:tcBorders>
            <w:shd w:val="clear" w:color="auto" w:fill="auto"/>
            <w:noWrap/>
            <w:vAlign w:val="center"/>
            <w:hideMark/>
          </w:tcPr>
          <w:p w14:paraId="1A2F54EC" w14:textId="77777777"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A2</w:t>
            </w:r>
          </w:p>
        </w:tc>
        <w:tc>
          <w:tcPr>
            <w:tcW w:w="1579" w:type="dxa"/>
            <w:tcBorders>
              <w:top w:val="nil"/>
              <w:left w:val="nil"/>
              <w:bottom w:val="nil"/>
              <w:right w:val="nil"/>
            </w:tcBorders>
            <w:shd w:val="clear" w:color="000000" w:fill="FFFFFF"/>
            <w:noWrap/>
            <w:vAlign w:val="center"/>
            <w:hideMark/>
          </w:tcPr>
          <w:p w14:paraId="24D9A1CD" w14:textId="2A34E3DD"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580" w:type="dxa"/>
            <w:tcBorders>
              <w:top w:val="nil"/>
              <w:left w:val="nil"/>
              <w:bottom w:val="nil"/>
              <w:right w:val="nil"/>
            </w:tcBorders>
            <w:shd w:val="clear" w:color="000000" w:fill="FFFFFF"/>
            <w:noWrap/>
            <w:vAlign w:val="center"/>
            <w:hideMark/>
          </w:tcPr>
          <w:p w14:paraId="4C20F490" w14:textId="4A1655A6"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580" w:type="dxa"/>
            <w:tcBorders>
              <w:top w:val="nil"/>
              <w:left w:val="nil"/>
              <w:bottom w:val="nil"/>
              <w:right w:val="single" w:sz="4" w:space="0" w:color="auto"/>
            </w:tcBorders>
            <w:shd w:val="clear" w:color="000000" w:fill="FFFFFF"/>
            <w:noWrap/>
            <w:vAlign w:val="center"/>
            <w:hideMark/>
          </w:tcPr>
          <w:p w14:paraId="27530FE8" w14:textId="55E09C44"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580" w:type="dxa"/>
            <w:tcBorders>
              <w:top w:val="nil"/>
              <w:left w:val="nil"/>
              <w:bottom w:val="nil"/>
              <w:right w:val="nil"/>
            </w:tcBorders>
            <w:shd w:val="clear" w:color="auto" w:fill="auto"/>
            <w:noWrap/>
            <w:vAlign w:val="center"/>
            <w:hideMark/>
          </w:tcPr>
          <w:p w14:paraId="3895F7B8" w14:textId="24D7CA2D"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580" w:type="dxa"/>
            <w:tcBorders>
              <w:top w:val="nil"/>
              <w:left w:val="nil"/>
              <w:bottom w:val="nil"/>
              <w:right w:val="single" w:sz="8" w:space="0" w:color="auto"/>
            </w:tcBorders>
            <w:shd w:val="clear" w:color="auto" w:fill="auto"/>
            <w:noWrap/>
            <w:vAlign w:val="center"/>
            <w:hideMark/>
          </w:tcPr>
          <w:p w14:paraId="6C4D2FC6" w14:textId="0573E24A"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75864" w:rsidRPr="0002516A" w14:paraId="5E3DD41B" w14:textId="77777777" w:rsidTr="00F6470A">
        <w:trPr>
          <w:trHeight w:val="255"/>
        </w:trPr>
        <w:tc>
          <w:tcPr>
            <w:tcW w:w="1451" w:type="dxa"/>
            <w:tcBorders>
              <w:top w:val="nil"/>
              <w:left w:val="single" w:sz="8" w:space="0" w:color="auto"/>
              <w:bottom w:val="nil"/>
              <w:right w:val="single" w:sz="8" w:space="0" w:color="auto"/>
            </w:tcBorders>
            <w:shd w:val="clear" w:color="auto" w:fill="auto"/>
            <w:noWrap/>
            <w:vAlign w:val="center"/>
            <w:hideMark/>
          </w:tcPr>
          <w:p w14:paraId="60FA949E" w14:textId="77777777"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B</w:t>
            </w:r>
          </w:p>
        </w:tc>
        <w:tc>
          <w:tcPr>
            <w:tcW w:w="1579" w:type="dxa"/>
            <w:tcBorders>
              <w:top w:val="nil"/>
              <w:left w:val="nil"/>
              <w:bottom w:val="nil"/>
              <w:right w:val="nil"/>
            </w:tcBorders>
            <w:shd w:val="clear" w:color="auto" w:fill="auto"/>
            <w:noWrap/>
            <w:vAlign w:val="center"/>
            <w:hideMark/>
          </w:tcPr>
          <w:p w14:paraId="08244FA9" w14:textId="49BCDE5D"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580" w:type="dxa"/>
            <w:tcBorders>
              <w:top w:val="nil"/>
              <w:left w:val="nil"/>
              <w:bottom w:val="nil"/>
              <w:right w:val="nil"/>
            </w:tcBorders>
            <w:shd w:val="clear" w:color="auto" w:fill="auto"/>
            <w:noWrap/>
            <w:vAlign w:val="center"/>
            <w:hideMark/>
          </w:tcPr>
          <w:p w14:paraId="7410CD33" w14:textId="6DAB7970"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580" w:type="dxa"/>
            <w:tcBorders>
              <w:top w:val="nil"/>
              <w:left w:val="nil"/>
              <w:bottom w:val="nil"/>
              <w:right w:val="single" w:sz="4" w:space="0" w:color="auto"/>
            </w:tcBorders>
            <w:shd w:val="clear" w:color="auto" w:fill="auto"/>
            <w:noWrap/>
            <w:vAlign w:val="center"/>
            <w:hideMark/>
          </w:tcPr>
          <w:p w14:paraId="439D1051" w14:textId="665EADDA"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580" w:type="dxa"/>
            <w:tcBorders>
              <w:top w:val="nil"/>
              <w:left w:val="nil"/>
              <w:bottom w:val="nil"/>
              <w:right w:val="nil"/>
            </w:tcBorders>
            <w:shd w:val="clear" w:color="auto" w:fill="auto"/>
            <w:noWrap/>
            <w:vAlign w:val="center"/>
            <w:hideMark/>
          </w:tcPr>
          <w:p w14:paraId="7B87D7C0" w14:textId="59408140"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580" w:type="dxa"/>
            <w:tcBorders>
              <w:top w:val="nil"/>
              <w:left w:val="nil"/>
              <w:bottom w:val="nil"/>
              <w:right w:val="single" w:sz="8" w:space="0" w:color="auto"/>
            </w:tcBorders>
            <w:shd w:val="clear" w:color="auto" w:fill="auto"/>
            <w:noWrap/>
            <w:vAlign w:val="center"/>
            <w:hideMark/>
          </w:tcPr>
          <w:p w14:paraId="256CE945" w14:textId="1AAB5429"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75864" w:rsidRPr="0002516A" w14:paraId="3C8D1B48" w14:textId="77777777" w:rsidTr="00F6470A">
        <w:trPr>
          <w:trHeight w:val="255"/>
        </w:trPr>
        <w:tc>
          <w:tcPr>
            <w:tcW w:w="1451" w:type="dxa"/>
            <w:tcBorders>
              <w:top w:val="nil"/>
              <w:left w:val="single" w:sz="8" w:space="0" w:color="auto"/>
              <w:bottom w:val="nil"/>
              <w:right w:val="single" w:sz="8" w:space="0" w:color="auto"/>
            </w:tcBorders>
            <w:shd w:val="clear" w:color="auto" w:fill="auto"/>
            <w:noWrap/>
            <w:vAlign w:val="center"/>
            <w:hideMark/>
          </w:tcPr>
          <w:p w14:paraId="04FEFA10" w14:textId="77777777"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C</w:t>
            </w:r>
          </w:p>
        </w:tc>
        <w:tc>
          <w:tcPr>
            <w:tcW w:w="1579" w:type="dxa"/>
            <w:tcBorders>
              <w:top w:val="nil"/>
              <w:left w:val="nil"/>
              <w:bottom w:val="nil"/>
              <w:right w:val="nil"/>
            </w:tcBorders>
            <w:shd w:val="clear" w:color="auto" w:fill="auto"/>
            <w:noWrap/>
            <w:vAlign w:val="center"/>
            <w:hideMark/>
          </w:tcPr>
          <w:p w14:paraId="44CBDAA7" w14:textId="39C86F8D"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580" w:type="dxa"/>
            <w:tcBorders>
              <w:top w:val="nil"/>
              <w:left w:val="nil"/>
              <w:bottom w:val="nil"/>
              <w:right w:val="nil"/>
            </w:tcBorders>
            <w:shd w:val="clear" w:color="auto" w:fill="auto"/>
            <w:noWrap/>
            <w:vAlign w:val="center"/>
            <w:hideMark/>
          </w:tcPr>
          <w:p w14:paraId="5B902443" w14:textId="596C5913"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580" w:type="dxa"/>
            <w:tcBorders>
              <w:top w:val="nil"/>
              <w:left w:val="nil"/>
              <w:bottom w:val="nil"/>
              <w:right w:val="single" w:sz="4" w:space="0" w:color="auto"/>
            </w:tcBorders>
            <w:shd w:val="clear" w:color="auto" w:fill="auto"/>
            <w:noWrap/>
            <w:vAlign w:val="center"/>
            <w:hideMark/>
          </w:tcPr>
          <w:p w14:paraId="43CC1840" w14:textId="2CA21A7A"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580" w:type="dxa"/>
            <w:tcBorders>
              <w:top w:val="nil"/>
              <w:left w:val="nil"/>
              <w:bottom w:val="nil"/>
              <w:right w:val="nil"/>
            </w:tcBorders>
            <w:shd w:val="clear" w:color="auto" w:fill="auto"/>
            <w:noWrap/>
            <w:vAlign w:val="center"/>
            <w:hideMark/>
          </w:tcPr>
          <w:p w14:paraId="07CB1709" w14:textId="61DE755D"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580" w:type="dxa"/>
            <w:tcBorders>
              <w:top w:val="nil"/>
              <w:left w:val="nil"/>
              <w:bottom w:val="nil"/>
              <w:right w:val="single" w:sz="8" w:space="0" w:color="auto"/>
            </w:tcBorders>
            <w:shd w:val="clear" w:color="auto" w:fill="auto"/>
            <w:noWrap/>
            <w:vAlign w:val="center"/>
            <w:hideMark/>
          </w:tcPr>
          <w:p w14:paraId="153F6833" w14:textId="2E494FB9"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75864" w:rsidRPr="0002516A" w14:paraId="0F088E56" w14:textId="77777777" w:rsidTr="00F6470A">
        <w:trPr>
          <w:trHeight w:val="255"/>
        </w:trPr>
        <w:tc>
          <w:tcPr>
            <w:tcW w:w="1451" w:type="dxa"/>
            <w:tcBorders>
              <w:top w:val="nil"/>
              <w:left w:val="single" w:sz="8" w:space="0" w:color="auto"/>
              <w:bottom w:val="nil"/>
              <w:right w:val="single" w:sz="8" w:space="0" w:color="auto"/>
            </w:tcBorders>
            <w:shd w:val="clear" w:color="auto" w:fill="auto"/>
            <w:noWrap/>
            <w:vAlign w:val="center"/>
            <w:hideMark/>
          </w:tcPr>
          <w:p w14:paraId="0C5C8030" w14:textId="77777777"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E</w:t>
            </w:r>
          </w:p>
        </w:tc>
        <w:tc>
          <w:tcPr>
            <w:tcW w:w="1579" w:type="dxa"/>
            <w:tcBorders>
              <w:top w:val="nil"/>
              <w:left w:val="nil"/>
              <w:bottom w:val="nil"/>
              <w:right w:val="nil"/>
            </w:tcBorders>
            <w:shd w:val="clear" w:color="auto" w:fill="auto"/>
            <w:noWrap/>
            <w:vAlign w:val="center"/>
            <w:hideMark/>
          </w:tcPr>
          <w:p w14:paraId="53AE5B8C" w14:textId="4D842501"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0" w:type="dxa"/>
            <w:tcBorders>
              <w:top w:val="nil"/>
              <w:left w:val="nil"/>
              <w:bottom w:val="nil"/>
              <w:right w:val="nil"/>
            </w:tcBorders>
            <w:shd w:val="clear" w:color="auto" w:fill="auto"/>
            <w:noWrap/>
            <w:vAlign w:val="center"/>
            <w:hideMark/>
          </w:tcPr>
          <w:p w14:paraId="62FAE6D8" w14:textId="77777777"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80" w:type="dxa"/>
            <w:tcBorders>
              <w:top w:val="nil"/>
              <w:left w:val="nil"/>
              <w:bottom w:val="nil"/>
              <w:right w:val="single" w:sz="4" w:space="0" w:color="auto"/>
            </w:tcBorders>
            <w:shd w:val="clear" w:color="auto" w:fill="auto"/>
            <w:noWrap/>
            <w:vAlign w:val="center"/>
            <w:hideMark/>
          </w:tcPr>
          <w:p w14:paraId="4E76D644" w14:textId="618C6510"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0" w:type="dxa"/>
            <w:tcBorders>
              <w:top w:val="nil"/>
              <w:left w:val="nil"/>
              <w:bottom w:val="nil"/>
              <w:right w:val="nil"/>
            </w:tcBorders>
            <w:shd w:val="clear" w:color="auto" w:fill="auto"/>
            <w:noWrap/>
            <w:vAlign w:val="center"/>
            <w:hideMark/>
          </w:tcPr>
          <w:p w14:paraId="4006DAD3" w14:textId="620DFE83"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0" w:type="dxa"/>
            <w:tcBorders>
              <w:top w:val="nil"/>
              <w:left w:val="nil"/>
              <w:bottom w:val="nil"/>
              <w:right w:val="single" w:sz="8" w:space="0" w:color="auto"/>
            </w:tcBorders>
            <w:shd w:val="clear" w:color="auto" w:fill="auto"/>
            <w:noWrap/>
            <w:vAlign w:val="center"/>
            <w:hideMark/>
          </w:tcPr>
          <w:p w14:paraId="6205AE9C" w14:textId="4DE9D06A"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E75864" w:rsidRPr="0002516A" w14:paraId="1F38AC8D" w14:textId="77777777" w:rsidTr="00F6470A">
        <w:trPr>
          <w:trHeight w:val="255"/>
        </w:trPr>
        <w:tc>
          <w:tcPr>
            <w:tcW w:w="14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492FCA" w14:textId="77777777"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516A">
              <w:rPr>
                <w:rFonts w:ascii="Arial" w:hAnsi="Arial" w:cs="Arial"/>
                <w:b/>
                <w:bCs/>
                <w:color w:val="000000"/>
                <w:sz w:val="18"/>
                <w:szCs w:val="18"/>
              </w:rPr>
              <w:t>Overall</w:t>
            </w:r>
          </w:p>
        </w:tc>
        <w:tc>
          <w:tcPr>
            <w:tcW w:w="1579" w:type="dxa"/>
            <w:tcBorders>
              <w:top w:val="single" w:sz="8" w:space="0" w:color="auto"/>
              <w:left w:val="nil"/>
              <w:bottom w:val="single" w:sz="8" w:space="0" w:color="auto"/>
              <w:right w:val="nil"/>
            </w:tcBorders>
            <w:shd w:val="clear" w:color="auto" w:fill="auto"/>
            <w:noWrap/>
            <w:vAlign w:val="center"/>
            <w:hideMark/>
          </w:tcPr>
          <w:p w14:paraId="50BB3B36" w14:textId="1DED50C5"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580" w:type="dxa"/>
            <w:tcBorders>
              <w:top w:val="single" w:sz="8" w:space="0" w:color="auto"/>
              <w:left w:val="nil"/>
              <w:bottom w:val="single" w:sz="8" w:space="0" w:color="auto"/>
              <w:right w:val="nil"/>
            </w:tcBorders>
            <w:shd w:val="clear" w:color="auto" w:fill="auto"/>
            <w:noWrap/>
            <w:vAlign w:val="center"/>
            <w:hideMark/>
          </w:tcPr>
          <w:p w14:paraId="39DB76DC" w14:textId="34405C60"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580" w:type="dxa"/>
            <w:tcBorders>
              <w:top w:val="single" w:sz="8" w:space="0" w:color="auto"/>
              <w:left w:val="nil"/>
              <w:bottom w:val="single" w:sz="8" w:space="0" w:color="auto"/>
              <w:right w:val="single" w:sz="4" w:space="0" w:color="auto"/>
            </w:tcBorders>
            <w:shd w:val="clear" w:color="auto" w:fill="auto"/>
            <w:noWrap/>
            <w:vAlign w:val="center"/>
            <w:hideMark/>
          </w:tcPr>
          <w:p w14:paraId="336BB382" w14:textId="24249B4E"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580" w:type="dxa"/>
            <w:tcBorders>
              <w:top w:val="single" w:sz="8" w:space="0" w:color="auto"/>
              <w:left w:val="nil"/>
              <w:bottom w:val="single" w:sz="8" w:space="0" w:color="auto"/>
              <w:right w:val="nil"/>
            </w:tcBorders>
            <w:shd w:val="clear" w:color="auto" w:fill="auto"/>
            <w:noWrap/>
            <w:vAlign w:val="center"/>
            <w:hideMark/>
          </w:tcPr>
          <w:p w14:paraId="45D2570C" w14:textId="2B66BD4E"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580" w:type="dxa"/>
            <w:tcBorders>
              <w:top w:val="single" w:sz="8" w:space="0" w:color="auto"/>
              <w:left w:val="nil"/>
              <w:bottom w:val="single" w:sz="8" w:space="0" w:color="auto"/>
              <w:right w:val="single" w:sz="8" w:space="0" w:color="auto"/>
            </w:tcBorders>
            <w:shd w:val="clear" w:color="auto" w:fill="auto"/>
            <w:noWrap/>
            <w:vAlign w:val="center"/>
            <w:hideMark/>
          </w:tcPr>
          <w:p w14:paraId="31623283" w14:textId="1F791522"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75864" w:rsidRPr="0002516A" w14:paraId="7100B0E7" w14:textId="77777777" w:rsidTr="00F6470A">
        <w:trPr>
          <w:trHeight w:val="255"/>
        </w:trPr>
        <w:tc>
          <w:tcPr>
            <w:tcW w:w="14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405258" w14:textId="77777777"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D</w:t>
            </w:r>
          </w:p>
        </w:tc>
        <w:tc>
          <w:tcPr>
            <w:tcW w:w="1579" w:type="dxa"/>
            <w:tcBorders>
              <w:top w:val="single" w:sz="8" w:space="0" w:color="auto"/>
              <w:left w:val="nil"/>
              <w:bottom w:val="single" w:sz="8" w:space="0" w:color="auto"/>
              <w:right w:val="nil"/>
            </w:tcBorders>
            <w:shd w:val="clear" w:color="auto" w:fill="auto"/>
            <w:noWrap/>
            <w:vAlign w:val="center"/>
            <w:hideMark/>
          </w:tcPr>
          <w:p w14:paraId="2AA3F1DB" w14:textId="032C6AE2"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580" w:type="dxa"/>
            <w:tcBorders>
              <w:top w:val="single" w:sz="8" w:space="0" w:color="auto"/>
              <w:left w:val="nil"/>
              <w:bottom w:val="single" w:sz="8" w:space="0" w:color="auto"/>
              <w:right w:val="nil"/>
            </w:tcBorders>
            <w:shd w:val="clear" w:color="auto" w:fill="auto"/>
            <w:noWrap/>
            <w:vAlign w:val="center"/>
            <w:hideMark/>
          </w:tcPr>
          <w:p w14:paraId="6E822A02" w14:textId="5A0D160C"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580" w:type="dxa"/>
            <w:tcBorders>
              <w:top w:val="single" w:sz="8" w:space="0" w:color="auto"/>
              <w:left w:val="nil"/>
              <w:bottom w:val="single" w:sz="8" w:space="0" w:color="auto"/>
              <w:right w:val="single" w:sz="4" w:space="0" w:color="auto"/>
            </w:tcBorders>
            <w:shd w:val="clear" w:color="auto" w:fill="auto"/>
            <w:noWrap/>
            <w:vAlign w:val="center"/>
            <w:hideMark/>
          </w:tcPr>
          <w:p w14:paraId="12928B8F" w14:textId="4313C22C"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580" w:type="dxa"/>
            <w:tcBorders>
              <w:top w:val="single" w:sz="8" w:space="0" w:color="auto"/>
              <w:left w:val="nil"/>
              <w:bottom w:val="single" w:sz="8" w:space="0" w:color="auto"/>
              <w:right w:val="nil"/>
            </w:tcBorders>
            <w:shd w:val="clear" w:color="auto" w:fill="auto"/>
            <w:noWrap/>
            <w:vAlign w:val="center"/>
            <w:hideMark/>
          </w:tcPr>
          <w:p w14:paraId="1B00B81B" w14:textId="680CED78"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580" w:type="dxa"/>
            <w:tcBorders>
              <w:top w:val="single" w:sz="8" w:space="0" w:color="auto"/>
              <w:left w:val="nil"/>
              <w:bottom w:val="single" w:sz="8" w:space="0" w:color="auto"/>
              <w:right w:val="single" w:sz="8" w:space="0" w:color="auto"/>
            </w:tcBorders>
            <w:shd w:val="clear" w:color="auto" w:fill="auto"/>
            <w:noWrap/>
            <w:vAlign w:val="center"/>
            <w:hideMark/>
          </w:tcPr>
          <w:p w14:paraId="05A39E68" w14:textId="52FF0C7A" w:rsidR="00E75864" w:rsidRPr="0002516A"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412F57B8" w14:textId="418B2164" w:rsidR="001F7168" w:rsidRDefault="001F7168" w:rsidP="00F32157">
      <w:pPr>
        <w:rPr>
          <w:lang w:val="en-CA"/>
        </w:rPr>
      </w:pPr>
    </w:p>
    <w:p w14:paraId="6D38DC6E" w14:textId="6183F141"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F54C4">
        <w:rPr>
          <w:lang w:val="en-CA"/>
        </w:rPr>
        <w:t>References</w:t>
      </w:r>
    </w:p>
    <w:p w14:paraId="7D27323B" w14:textId="77777777" w:rsidR="00F2745F" w:rsidRDefault="00F2745F">
      <w:pPr>
        <w:pStyle w:val="References"/>
        <w:jc w:val="both"/>
        <w:rPr>
          <w:sz w:val="22"/>
          <w:szCs w:val="22"/>
        </w:rPr>
      </w:pPr>
      <w:bookmarkStart w:id="5" w:name="_Ref525559501"/>
      <w:bookmarkStart w:id="6" w:name="_Ref516585053"/>
      <w:bookmarkStart w:id="7" w:name="_Ref518065912"/>
      <w:r w:rsidRPr="008B2E1E">
        <w:rPr>
          <w:sz w:val="22"/>
          <w:szCs w:val="22"/>
        </w:rPr>
        <w:t>X. Xiu, Y. He, Y. Ye, “CE9: Addressing the decoding latency issue for decoder-side motion vector refinement (DMVR)”, JVET-K0347, Ljubljana, Slovenia, 10–18 July 2018</w:t>
      </w:r>
      <w:r>
        <w:rPr>
          <w:sz w:val="22"/>
          <w:szCs w:val="22"/>
        </w:rPr>
        <w:t>.</w:t>
      </w:r>
      <w:bookmarkEnd w:id="5"/>
    </w:p>
    <w:p w14:paraId="7B09D0E7" w14:textId="77777777" w:rsidR="00F2745F" w:rsidRDefault="00860A4A">
      <w:pPr>
        <w:pStyle w:val="References"/>
        <w:jc w:val="both"/>
        <w:rPr>
          <w:sz w:val="22"/>
          <w:szCs w:val="22"/>
        </w:rPr>
      </w:pPr>
      <w:r w:rsidRPr="00F2745F">
        <w:rPr>
          <w:sz w:val="22"/>
          <w:szCs w:val="22"/>
        </w:rPr>
        <w:t xml:space="preserve">BMS-1.0 reference software, </w:t>
      </w:r>
      <w:hyperlink r:id="rId15" w:history="1">
        <w:r w:rsidRPr="00F2745F">
          <w:rPr>
            <w:rStyle w:val="Hyperlink"/>
            <w:sz w:val="22"/>
            <w:szCs w:val="22"/>
          </w:rPr>
          <w:t>https://jvet.hhi.fraunhofer.de/svn/svn_VVCSoftware_BMS/tags/BMS-1.0/</w:t>
        </w:r>
      </w:hyperlink>
      <w:bookmarkEnd w:id="6"/>
      <w:r w:rsidR="001F4BF6">
        <w:t>.</w:t>
      </w:r>
      <w:bookmarkStart w:id="8" w:name="_Ref518066334"/>
      <w:bookmarkEnd w:id="7"/>
      <w:r w:rsidR="00F2745F" w:rsidRPr="00F2745F">
        <w:rPr>
          <w:sz w:val="22"/>
          <w:szCs w:val="22"/>
        </w:rPr>
        <w:t xml:space="preserve"> </w:t>
      </w:r>
    </w:p>
    <w:p w14:paraId="38084D8D" w14:textId="340A8FC9" w:rsidR="00290762" w:rsidRPr="00F2745F" w:rsidRDefault="00F2745F">
      <w:pPr>
        <w:pStyle w:val="References"/>
        <w:jc w:val="both"/>
        <w:rPr>
          <w:sz w:val="22"/>
          <w:szCs w:val="22"/>
        </w:rPr>
      </w:pPr>
      <w:bookmarkStart w:id="9" w:name="_Ref525588596"/>
      <w:r w:rsidRPr="00C7451E">
        <w:rPr>
          <w:sz w:val="22"/>
          <w:szCs w:val="22"/>
        </w:rPr>
        <w:t xml:space="preserve">BMS2.1rc1 reference software, </w:t>
      </w:r>
      <w:hyperlink r:id="rId16" w:history="1">
        <w:r w:rsidRPr="00C7451E">
          <w:rPr>
            <w:rStyle w:val="Hyperlink"/>
            <w:sz w:val="22"/>
            <w:szCs w:val="22"/>
          </w:rPr>
          <w:t>https://vcgit.hhi.fraunhofer.de/jvet/VVCSoftware_BMS/tags/BMS-2.1rc1</w:t>
        </w:r>
      </w:hyperlink>
      <w:bookmarkEnd w:id="9"/>
    </w:p>
    <w:p w14:paraId="103C7F60" w14:textId="33BCFFF1" w:rsidR="00126FDC" w:rsidRPr="005C1D23" w:rsidRDefault="001B4A34" w:rsidP="00290762">
      <w:pPr>
        <w:pStyle w:val="References"/>
        <w:jc w:val="both"/>
        <w:rPr>
          <w:sz w:val="22"/>
          <w:szCs w:val="22"/>
        </w:rPr>
      </w:pPr>
      <w:bookmarkStart w:id="10" w:name="_Ref518162436"/>
      <w:r>
        <w:rPr>
          <w:sz w:val="22"/>
          <w:szCs w:val="22"/>
        </w:rPr>
        <w:t>S. Esenlik, Y.-W. Chen, F. Chen</w:t>
      </w:r>
      <w:r w:rsidRPr="005C1D23">
        <w:rPr>
          <w:sz w:val="22"/>
          <w:szCs w:val="22"/>
        </w:rPr>
        <w:t xml:space="preserve">, “Description of Core Experiment </w:t>
      </w:r>
      <w:r>
        <w:rPr>
          <w:sz w:val="22"/>
          <w:szCs w:val="22"/>
        </w:rPr>
        <w:t>9</w:t>
      </w:r>
      <w:r w:rsidRPr="005C1D23">
        <w:rPr>
          <w:sz w:val="22"/>
          <w:szCs w:val="22"/>
        </w:rPr>
        <w:t xml:space="preserve"> (CE</w:t>
      </w:r>
      <w:r>
        <w:rPr>
          <w:sz w:val="22"/>
          <w:szCs w:val="22"/>
        </w:rPr>
        <w:t>9</w:t>
      </w:r>
      <w:r w:rsidRPr="005C1D23">
        <w:rPr>
          <w:sz w:val="22"/>
          <w:szCs w:val="22"/>
        </w:rPr>
        <w:t xml:space="preserve">): </w:t>
      </w:r>
      <w:r>
        <w:rPr>
          <w:sz w:val="22"/>
          <w:szCs w:val="22"/>
        </w:rPr>
        <w:t>Decoder-side motion vector derivation</w:t>
      </w:r>
      <w:r w:rsidRPr="005C1D23">
        <w:rPr>
          <w:sz w:val="22"/>
          <w:szCs w:val="22"/>
        </w:rPr>
        <w:t>”, JVET-</w:t>
      </w:r>
      <w:r>
        <w:rPr>
          <w:sz w:val="22"/>
          <w:szCs w:val="22"/>
        </w:rPr>
        <w:t>K</w:t>
      </w:r>
      <w:r w:rsidRPr="005C1D23">
        <w:rPr>
          <w:sz w:val="22"/>
          <w:szCs w:val="22"/>
        </w:rPr>
        <w:t>102</w:t>
      </w:r>
      <w:r>
        <w:rPr>
          <w:sz w:val="22"/>
          <w:szCs w:val="22"/>
        </w:rPr>
        <w:t>9</w:t>
      </w:r>
      <w:r w:rsidRPr="005C1D23">
        <w:rPr>
          <w:sz w:val="22"/>
          <w:szCs w:val="22"/>
        </w:rPr>
        <w:t>,</w:t>
      </w:r>
      <w:r>
        <w:rPr>
          <w:sz w:val="22"/>
          <w:szCs w:val="22"/>
        </w:rPr>
        <w:t xml:space="preserve"> July</w:t>
      </w:r>
      <w:r w:rsidRPr="005C1D23">
        <w:rPr>
          <w:sz w:val="22"/>
          <w:szCs w:val="22"/>
        </w:rPr>
        <w:t xml:space="preserve"> 2018, </w:t>
      </w:r>
      <w:r>
        <w:rPr>
          <w:sz w:val="22"/>
          <w:szCs w:val="22"/>
        </w:rPr>
        <w:t>Ljubljana, Slovenia</w:t>
      </w:r>
      <w:r w:rsidRPr="005C1D23">
        <w:rPr>
          <w:sz w:val="22"/>
          <w:szCs w:val="22"/>
        </w:rPr>
        <w:t>.</w:t>
      </w:r>
      <w:bookmarkEnd w:id="8"/>
      <w:bookmarkEnd w:id="1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proofErr w:type="spellStart"/>
      <w:r>
        <w:rPr>
          <w:b/>
          <w:szCs w:val="22"/>
          <w:lang w:val="en-CA"/>
        </w:rPr>
        <w:t>InterDigital</w:t>
      </w:r>
      <w:proofErr w:type="spellEnd"/>
      <w:r>
        <w:rPr>
          <w:b/>
          <w:szCs w:val="22"/>
          <w:lang w:val="en-CA"/>
        </w:rPr>
        <w:t xml:space="preserve">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E4062C">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C4341" w14:textId="77777777" w:rsidR="002A7546" w:rsidRDefault="002A7546">
      <w:r>
        <w:separator/>
      </w:r>
    </w:p>
  </w:endnote>
  <w:endnote w:type="continuationSeparator" w:id="0">
    <w:p w14:paraId="42FA2316" w14:textId="77777777" w:rsidR="002A7546" w:rsidRDefault="002A7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script"/>
    <w:pitch w:val="fixed"/>
    <w:sig w:usb0="00000000"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34B44B" w:rsidR="00E3020B" w:rsidRPr="00C00DDE" w:rsidRDefault="00E3020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01F72">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0536F">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8C643" w14:textId="77777777" w:rsidR="002A7546" w:rsidRDefault="002A7546">
      <w:r>
        <w:separator/>
      </w:r>
    </w:p>
  </w:footnote>
  <w:footnote w:type="continuationSeparator" w:id="0">
    <w:p w14:paraId="32600274" w14:textId="77777777" w:rsidR="002A7546" w:rsidRDefault="002A75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 w:numId="15">
    <w:abstractNumId w:val="14"/>
  </w:num>
  <w:num w:numId="16">
    <w:abstractNumId w:val="15"/>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7B6"/>
    <w:rsid w:val="00004EFE"/>
    <w:rsid w:val="0002221A"/>
    <w:rsid w:val="000308A3"/>
    <w:rsid w:val="0004166D"/>
    <w:rsid w:val="000458BC"/>
    <w:rsid w:val="00045C41"/>
    <w:rsid w:val="00046C03"/>
    <w:rsid w:val="000517D9"/>
    <w:rsid w:val="00051F7D"/>
    <w:rsid w:val="00065039"/>
    <w:rsid w:val="00066A03"/>
    <w:rsid w:val="00074F19"/>
    <w:rsid w:val="0007614F"/>
    <w:rsid w:val="00086ABF"/>
    <w:rsid w:val="000954C7"/>
    <w:rsid w:val="000B0751"/>
    <w:rsid w:val="000B0C0F"/>
    <w:rsid w:val="000B1C6B"/>
    <w:rsid w:val="000B24E1"/>
    <w:rsid w:val="000B3937"/>
    <w:rsid w:val="000B4FF9"/>
    <w:rsid w:val="000C09AC"/>
    <w:rsid w:val="000C6443"/>
    <w:rsid w:val="000D2703"/>
    <w:rsid w:val="000E00F3"/>
    <w:rsid w:val="000F0FD1"/>
    <w:rsid w:val="000F158C"/>
    <w:rsid w:val="000F6AF0"/>
    <w:rsid w:val="00102F3D"/>
    <w:rsid w:val="00104966"/>
    <w:rsid w:val="0010683D"/>
    <w:rsid w:val="00113CD4"/>
    <w:rsid w:val="00117343"/>
    <w:rsid w:val="001237AE"/>
    <w:rsid w:val="00124E38"/>
    <w:rsid w:val="0012580B"/>
    <w:rsid w:val="00126FDC"/>
    <w:rsid w:val="00131F90"/>
    <w:rsid w:val="0013458C"/>
    <w:rsid w:val="0013526E"/>
    <w:rsid w:val="00146152"/>
    <w:rsid w:val="00150C94"/>
    <w:rsid w:val="00155526"/>
    <w:rsid w:val="00161849"/>
    <w:rsid w:val="001669FC"/>
    <w:rsid w:val="0016719C"/>
    <w:rsid w:val="00167E3C"/>
    <w:rsid w:val="00171371"/>
    <w:rsid w:val="00175A24"/>
    <w:rsid w:val="00177E15"/>
    <w:rsid w:val="00181229"/>
    <w:rsid w:val="00187E58"/>
    <w:rsid w:val="001A297E"/>
    <w:rsid w:val="001A368E"/>
    <w:rsid w:val="001A7329"/>
    <w:rsid w:val="001A7714"/>
    <w:rsid w:val="001A792F"/>
    <w:rsid w:val="001B1F95"/>
    <w:rsid w:val="001B4A34"/>
    <w:rsid w:val="001B4E28"/>
    <w:rsid w:val="001C2A61"/>
    <w:rsid w:val="001C3525"/>
    <w:rsid w:val="001C3AFB"/>
    <w:rsid w:val="001D1BD2"/>
    <w:rsid w:val="001D7D70"/>
    <w:rsid w:val="001D7DF2"/>
    <w:rsid w:val="001E0248"/>
    <w:rsid w:val="001E02BE"/>
    <w:rsid w:val="001E3B37"/>
    <w:rsid w:val="001F2594"/>
    <w:rsid w:val="001F31F5"/>
    <w:rsid w:val="001F4BF6"/>
    <w:rsid w:val="001F7168"/>
    <w:rsid w:val="002055A6"/>
    <w:rsid w:val="00206460"/>
    <w:rsid w:val="002069B4"/>
    <w:rsid w:val="00211AC0"/>
    <w:rsid w:val="00215DFC"/>
    <w:rsid w:val="0022069A"/>
    <w:rsid w:val="002212DF"/>
    <w:rsid w:val="00222CD4"/>
    <w:rsid w:val="00225016"/>
    <w:rsid w:val="00225A6A"/>
    <w:rsid w:val="002264A6"/>
    <w:rsid w:val="00227BA7"/>
    <w:rsid w:val="0023011C"/>
    <w:rsid w:val="00230214"/>
    <w:rsid w:val="00232859"/>
    <w:rsid w:val="002375C1"/>
    <w:rsid w:val="00247C05"/>
    <w:rsid w:val="00256931"/>
    <w:rsid w:val="00257C4C"/>
    <w:rsid w:val="00263398"/>
    <w:rsid w:val="00266F06"/>
    <w:rsid w:val="00275BCF"/>
    <w:rsid w:val="002760E2"/>
    <w:rsid w:val="00277B2B"/>
    <w:rsid w:val="00281D4E"/>
    <w:rsid w:val="0028273A"/>
    <w:rsid w:val="0028788F"/>
    <w:rsid w:val="00290762"/>
    <w:rsid w:val="00291E36"/>
    <w:rsid w:val="00292257"/>
    <w:rsid w:val="002923DE"/>
    <w:rsid w:val="0029714B"/>
    <w:rsid w:val="002A384A"/>
    <w:rsid w:val="002A54E0"/>
    <w:rsid w:val="002A7546"/>
    <w:rsid w:val="002B1595"/>
    <w:rsid w:val="002B191D"/>
    <w:rsid w:val="002C092D"/>
    <w:rsid w:val="002C2B2C"/>
    <w:rsid w:val="002C6ED4"/>
    <w:rsid w:val="002D0AF6"/>
    <w:rsid w:val="002D2975"/>
    <w:rsid w:val="002D6B77"/>
    <w:rsid w:val="002E1CD0"/>
    <w:rsid w:val="002F164D"/>
    <w:rsid w:val="003021BC"/>
    <w:rsid w:val="00306206"/>
    <w:rsid w:val="00311F8C"/>
    <w:rsid w:val="003125B2"/>
    <w:rsid w:val="00317D85"/>
    <w:rsid w:val="00327C56"/>
    <w:rsid w:val="003315A1"/>
    <w:rsid w:val="00335492"/>
    <w:rsid w:val="003373EC"/>
    <w:rsid w:val="00342FF4"/>
    <w:rsid w:val="00345BAE"/>
    <w:rsid w:val="00346148"/>
    <w:rsid w:val="0034746D"/>
    <w:rsid w:val="00347E2C"/>
    <w:rsid w:val="0035044E"/>
    <w:rsid w:val="00350ACA"/>
    <w:rsid w:val="00353BA5"/>
    <w:rsid w:val="00354E1D"/>
    <w:rsid w:val="00365B88"/>
    <w:rsid w:val="003669EA"/>
    <w:rsid w:val="003706CC"/>
    <w:rsid w:val="00377710"/>
    <w:rsid w:val="003979A1"/>
    <w:rsid w:val="003A1D22"/>
    <w:rsid w:val="003A2D8E"/>
    <w:rsid w:val="003A7CE6"/>
    <w:rsid w:val="003B7CED"/>
    <w:rsid w:val="003C20E4"/>
    <w:rsid w:val="003C294A"/>
    <w:rsid w:val="003C4E04"/>
    <w:rsid w:val="003C6308"/>
    <w:rsid w:val="003D1CF1"/>
    <w:rsid w:val="003D4D1C"/>
    <w:rsid w:val="003D6342"/>
    <w:rsid w:val="003D6CB9"/>
    <w:rsid w:val="003D7410"/>
    <w:rsid w:val="003E5473"/>
    <w:rsid w:val="003E6F90"/>
    <w:rsid w:val="003E73ED"/>
    <w:rsid w:val="003F2A73"/>
    <w:rsid w:val="003F5D0F"/>
    <w:rsid w:val="00412CDC"/>
    <w:rsid w:val="00414101"/>
    <w:rsid w:val="00414B92"/>
    <w:rsid w:val="004166D8"/>
    <w:rsid w:val="004219CF"/>
    <w:rsid w:val="004234F0"/>
    <w:rsid w:val="00433DDB"/>
    <w:rsid w:val="00435A29"/>
    <w:rsid w:val="00437619"/>
    <w:rsid w:val="0044200D"/>
    <w:rsid w:val="00446616"/>
    <w:rsid w:val="00447479"/>
    <w:rsid w:val="00461532"/>
    <w:rsid w:val="00465A1E"/>
    <w:rsid w:val="0048528A"/>
    <w:rsid w:val="00497CF6"/>
    <w:rsid w:val="004A0EAE"/>
    <w:rsid w:val="004A2A63"/>
    <w:rsid w:val="004A59E6"/>
    <w:rsid w:val="004B210C"/>
    <w:rsid w:val="004B5CE9"/>
    <w:rsid w:val="004D090F"/>
    <w:rsid w:val="004D405F"/>
    <w:rsid w:val="004E4F4F"/>
    <w:rsid w:val="004E6789"/>
    <w:rsid w:val="004F04D8"/>
    <w:rsid w:val="004F61E3"/>
    <w:rsid w:val="00502E10"/>
    <w:rsid w:val="0050536F"/>
    <w:rsid w:val="0051015C"/>
    <w:rsid w:val="005130D0"/>
    <w:rsid w:val="00516CF1"/>
    <w:rsid w:val="00522F18"/>
    <w:rsid w:val="00525884"/>
    <w:rsid w:val="00531AE9"/>
    <w:rsid w:val="00533DDF"/>
    <w:rsid w:val="005379D0"/>
    <w:rsid w:val="005405B4"/>
    <w:rsid w:val="00550A66"/>
    <w:rsid w:val="00554F68"/>
    <w:rsid w:val="00557458"/>
    <w:rsid w:val="0056296C"/>
    <w:rsid w:val="005662A0"/>
    <w:rsid w:val="00567EC7"/>
    <w:rsid w:val="00570013"/>
    <w:rsid w:val="005755A9"/>
    <w:rsid w:val="005801A2"/>
    <w:rsid w:val="0058131C"/>
    <w:rsid w:val="0058568D"/>
    <w:rsid w:val="005952A5"/>
    <w:rsid w:val="005972FB"/>
    <w:rsid w:val="0059789E"/>
    <w:rsid w:val="005A33A1"/>
    <w:rsid w:val="005B0C9B"/>
    <w:rsid w:val="005B217D"/>
    <w:rsid w:val="005B3B57"/>
    <w:rsid w:val="005C1D23"/>
    <w:rsid w:val="005C385F"/>
    <w:rsid w:val="005C6720"/>
    <w:rsid w:val="005D63AD"/>
    <w:rsid w:val="005E1AC6"/>
    <w:rsid w:val="005E1EB7"/>
    <w:rsid w:val="005E7402"/>
    <w:rsid w:val="005F6F1B"/>
    <w:rsid w:val="00601F72"/>
    <w:rsid w:val="00615995"/>
    <w:rsid w:val="00615DF9"/>
    <w:rsid w:val="00616155"/>
    <w:rsid w:val="00624B33"/>
    <w:rsid w:val="0063041A"/>
    <w:rsid w:val="00630AA2"/>
    <w:rsid w:val="00635088"/>
    <w:rsid w:val="00640FA0"/>
    <w:rsid w:val="00646707"/>
    <w:rsid w:val="00657F7E"/>
    <w:rsid w:val="00662E58"/>
    <w:rsid w:val="00663170"/>
    <w:rsid w:val="006637F2"/>
    <w:rsid w:val="0066391E"/>
    <w:rsid w:val="006642A5"/>
    <w:rsid w:val="00664DCF"/>
    <w:rsid w:val="00670C20"/>
    <w:rsid w:val="00677811"/>
    <w:rsid w:val="00677BBE"/>
    <w:rsid w:val="0068107F"/>
    <w:rsid w:val="00697868"/>
    <w:rsid w:val="006A43B2"/>
    <w:rsid w:val="006B36A7"/>
    <w:rsid w:val="006C1403"/>
    <w:rsid w:val="006C5D39"/>
    <w:rsid w:val="006D6D9B"/>
    <w:rsid w:val="006E2810"/>
    <w:rsid w:val="006E5417"/>
    <w:rsid w:val="006F0794"/>
    <w:rsid w:val="007023DE"/>
    <w:rsid w:val="00702FCE"/>
    <w:rsid w:val="00712F60"/>
    <w:rsid w:val="00713BDD"/>
    <w:rsid w:val="0071649A"/>
    <w:rsid w:val="00720E3B"/>
    <w:rsid w:val="00722DC4"/>
    <w:rsid w:val="00736B10"/>
    <w:rsid w:val="0074393F"/>
    <w:rsid w:val="00745F6B"/>
    <w:rsid w:val="0075220E"/>
    <w:rsid w:val="00753B94"/>
    <w:rsid w:val="007540A9"/>
    <w:rsid w:val="0075585E"/>
    <w:rsid w:val="007650EB"/>
    <w:rsid w:val="00765BB3"/>
    <w:rsid w:val="00770571"/>
    <w:rsid w:val="007768FF"/>
    <w:rsid w:val="007824D3"/>
    <w:rsid w:val="007833CA"/>
    <w:rsid w:val="0078587F"/>
    <w:rsid w:val="00786770"/>
    <w:rsid w:val="00794171"/>
    <w:rsid w:val="00796957"/>
    <w:rsid w:val="00796EE3"/>
    <w:rsid w:val="007A118D"/>
    <w:rsid w:val="007A2419"/>
    <w:rsid w:val="007A7D29"/>
    <w:rsid w:val="007B4AB8"/>
    <w:rsid w:val="007B5B60"/>
    <w:rsid w:val="007C5A1F"/>
    <w:rsid w:val="007C6C45"/>
    <w:rsid w:val="007D1181"/>
    <w:rsid w:val="007D289D"/>
    <w:rsid w:val="007D41EF"/>
    <w:rsid w:val="007E01A3"/>
    <w:rsid w:val="007E71B8"/>
    <w:rsid w:val="007F1F8B"/>
    <w:rsid w:val="007F67A1"/>
    <w:rsid w:val="007F6D84"/>
    <w:rsid w:val="00806E5B"/>
    <w:rsid w:val="00811C05"/>
    <w:rsid w:val="0081437A"/>
    <w:rsid w:val="00815948"/>
    <w:rsid w:val="008206C8"/>
    <w:rsid w:val="00850BA1"/>
    <w:rsid w:val="008543FC"/>
    <w:rsid w:val="00856CF3"/>
    <w:rsid w:val="00860A4A"/>
    <w:rsid w:val="008626FE"/>
    <w:rsid w:val="0086387C"/>
    <w:rsid w:val="00867AB3"/>
    <w:rsid w:val="00870E53"/>
    <w:rsid w:val="008749CA"/>
    <w:rsid w:val="00874A6C"/>
    <w:rsid w:val="00875030"/>
    <w:rsid w:val="00876C65"/>
    <w:rsid w:val="008771F8"/>
    <w:rsid w:val="00882A21"/>
    <w:rsid w:val="00884097"/>
    <w:rsid w:val="00895DBE"/>
    <w:rsid w:val="008A4B4C"/>
    <w:rsid w:val="008A6002"/>
    <w:rsid w:val="008B3590"/>
    <w:rsid w:val="008B3A04"/>
    <w:rsid w:val="008C2011"/>
    <w:rsid w:val="008C239F"/>
    <w:rsid w:val="008C5D41"/>
    <w:rsid w:val="008D13F8"/>
    <w:rsid w:val="008D41A7"/>
    <w:rsid w:val="008E480C"/>
    <w:rsid w:val="008F721E"/>
    <w:rsid w:val="00901F54"/>
    <w:rsid w:val="00902B27"/>
    <w:rsid w:val="00907757"/>
    <w:rsid w:val="00913508"/>
    <w:rsid w:val="00913547"/>
    <w:rsid w:val="009212B0"/>
    <w:rsid w:val="00921FA1"/>
    <w:rsid w:val="009222A5"/>
    <w:rsid w:val="009234A5"/>
    <w:rsid w:val="00933453"/>
    <w:rsid w:val="009336F7"/>
    <w:rsid w:val="00933FCF"/>
    <w:rsid w:val="0093636C"/>
    <w:rsid w:val="009374A7"/>
    <w:rsid w:val="00943F41"/>
    <w:rsid w:val="009535D3"/>
    <w:rsid w:val="00955F6D"/>
    <w:rsid w:val="0096431D"/>
    <w:rsid w:val="0096560C"/>
    <w:rsid w:val="00977C16"/>
    <w:rsid w:val="0098217A"/>
    <w:rsid w:val="0098551D"/>
    <w:rsid w:val="0099518F"/>
    <w:rsid w:val="009A12E9"/>
    <w:rsid w:val="009A3233"/>
    <w:rsid w:val="009A523D"/>
    <w:rsid w:val="009A60D4"/>
    <w:rsid w:val="009B02A1"/>
    <w:rsid w:val="009B52D6"/>
    <w:rsid w:val="009B7013"/>
    <w:rsid w:val="009C2B03"/>
    <w:rsid w:val="009D0CC3"/>
    <w:rsid w:val="009D6E30"/>
    <w:rsid w:val="009D7CE6"/>
    <w:rsid w:val="009E046C"/>
    <w:rsid w:val="009F385C"/>
    <w:rsid w:val="009F496B"/>
    <w:rsid w:val="00A00487"/>
    <w:rsid w:val="00A01439"/>
    <w:rsid w:val="00A024D8"/>
    <w:rsid w:val="00A02E61"/>
    <w:rsid w:val="00A05612"/>
    <w:rsid w:val="00A059BB"/>
    <w:rsid w:val="00A05CFF"/>
    <w:rsid w:val="00A078F2"/>
    <w:rsid w:val="00A11D73"/>
    <w:rsid w:val="00A13048"/>
    <w:rsid w:val="00A15319"/>
    <w:rsid w:val="00A217CD"/>
    <w:rsid w:val="00A272EA"/>
    <w:rsid w:val="00A46843"/>
    <w:rsid w:val="00A52EB6"/>
    <w:rsid w:val="00A56B97"/>
    <w:rsid w:val="00A6093D"/>
    <w:rsid w:val="00A654CA"/>
    <w:rsid w:val="00A66F3E"/>
    <w:rsid w:val="00A675C2"/>
    <w:rsid w:val="00A74A6F"/>
    <w:rsid w:val="00A767DC"/>
    <w:rsid w:val="00A76A6D"/>
    <w:rsid w:val="00A83253"/>
    <w:rsid w:val="00A869F7"/>
    <w:rsid w:val="00A914EF"/>
    <w:rsid w:val="00A92005"/>
    <w:rsid w:val="00A941B6"/>
    <w:rsid w:val="00A94492"/>
    <w:rsid w:val="00AA6BB2"/>
    <w:rsid w:val="00AA6E84"/>
    <w:rsid w:val="00AB04BB"/>
    <w:rsid w:val="00AB1A1C"/>
    <w:rsid w:val="00AD05A8"/>
    <w:rsid w:val="00AD6765"/>
    <w:rsid w:val="00AE341B"/>
    <w:rsid w:val="00AF2225"/>
    <w:rsid w:val="00B01905"/>
    <w:rsid w:val="00B02128"/>
    <w:rsid w:val="00B03F49"/>
    <w:rsid w:val="00B06041"/>
    <w:rsid w:val="00B07CA7"/>
    <w:rsid w:val="00B1279A"/>
    <w:rsid w:val="00B20ECD"/>
    <w:rsid w:val="00B21944"/>
    <w:rsid w:val="00B33EE9"/>
    <w:rsid w:val="00B4194A"/>
    <w:rsid w:val="00B437E8"/>
    <w:rsid w:val="00B5222E"/>
    <w:rsid w:val="00B53179"/>
    <w:rsid w:val="00B53B97"/>
    <w:rsid w:val="00B57A23"/>
    <w:rsid w:val="00B600CD"/>
    <w:rsid w:val="00B61C96"/>
    <w:rsid w:val="00B664A9"/>
    <w:rsid w:val="00B67C32"/>
    <w:rsid w:val="00B67FC6"/>
    <w:rsid w:val="00B729BC"/>
    <w:rsid w:val="00B73A2A"/>
    <w:rsid w:val="00B75A51"/>
    <w:rsid w:val="00B81DA8"/>
    <w:rsid w:val="00B827C6"/>
    <w:rsid w:val="00B84837"/>
    <w:rsid w:val="00B84C3D"/>
    <w:rsid w:val="00B85388"/>
    <w:rsid w:val="00B854E4"/>
    <w:rsid w:val="00B91707"/>
    <w:rsid w:val="00B9197C"/>
    <w:rsid w:val="00B93EB0"/>
    <w:rsid w:val="00B94261"/>
    <w:rsid w:val="00B94B06"/>
    <w:rsid w:val="00B94C28"/>
    <w:rsid w:val="00BC10BA"/>
    <w:rsid w:val="00BC3104"/>
    <w:rsid w:val="00BC5AFD"/>
    <w:rsid w:val="00BF3BCE"/>
    <w:rsid w:val="00C00DDE"/>
    <w:rsid w:val="00C04F43"/>
    <w:rsid w:val="00C0609D"/>
    <w:rsid w:val="00C106E2"/>
    <w:rsid w:val="00C115AB"/>
    <w:rsid w:val="00C128BC"/>
    <w:rsid w:val="00C13F00"/>
    <w:rsid w:val="00C23722"/>
    <w:rsid w:val="00C26CCB"/>
    <w:rsid w:val="00C30249"/>
    <w:rsid w:val="00C344C7"/>
    <w:rsid w:val="00C3723B"/>
    <w:rsid w:val="00C41BD8"/>
    <w:rsid w:val="00C42466"/>
    <w:rsid w:val="00C47ED8"/>
    <w:rsid w:val="00C50C41"/>
    <w:rsid w:val="00C5330E"/>
    <w:rsid w:val="00C606C9"/>
    <w:rsid w:val="00C622CA"/>
    <w:rsid w:val="00C67046"/>
    <w:rsid w:val="00C74DEF"/>
    <w:rsid w:val="00C76E47"/>
    <w:rsid w:val="00C80288"/>
    <w:rsid w:val="00C804D3"/>
    <w:rsid w:val="00C84003"/>
    <w:rsid w:val="00C90650"/>
    <w:rsid w:val="00C90EB1"/>
    <w:rsid w:val="00C91AA8"/>
    <w:rsid w:val="00C974EB"/>
    <w:rsid w:val="00C97D78"/>
    <w:rsid w:val="00CB1358"/>
    <w:rsid w:val="00CC0E7F"/>
    <w:rsid w:val="00CC2AAE"/>
    <w:rsid w:val="00CC350C"/>
    <w:rsid w:val="00CC5A42"/>
    <w:rsid w:val="00CD06BB"/>
    <w:rsid w:val="00CD0EAB"/>
    <w:rsid w:val="00CD7A32"/>
    <w:rsid w:val="00CE5E02"/>
    <w:rsid w:val="00CF34DB"/>
    <w:rsid w:val="00CF558F"/>
    <w:rsid w:val="00CF581A"/>
    <w:rsid w:val="00CF5E5F"/>
    <w:rsid w:val="00CF6012"/>
    <w:rsid w:val="00D010C0"/>
    <w:rsid w:val="00D04566"/>
    <w:rsid w:val="00D05EAE"/>
    <w:rsid w:val="00D073E2"/>
    <w:rsid w:val="00D12951"/>
    <w:rsid w:val="00D1350B"/>
    <w:rsid w:val="00D20637"/>
    <w:rsid w:val="00D23F37"/>
    <w:rsid w:val="00D3081B"/>
    <w:rsid w:val="00D403E1"/>
    <w:rsid w:val="00D446EC"/>
    <w:rsid w:val="00D51BF0"/>
    <w:rsid w:val="00D531DB"/>
    <w:rsid w:val="00D55942"/>
    <w:rsid w:val="00D57574"/>
    <w:rsid w:val="00D63D75"/>
    <w:rsid w:val="00D640AF"/>
    <w:rsid w:val="00D720E2"/>
    <w:rsid w:val="00D807BF"/>
    <w:rsid w:val="00D82FCC"/>
    <w:rsid w:val="00D927AA"/>
    <w:rsid w:val="00DA17FC"/>
    <w:rsid w:val="00DA7887"/>
    <w:rsid w:val="00DB06FD"/>
    <w:rsid w:val="00DB258F"/>
    <w:rsid w:val="00DB2C26"/>
    <w:rsid w:val="00DB4163"/>
    <w:rsid w:val="00DB5273"/>
    <w:rsid w:val="00DB5AC8"/>
    <w:rsid w:val="00DC392B"/>
    <w:rsid w:val="00DD02F4"/>
    <w:rsid w:val="00DD6622"/>
    <w:rsid w:val="00DE1C7C"/>
    <w:rsid w:val="00DE6B43"/>
    <w:rsid w:val="00DE6D6D"/>
    <w:rsid w:val="00DF033B"/>
    <w:rsid w:val="00DF24AE"/>
    <w:rsid w:val="00DF3636"/>
    <w:rsid w:val="00DF5500"/>
    <w:rsid w:val="00DF793A"/>
    <w:rsid w:val="00E003AF"/>
    <w:rsid w:val="00E03217"/>
    <w:rsid w:val="00E103A0"/>
    <w:rsid w:val="00E11923"/>
    <w:rsid w:val="00E2041C"/>
    <w:rsid w:val="00E262D4"/>
    <w:rsid w:val="00E3020B"/>
    <w:rsid w:val="00E339E6"/>
    <w:rsid w:val="00E36250"/>
    <w:rsid w:val="00E4062C"/>
    <w:rsid w:val="00E447F6"/>
    <w:rsid w:val="00E47F2D"/>
    <w:rsid w:val="00E54511"/>
    <w:rsid w:val="00E57B07"/>
    <w:rsid w:val="00E61268"/>
    <w:rsid w:val="00E61DAC"/>
    <w:rsid w:val="00E639D0"/>
    <w:rsid w:val="00E64BDF"/>
    <w:rsid w:val="00E72B80"/>
    <w:rsid w:val="00E75864"/>
    <w:rsid w:val="00E75FE3"/>
    <w:rsid w:val="00E86C4C"/>
    <w:rsid w:val="00E907A3"/>
    <w:rsid w:val="00E955C0"/>
    <w:rsid w:val="00EA5AE0"/>
    <w:rsid w:val="00EB56E1"/>
    <w:rsid w:val="00EB7AB1"/>
    <w:rsid w:val="00EC2851"/>
    <w:rsid w:val="00ED0655"/>
    <w:rsid w:val="00ED113F"/>
    <w:rsid w:val="00ED39BF"/>
    <w:rsid w:val="00EE7CD8"/>
    <w:rsid w:val="00EF1ED4"/>
    <w:rsid w:val="00EF33D4"/>
    <w:rsid w:val="00EF48CC"/>
    <w:rsid w:val="00F00801"/>
    <w:rsid w:val="00F1158D"/>
    <w:rsid w:val="00F12711"/>
    <w:rsid w:val="00F208AF"/>
    <w:rsid w:val="00F23C24"/>
    <w:rsid w:val="00F2488D"/>
    <w:rsid w:val="00F2745F"/>
    <w:rsid w:val="00F27D90"/>
    <w:rsid w:val="00F3056C"/>
    <w:rsid w:val="00F32157"/>
    <w:rsid w:val="00F50C0F"/>
    <w:rsid w:val="00F56CF3"/>
    <w:rsid w:val="00F601A0"/>
    <w:rsid w:val="00F712E9"/>
    <w:rsid w:val="00F73032"/>
    <w:rsid w:val="00F74280"/>
    <w:rsid w:val="00F747F8"/>
    <w:rsid w:val="00F8108D"/>
    <w:rsid w:val="00F848FC"/>
    <w:rsid w:val="00F85BCE"/>
    <w:rsid w:val="00F906F6"/>
    <w:rsid w:val="00F91724"/>
    <w:rsid w:val="00F9282A"/>
    <w:rsid w:val="00F9439C"/>
    <w:rsid w:val="00F96BAD"/>
    <w:rsid w:val="00FA139D"/>
    <w:rsid w:val="00FA537C"/>
    <w:rsid w:val="00FB0E84"/>
    <w:rsid w:val="00FB7980"/>
    <w:rsid w:val="00FC2405"/>
    <w:rsid w:val="00FC421F"/>
    <w:rsid w:val="00FC732B"/>
    <w:rsid w:val="00FD01C2"/>
    <w:rsid w:val="00FE101E"/>
    <w:rsid w:val="00FE595C"/>
    <w:rsid w:val="00FF020C"/>
    <w:rsid w:val="00FF029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765BB3"/>
    <w:rPr>
      <w:sz w:val="16"/>
      <w:szCs w:val="16"/>
    </w:rPr>
  </w:style>
  <w:style w:type="paragraph" w:styleId="CommentText">
    <w:name w:val="annotation text"/>
    <w:basedOn w:val="Normal"/>
    <w:link w:val="CommentTextChar"/>
    <w:rsid w:val="00765BB3"/>
    <w:rPr>
      <w:sz w:val="20"/>
    </w:rPr>
  </w:style>
  <w:style w:type="character" w:customStyle="1" w:styleId="CommentTextChar">
    <w:name w:val="Comment Text Char"/>
    <w:basedOn w:val="DefaultParagraphFont"/>
    <w:link w:val="CommentText"/>
    <w:rsid w:val="00765BB3"/>
  </w:style>
  <w:style w:type="paragraph" w:styleId="CommentSubject">
    <w:name w:val="annotation subject"/>
    <w:basedOn w:val="CommentText"/>
    <w:next w:val="CommentText"/>
    <w:link w:val="CommentSubjectChar"/>
    <w:rsid w:val="00765BB3"/>
    <w:rPr>
      <w:b/>
      <w:bCs/>
    </w:rPr>
  </w:style>
  <w:style w:type="character" w:customStyle="1" w:styleId="CommentSubjectChar">
    <w:name w:val="Comment Subject Char"/>
    <w:link w:val="CommentSubject"/>
    <w:rsid w:val="00765BB3"/>
    <w:rPr>
      <w:b/>
      <w:bCs/>
    </w:rPr>
  </w:style>
  <w:style w:type="character" w:styleId="UnresolvedMention">
    <w:name w:val="Unresolved Mention"/>
    <w:basedOn w:val="DefaultParagraphFont"/>
    <w:uiPriority w:val="99"/>
    <w:semiHidden/>
    <w:unhideWhenUsed/>
    <w:rsid w:val="00C74DEF"/>
    <w:rPr>
      <w:color w:val="808080"/>
      <w:shd w:val="clear" w:color="auto" w:fill="E6E6E6"/>
    </w:rPr>
  </w:style>
  <w:style w:type="paragraph" w:styleId="Revision">
    <w:name w:val="Revision"/>
    <w:hidden/>
    <w:uiPriority w:val="99"/>
    <w:semiHidden/>
    <w:rsid w:val="00F23C2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88297">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68715305">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55452615">
      <w:bodyDiv w:val="1"/>
      <w:marLeft w:val="0"/>
      <w:marRight w:val="0"/>
      <w:marTop w:val="0"/>
      <w:marBottom w:val="0"/>
      <w:divBdr>
        <w:top w:val="none" w:sz="0" w:space="0" w:color="auto"/>
        <w:left w:val="none" w:sz="0" w:space="0" w:color="auto"/>
        <w:bottom w:val="none" w:sz="0" w:space="0" w:color="auto"/>
        <w:right w:val="none" w:sz="0" w:space="0" w:color="auto"/>
      </w:divBdr>
    </w:div>
    <w:div w:id="966669424">
      <w:bodyDiv w:val="1"/>
      <w:marLeft w:val="0"/>
      <w:marRight w:val="0"/>
      <w:marTop w:val="0"/>
      <w:marBottom w:val="0"/>
      <w:divBdr>
        <w:top w:val="none" w:sz="0" w:space="0" w:color="auto"/>
        <w:left w:val="none" w:sz="0" w:space="0" w:color="auto"/>
        <w:bottom w:val="none" w:sz="0" w:space="0" w:color="auto"/>
        <w:right w:val="none" w:sz="0" w:space="0" w:color="auto"/>
      </w:divBdr>
    </w:div>
    <w:div w:id="1265723175">
      <w:bodyDiv w:val="1"/>
      <w:marLeft w:val="0"/>
      <w:marRight w:val="0"/>
      <w:marTop w:val="0"/>
      <w:marBottom w:val="0"/>
      <w:divBdr>
        <w:top w:val="none" w:sz="0" w:space="0" w:color="auto"/>
        <w:left w:val="none" w:sz="0" w:space="0" w:color="auto"/>
        <w:bottom w:val="none" w:sz="0" w:space="0" w:color="auto"/>
        <w:right w:val="none" w:sz="0" w:space="0" w:color="auto"/>
      </w:divBdr>
    </w:div>
    <w:div w:id="1266621343">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0209554">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365449183">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9713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jvet/VVCSoftware_BMS/tags/BMS-2.1rc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InterDigital.com" TargetMode="External"/><Relationship Id="rId5" Type="http://schemas.openxmlformats.org/officeDocument/2006/relationships/webSettings" Target="webSettings.xml"/><Relationship Id="rId15" Type="http://schemas.openxmlformats.org/officeDocument/2006/relationships/hyperlink" Target="https://jvet.hhi.fraunhofer.de/svn/svn_VVCSoftware_BMS/tags/BMS-1.0/" TargetMode="External"/><Relationship Id="rId10" Type="http://schemas.openxmlformats.org/officeDocument/2006/relationships/hyperlink" Target="mailto:Daniel.luo@InterDigita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052B0-A931-4749-8479-574621B20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1088</Words>
  <Characters>6203</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 Daniel</cp:lastModifiedBy>
  <cp:revision>26</cp:revision>
  <cp:lastPrinted>1900-01-01T08:00:00Z</cp:lastPrinted>
  <dcterms:created xsi:type="dcterms:W3CDTF">2018-09-24T17:19:00Z</dcterms:created>
  <dcterms:modified xsi:type="dcterms:W3CDTF">2018-09-26T14:23:00Z</dcterms:modified>
</cp:coreProperties>
</file>