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03405E"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3A899AA6" w:rsidR="008A4B4C" w:rsidRPr="005B217D" w:rsidRDefault="00E61DAC" w:rsidP="00F21F8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21F85">
              <w:rPr>
                <w:lang w:val="en-CA"/>
              </w:rPr>
              <w:t>K</w:t>
            </w:r>
            <w:r w:rsidR="006223BF">
              <w:rPr>
                <w:lang w:val="en-CA"/>
              </w:rPr>
              <w:t>0552</w:t>
            </w:r>
            <w:r w:rsidR="00E47F2D" w:rsidRPr="00E47F2D">
              <w:rPr>
                <w:lang w:val="en-CA"/>
              </w:rPr>
              <w:t>-v1</w:t>
            </w:r>
          </w:p>
        </w:tc>
      </w:tr>
    </w:tbl>
    <w:p w14:paraId="79DBA597" w14:textId="77777777" w:rsidR="00E61DAC" w:rsidRPr="005B217D" w:rsidRDefault="00E61DAC" w:rsidP="00531AE9">
      <w:pPr>
        <w:spacing w:before="0"/>
        <w:rPr>
          <w:lang w:val="en-CA"/>
        </w:rPr>
      </w:pPr>
    </w:p>
    <w:tbl>
      <w:tblPr>
        <w:tblW w:w="9828" w:type="dxa"/>
        <w:tblLayout w:type="fixed"/>
        <w:tblLook w:val="0000" w:firstRow="0" w:lastRow="0" w:firstColumn="0" w:lastColumn="0" w:noHBand="0" w:noVBand="0"/>
      </w:tblPr>
      <w:tblGrid>
        <w:gridCol w:w="1458"/>
        <w:gridCol w:w="4050"/>
        <w:gridCol w:w="900"/>
        <w:gridCol w:w="3420"/>
      </w:tblGrid>
      <w:tr w:rsidR="00E61DAC" w:rsidRPr="005B217D" w14:paraId="188D2B50" w14:textId="77777777" w:rsidTr="006223B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370" w:type="dxa"/>
            <w:gridSpan w:val="3"/>
          </w:tcPr>
          <w:p w14:paraId="305A7026" w14:textId="187FB7E0" w:rsidR="00E61DAC" w:rsidRPr="005B217D" w:rsidRDefault="00E557A3" w:rsidP="009D7CE6">
            <w:pPr>
              <w:spacing w:before="60" w:after="60"/>
              <w:rPr>
                <w:b/>
                <w:szCs w:val="22"/>
                <w:lang w:val="en-CA"/>
              </w:rPr>
            </w:pPr>
            <w:proofErr w:type="spellStart"/>
            <w:r>
              <w:rPr>
                <w:b/>
                <w:szCs w:val="22"/>
                <w:lang w:val="en-CA"/>
              </w:rPr>
              <w:t>BoG</w:t>
            </w:r>
            <w:proofErr w:type="spellEnd"/>
            <w:r>
              <w:rPr>
                <w:b/>
                <w:szCs w:val="22"/>
                <w:lang w:val="en-CA"/>
              </w:rPr>
              <w:t xml:space="preserve"> on </w:t>
            </w:r>
            <w:r w:rsidR="00E97AD6">
              <w:rPr>
                <w:b/>
                <w:szCs w:val="22"/>
                <w:lang w:val="en-CA"/>
              </w:rPr>
              <w:t>HDR</w:t>
            </w:r>
            <w:r>
              <w:rPr>
                <w:b/>
                <w:szCs w:val="22"/>
                <w:lang w:val="en-CA"/>
              </w:rPr>
              <w:t xml:space="preserve"> </w:t>
            </w:r>
          </w:p>
        </w:tc>
      </w:tr>
      <w:tr w:rsidR="00E61DAC" w:rsidRPr="005B217D" w14:paraId="3D8B01B2" w14:textId="77777777" w:rsidTr="006223B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370" w:type="dxa"/>
            <w:gridSpan w:val="3"/>
          </w:tcPr>
          <w:p w14:paraId="32E60643" w14:textId="4B6B7F64" w:rsidR="00E61DAC" w:rsidRPr="005B217D" w:rsidRDefault="0013458C" w:rsidP="00E557A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6223B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370" w:type="dxa"/>
            <w:gridSpan w:val="3"/>
          </w:tcPr>
          <w:p w14:paraId="0640C90D" w14:textId="55E20885"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6223B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DA60798" w:rsidR="00E61DAC" w:rsidRPr="005B217D" w:rsidRDefault="00E61DAC" w:rsidP="00E557A3">
            <w:pPr>
              <w:spacing w:before="60" w:after="60"/>
              <w:rPr>
                <w:szCs w:val="22"/>
                <w:lang w:val="en-CA"/>
              </w:rPr>
            </w:pPr>
            <w:r w:rsidRPr="005B217D">
              <w:rPr>
                <w:szCs w:val="22"/>
                <w:lang w:val="en-CA"/>
              </w:rPr>
              <w:br/>
            </w:r>
            <w:r w:rsidR="006223BF">
              <w:rPr>
                <w:szCs w:val="22"/>
                <w:lang w:val="en-CA"/>
              </w:rPr>
              <w:t>E. François</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420" w:type="dxa"/>
          </w:tcPr>
          <w:p w14:paraId="32C2ABFD" w14:textId="748608F5" w:rsidR="00E61DAC" w:rsidRPr="005B217D" w:rsidRDefault="00E61DAC" w:rsidP="00E557A3">
            <w:pPr>
              <w:spacing w:before="60" w:after="60"/>
              <w:rPr>
                <w:szCs w:val="22"/>
                <w:lang w:val="en-CA"/>
              </w:rPr>
            </w:pPr>
            <w:r w:rsidRPr="005B217D">
              <w:rPr>
                <w:szCs w:val="22"/>
                <w:lang w:val="en-CA"/>
              </w:rPr>
              <w:br/>
            </w:r>
            <w:r w:rsidRPr="005B217D">
              <w:rPr>
                <w:szCs w:val="22"/>
                <w:lang w:val="en-CA"/>
              </w:rPr>
              <w:br/>
            </w:r>
            <w:hyperlink r:id="rId10" w:history="1">
              <w:r w:rsidR="006223BF" w:rsidRPr="0031113E">
                <w:rPr>
                  <w:rStyle w:val="Hyperlink"/>
                  <w:szCs w:val="22"/>
                  <w:lang w:val="en-CA"/>
                </w:rPr>
                <w:t>edouard.francois@technicolor.com</w:t>
              </w:r>
            </w:hyperlink>
            <w:r w:rsidR="006223BF">
              <w:rPr>
                <w:szCs w:val="22"/>
                <w:lang w:val="en-CA"/>
              </w:rPr>
              <w:t xml:space="preserve"> </w:t>
            </w:r>
          </w:p>
        </w:tc>
      </w:tr>
      <w:tr w:rsidR="00E61DAC" w:rsidRPr="005B217D" w14:paraId="49AFAA61" w14:textId="77777777" w:rsidTr="006223B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370" w:type="dxa"/>
            <w:gridSpan w:val="3"/>
          </w:tcPr>
          <w:p w14:paraId="643E6B85" w14:textId="37490850" w:rsidR="00E61DAC" w:rsidRPr="005B217D" w:rsidRDefault="00E557A3">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56E32DA5" w14:textId="7D68F585" w:rsidR="000E2390" w:rsidRPr="00F10035" w:rsidRDefault="00F21F85" w:rsidP="000E2390">
      <w:pPr>
        <w:rPr>
          <w:lang w:val="en-CA"/>
        </w:rPr>
      </w:pPr>
      <w:r w:rsidRPr="00F10035">
        <w:rPr>
          <w:lang w:val="en-CA"/>
        </w:rPr>
        <w:t xml:space="preserve">The </w:t>
      </w:r>
      <w:proofErr w:type="spellStart"/>
      <w:r w:rsidR="000E2390" w:rsidRPr="00F10035">
        <w:rPr>
          <w:lang w:val="en-CA"/>
        </w:rPr>
        <w:t>BoG</w:t>
      </w:r>
      <w:proofErr w:type="spellEnd"/>
      <w:r w:rsidR="000E2390" w:rsidRPr="00F10035">
        <w:rPr>
          <w:lang w:val="en-CA"/>
        </w:rPr>
        <w:t xml:space="preserve"> met July 1</w:t>
      </w:r>
      <w:r w:rsidR="00F10035" w:rsidRPr="00F10035">
        <w:rPr>
          <w:lang w:val="en-CA"/>
        </w:rPr>
        <w:t>5</w:t>
      </w:r>
      <w:r w:rsidR="007E46D1" w:rsidRPr="00F10035">
        <w:rPr>
          <w:lang w:val="en-CA"/>
        </w:rPr>
        <w:t xml:space="preserve"> to review CE1</w:t>
      </w:r>
      <w:r w:rsidR="00F10035" w:rsidRPr="00F10035">
        <w:rPr>
          <w:lang w:val="en-CA"/>
        </w:rPr>
        <w:t>2</w:t>
      </w:r>
      <w:r w:rsidR="007E46D1" w:rsidRPr="00F10035">
        <w:rPr>
          <w:lang w:val="en-CA"/>
        </w:rPr>
        <w:t xml:space="preserve"> and other </w:t>
      </w:r>
      <w:r w:rsidR="00F10035" w:rsidRPr="00F10035">
        <w:rPr>
          <w:lang w:val="en-CA"/>
        </w:rPr>
        <w:t>HDR</w:t>
      </w:r>
      <w:r w:rsidR="007E46D1" w:rsidRPr="00F10035">
        <w:rPr>
          <w:lang w:val="en-CA"/>
        </w:rPr>
        <w:t xml:space="preserve"> </w:t>
      </w:r>
      <w:r w:rsidR="006223BF">
        <w:rPr>
          <w:lang w:val="en-CA"/>
        </w:rPr>
        <w:t>v</w:t>
      </w:r>
      <w:r w:rsidR="007E46D1" w:rsidRPr="00F10035">
        <w:rPr>
          <w:lang w:val="en-CA"/>
        </w:rPr>
        <w:t>ideo related contributions</w:t>
      </w:r>
      <w:r w:rsidR="00345F71">
        <w:rPr>
          <w:lang w:val="en-CA"/>
        </w:rPr>
        <w:t xml:space="preserve"> and topics</w:t>
      </w:r>
      <w:r w:rsidR="007E46D1" w:rsidRPr="00F10035">
        <w:rPr>
          <w:lang w:val="en-CA"/>
        </w:rPr>
        <w:t xml:space="preserve"> identified i</w:t>
      </w:r>
      <w:r w:rsidR="00F10035" w:rsidRPr="00F10035">
        <w:rPr>
          <w:lang w:val="en-CA"/>
        </w:rPr>
        <w:t>n</w:t>
      </w:r>
      <w:r w:rsidR="007E46D1" w:rsidRPr="00F10035">
        <w:rPr>
          <w:lang w:val="en-CA"/>
        </w:rPr>
        <w:t xml:space="preserve"> the AHG</w:t>
      </w:r>
      <w:r w:rsidR="006223BF">
        <w:rPr>
          <w:lang w:val="en-CA"/>
        </w:rPr>
        <w:t>-</w:t>
      </w:r>
      <w:r w:rsidR="00F10035" w:rsidRPr="00F10035">
        <w:rPr>
          <w:lang w:val="en-CA"/>
        </w:rPr>
        <w:t>7</w:t>
      </w:r>
      <w:r w:rsidR="007E46D1" w:rsidRPr="00F10035">
        <w:rPr>
          <w:lang w:val="en-CA"/>
        </w:rPr>
        <w:t xml:space="preserve"> report.</w:t>
      </w:r>
    </w:p>
    <w:p w14:paraId="7B78CD5A" w14:textId="2221CE8E" w:rsidR="007E46D1" w:rsidRPr="00F10035" w:rsidRDefault="007E46D1" w:rsidP="000E2390">
      <w:pPr>
        <w:rPr>
          <w:lang w:val="en-CA"/>
        </w:rPr>
      </w:pPr>
      <w:r w:rsidRPr="00F10035">
        <w:rPr>
          <w:lang w:val="en-CA"/>
        </w:rPr>
        <w:t xml:space="preserve">The </w:t>
      </w:r>
      <w:proofErr w:type="spellStart"/>
      <w:r w:rsidRPr="00F10035">
        <w:rPr>
          <w:lang w:val="en-CA"/>
        </w:rPr>
        <w:t>BoG</w:t>
      </w:r>
      <w:proofErr w:type="spellEnd"/>
      <w:r w:rsidRPr="00F10035">
        <w:rPr>
          <w:lang w:val="en-CA"/>
        </w:rPr>
        <w:t xml:space="preserve"> recommends the following:</w:t>
      </w:r>
    </w:p>
    <w:p w14:paraId="38E5F4BD" w14:textId="7D769B23" w:rsidR="00345F71" w:rsidRPr="00345F71" w:rsidRDefault="00345F71" w:rsidP="004F1E42">
      <w:pPr>
        <w:numPr>
          <w:ilvl w:val="0"/>
          <w:numId w:val="14"/>
        </w:numPr>
        <w:rPr>
          <w:lang w:val="en-CA"/>
        </w:rPr>
      </w:pPr>
      <w:r w:rsidRPr="00345F71">
        <w:rPr>
          <w:szCs w:val="22"/>
          <w:lang w:val="en-CA"/>
        </w:rPr>
        <w:t>reconduct</w:t>
      </w:r>
      <w:r>
        <w:rPr>
          <w:szCs w:val="22"/>
          <w:lang w:val="en-CA"/>
        </w:rPr>
        <w:t>ing</w:t>
      </w:r>
      <w:r w:rsidRPr="00345F71">
        <w:rPr>
          <w:szCs w:val="22"/>
          <w:lang w:val="en-CA"/>
        </w:rPr>
        <w:t xml:space="preserve"> the CE on HDR mapping, </w:t>
      </w:r>
      <w:r w:rsidR="001F02FA">
        <w:rPr>
          <w:szCs w:val="22"/>
          <w:lang w:val="en-CA"/>
        </w:rPr>
        <w:t xml:space="preserve">to further investigate the </w:t>
      </w:r>
      <w:r w:rsidR="001F02FA" w:rsidRPr="00345F71">
        <w:rPr>
          <w:lang w:val="en-CA"/>
        </w:rPr>
        <w:t>out-of-loop and in-loop mapping</w:t>
      </w:r>
      <w:r w:rsidR="001F02FA">
        <w:rPr>
          <w:lang w:val="en-CA"/>
        </w:rPr>
        <w:t xml:space="preserve"> and the</w:t>
      </w:r>
      <w:r w:rsidR="001F02FA" w:rsidRPr="001F02FA">
        <w:rPr>
          <w:lang w:val="en-CA"/>
        </w:rPr>
        <w:t xml:space="preserve"> </w:t>
      </w:r>
      <w:r w:rsidR="001F02FA" w:rsidRPr="00345F71">
        <w:rPr>
          <w:lang w:val="en-CA"/>
        </w:rPr>
        <w:t xml:space="preserve">luma/chroma rate allocation </w:t>
      </w:r>
      <w:r w:rsidR="001F02FA">
        <w:rPr>
          <w:lang w:val="en-CA"/>
        </w:rPr>
        <w:t>and balance</w:t>
      </w:r>
    </w:p>
    <w:p w14:paraId="0A565059" w14:textId="31BB25C1" w:rsidR="00FD3A65" w:rsidRDefault="00345F71" w:rsidP="00345F71">
      <w:pPr>
        <w:numPr>
          <w:ilvl w:val="0"/>
          <w:numId w:val="14"/>
        </w:numPr>
        <w:rPr>
          <w:lang w:val="en-CA"/>
        </w:rPr>
      </w:pPr>
      <w:r w:rsidRPr="00FD3A65">
        <w:rPr>
          <w:lang w:val="en-CA"/>
        </w:rPr>
        <w:t>creating a CE for investigating mapping for SDR content (</w:t>
      </w:r>
      <w:r w:rsidR="00866054">
        <w:rPr>
          <w:lang w:val="en-CA"/>
        </w:rPr>
        <w:t xml:space="preserve">based on </w:t>
      </w:r>
      <w:r w:rsidRPr="00FD3A65">
        <w:rPr>
          <w:lang w:val="en-CA"/>
        </w:rPr>
        <w:t>JVET-K0309</w:t>
      </w:r>
      <w:r w:rsidR="00866054">
        <w:rPr>
          <w:lang w:val="en-CA"/>
        </w:rPr>
        <w:t xml:space="preserve">, </w:t>
      </w:r>
      <w:r w:rsidR="00866054" w:rsidRPr="00FD3A65">
        <w:rPr>
          <w:lang w:val="en-CA"/>
        </w:rPr>
        <w:t>JVET-K0468</w:t>
      </w:r>
      <w:r w:rsidRPr="00FD3A65">
        <w:rPr>
          <w:lang w:val="en-CA"/>
        </w:rPr>
        <w:t>)</w:t>
      </w:r>
    </w:p>
    <w:p w14:paraId="0A3D7B6E" w14:textId="1DFC685E" w:rsidR="00315883" w:rsidRPr="00866054" w:rsidRDefault="00315883" w:rsidP="00315883">
      <w:pPr>
        <w:numPr>
          <w:ilvl w:val="0"/>
          <w:numId w:val="14"/>
        </w:numPr>
        <w:rPr>
          <w:lang w:val="en-CA"/>
        </w:rPr>
      </w:pPr>
      <w:r w:rsidRPr="00866054">
        <w:rPr>
          <w:lang w:val="en-CA"/>
        </w:rPr>
        <w:t>updating the HDR CTCs as follows:</w:t>
      </w:r>
    </w:p>
    <w:p w14:paraId="54E53586" w14:textId="74538130" w:rsidR="00315883" w:rsidRPr="001F02FA" w:rsidRDefault="00315883" w:rsidP="001F02FA">
      <w:pPr>
        <w:numPr>
          <w:ilvl w:val="1"/>
          <w:numId w:val="14"/>
        </w:numPr>
        <w:rPr>
          <w:lang w:val="en-CA"/>
        </w:rPr>
      </w:pPr>
      <w:r w:rsidRPr="001F02FA">
        <w:rPr>
          <w:lang w:val="en-CA"/>
        </w:rPr>
        <w:t>For tests not requiring visual assessment (fixed QP case), consider the first 300</w:t>
      </w:r>
      <w:r w:rsidR="00866054" w:rsidRPr="001F02FA">
        <w:rPr>
          <w:lang w:val="en-CA"/>
        </w:rPr>
        <w:t xml:space="preserve"> </w:t>
      </w:r>
      <w:r w:rsidRPr="001F02FA">
        <w:rPr>
          <w:lang w:val="en-CA"/>
        </w:rPr>
        <w:t>frames of the following HLG content</w:t>
      </w:r>
      <w:r w:rsidR="001F02FA" w:rsidRPr="001F02FA">
        <w:rPr>
          <w:lang w:val="en-CA"/>
        </w:rPr>
        <w:t xml:space="preserve">: </w:t>
      </w:r>
      <w:proofErr w:type="spellStart"/>
      <w:r w:rsidRPr="001F02FA">
        <w:rPr>
          <w:lang w:val="en-CA"/>
        </w:rPr>
        <w:t>DayStreet</w:t>
      </w:r>
      <w:proofErr w:type="spellEnd"/>
      <w:r w:rsidRPr="001F02FA">
        <w:rPr>
          <w:lang w:val="en-CA"/>
        </w:rPr>
        <w:t xml:space="preserve">, </w:t>
      </w:r>
      <w:proofErr w:type="spellStart"/>
      <w:r w:rsidRPr="001F02FA">
        <w:rPr>
          <w:lang w:val="en-CA"/>
        </w:rPr>
        <w:t>PeopleInShoppingCenter</w:t>
      </w:r>
      <w:proofErr w:type="spellEnd"/>
      <w:r w:rsidRPr="001F02FA">
        <w:rPr>
          <w:lang w:val="en-CA"/>
        </w:rPr>
        <w:t xml:space="preserve">, </w:t>
      </w:r>
      <w:proofErr w:type="spellStart"/>
      <w:r w:rsidRPr="001F02FA">
        <w:rPr>
          <w:lang w:val="en-CA"/>
        </w:rPr>
        <w:t>SunsetBeach</w:t>
      </w:r>
      <w:proofErr w:type="spellEnd"/>
      <w:r w:rsidR="001F02FA" w:rsidRPr="001F02FA">
        <w:rPr>
          <w:lang w:val="en-CA"/>
        </w:rPr>
        <w:t xml:space="preserve">, </w:t>
      </w:r>
      <w:r w:rsidR="001F02FA">
        <w:rPr>
          <w:lang w:val="en-CA"/>
        </w:rPr>
        <w:t>th</w:t>
      </w:r>
      <w:r w:rsidRPr="001F02FA">
        <w:rPr>
          <w:lang w:val="en-CA"/>
        </w:rPr>
        <w:t xml:space="preserve">e initial version of </w:t>
      </w:r>
      <w:proofErr w:type="spellStart"/>
      <w:r w:rsidRPr="001F02FA">
        <w:rPr>
          <w:lang w:val="en-CA"/>
        </w:rPr>
        <w:t>FlyingBirds</w:t>
      </w:r>
      <w:proofErr w:type="spellEnd"/>
      <w:r w:rsidRPr="001F02FA">
        <w:rPr>
          <w:lang w:val="en-CA"/>
        </w:rPr>
        <w:t xml:space="preserve"> sequence provided by NHK</w:t>
      </w:r>
    </w:p>
    <w:p w14:paraId="4523CBBF" w14:textId="7D1C593C" w:rsidR="00315883" w:rsidRPr="001F02FA" w:rsidRDefault="00315883" w:rsidP="001F02FA">
      <w:pPr>
        <w:numPr>
          <w:ilvl w:val="1"/>
          <w:numId w:val="14"/>
        </w:numPr>
        <w:rPr>
          <w:lang w:val="en-CA"/>
        </w:rPr>
      </w:pPr>
      <w:r w:rsidRPr="001F02FA">
        <w:rPr>
          <w:lang w:val="en-CA"/>
        </w:rPr>
        <w:t xml:space="preserve">For tests requiring visual assessment (fixed bitrate case), </w:t>
      </w:r>
      <w:r w:rsidR="00866054" w:rsidRPr="001F02FA">
        <w:rPr>
          <w:lang w:val="en-CA"/>
        </w:rPr>
        <w:t xml:space="preserve">consider the </w:t>
      </w:r>
      <w:r w:rsidR="00866054" w:rsidRPr="001F02FA">
        <w:rPr>
          <w:lang w:val="en-CA"/>
        </w:rPr>
        <w:t>full 6</w:t>
      </w:r>
      <w:r w:rsidR="00866054" w:rsidRPr="001F02FA">
        <w:rPr>
          <w:lang w:val="en-CA"/>
        </w:rPr>
        <w:t>00</w:t>
      </w:r>
      <w:r w:rsidR="00866054" w:rsidRPr="001F02FA">
        <w:rPr>
          <w:lang w:val="en-CA"/>
        </w:rPr>
        <w:t xml:space="preserve"> </w:t>
      </w:r>
      <w:r w:rsidR="00866054" w:rsidRPr="001F02FA">
        <w:rPr>
          <w:lang w:val="en-CA"/>
        </w:rPr>
        <w:t>frames of the following HLG content</w:t>
      </w:r>
      <w:r w:rsidR="001F02FA" w:rsidRPr="001F02FA">
        <w:rPr>
          <w:lang w:val="en-CA"/>
        </w:rPr>
        <w:t xml:space="preserve">: </w:t>
      </w:r>
      <w:proofErr w:type="spellStart"/>
      <w:r w:rsidRPr="001F02FA">
        <w:rPr>
          <w:lang w:val="en-CA"/>
        </w:rPr>
        <w:t>DayStreet</w:t>
      </w:r>
      <w:proofErr w:type="spellEnd"/>
      <w:r w:rsidRPr="001F02FA">
        <w:rPr>
          <w:lang w:val="en-CA"/>
        </w:rPr>
        <w:t xml:space="preserve">, </w:t>
      </w:r>
      <w:proofErr w:type="spellStart"/>
      <w:r w:rsidRPr="001F02FA">
        <w:rPr>
          <w:lang w:val="en-CA"/>
        </w:rPr>
        <w:t>PeopleInShoppingCenter</w:t>
      </w:r>
      <w:proofErr w:type="spellEnd"/>
      <w:r w:rsidRPr="001F02FA">
        <w:rPr>
          <w:lang w:val="en-CA"/>
        </w:rPr>
        <w:t xml:space="preserve">, </w:t>
      </w:r>
      <w:proofErr w:type="spellStart"/>
      <w:r w:rsidRPr="001F02FA">
        <w:rPr>
          <w:lang w:val="en-CA"/>
        </w:rPr>
        <w:t>SunsetBeach</w:t>
      </w:r>
      <w:proofErr w:type="spellEnd"/>
    </w:p>
    <w:p w14:paraId="300D1171" w14:textId="488979AC" w:rsidR="00315883" w:rsidRPr="00854FA0" w:rsidRDefault="00866054" w:rsidP="00854FA0">
      <w:pPr>
        <w:numPr>
          <w:ilvl w:val="1"/>
          <w:numId w:val="14"/>
        </w:numPr>
        <w:rPr>
          <w:lang w:val="en-CA"/>
        </w:rPr>
      </w:pPr>
      <w:r>
        <w:rPr>
          <w:lang w:val="en-CA"/>
        </w:rPr>
        <w:t>Mandat</w:t>
      </w:r>
      <w:r w:rsidR="001F02FA">
        <w:rPr>
          <w:lang w:val="en-CA"/>
        </w:rPr>
        <w:t xml:space="preserve">ing usage of </w:t>
      </w:r>
      <w:proofErr w:type="spellStart"/>
      <w:r w:rsidR="001F02FA">
        <w:rPr>
          <w:lang w:val="en-CA"/>
        </w:rPr>
        <w:t>HDRTools</w:t>
      </w:r>
      <w:proofErr w:type="spellEnd"/>
      <w:r w:rsidR="001F02FA">
        <w:rPr>
          <w:lang w:val="en-CA"/>
        </w:rPr>
        <w:t xml:space="preserve"> to report</w:t>
      </w:r>
      <w:r w:rsidR="00854FA0" w:rsidRPr="00854FA0">
        <w:rPr>
          <w:lang w:val="en-CA"/>
        </w:rPr>
        <w:t xml:space="preserve"> HDR metrics </w:t>
      </w:r>
      <w:r w:rsidR="00854FA0">
        <w:rPr>
          <w:lang w:val="en-CA"/>
        </w:rPr>
        <w:t>(</w:t>
      </w:r>
      <w:r w:rsidR="00854FA0" w:rsidRPr="00854FA0">
        <w:rPr>
          <w:lang w:val="en-CA"/>
        </w:rPr>
        <w:t xml:space="preserve">including </w:t>
      </w:r>
      <w:proofErr w:type="spellStart"/>
      <w:r w:rsidR="00854FA0" w:rsidRPr="00854FA0">
        <w:rPr>
          <w:lang w:val="en-CA"/>
        </w:rPr>
        <w:t>wPSNR</w:t>
      </w:r>
      <w:proofErr w:type="spellEnd"/>
      <w:r w:rsidR="00854FA0">
        <w:rPr>
          <w:lang w:val="en-CA"/>
        </w:rPr>
        <w:t>)</w:t>
      </w:r>
    </w:p>
    <w:p w14:paraId="13B644D3" w14:textId="07B8F808" w:rsidR="00A02B20" w:rsidRDefault="001F02FA" w:rsidP="001F02FA">
      <w:pPr>
        <w:numPr>
          <w:ilvl w:val="0"/>
          <w:numId w:val="14"/>
        </w:numPr>
        <w:rPr>
          <w:lang w:val="en-CA"/>
        </w:rPr>
      </w:pPr>
      <w:r w:rsidRPr="001F02FA">
        <w:rPr>
          <w:lang w:val="en-CA"/>
        </w:rPr>
        <w:t>reporting performance comparisons of VTM and BMS against the HM for HDR content, as done for the SDR case</w:t>
      </w:r>
    </w:p>
    <w:p w14:paraId="194FDC3A" w14:textId="4181BB91" w:rsidR="005369F3" w:rsidRPr="005B217D" w:rsidRDefault="00233348" w:rsidP="005369F3">
      <w:pPr>
        <w:pStyle w:val="Heading1"/>
        <w:rPr>
          <w:lang w:val="en-CA"/>
        </w:rPr>
      </w:pPr>
      <w:r>
        <w:rPr>
          <w:szCs w:val="22"/>
          <w:lang w:val="en-CA"/>
        </w:rPr>
        <w:t>Contribution review</w:t>
      </w:r>
    </w:p>
    <w:p w14:paraId="710EB84B" w14:textId="625545CF" w:rsidR="00341AD0" w:rsidRDefault="00341AD0" w:rsidP="005369F3">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pPr>
      <w:r>
        <w:rPr>
          <w:szCs w:val="22"/>
          <w:lang w:val="en-CA"/>
        </w:rPr>
        <w:t xml:space="preserve">CE12 report – </w:t>
      </w:r>
      <w:hyperlink r:id="rId11" w:history="1">
        <w:r>
          <w:rPr>
            <w:rStyle w:val="Hyperlink"/>
          </w:rPr>
          <w:t>JVET-K0032</w:t>
        </w:r>
      </w:hyperlink>
    </w:p>
    <w:p w14:paraId="12F8D71A" w14:textId="6F60B33E" w:rsidR="00C733D1" w:rsidRDefault="00C733D1" w:rsidP="00C733D1">
      <w:pPr>
        <w:rPr>
          <w:rFonts w:cs="Arial"/>
          <w:szCs w:val="22"/>
          <w:lang w:eastAsia="ja-JP"/>
        </w:rPr>
      </w:pPr>
      <w:r w:rsidRPr="00C225DF">
        <w:rPr>
          <w:rFonts w:cs="Arial"/>
          <w:szCs w:val="22"/>
          <w:lang w:eastAsia="ja-JP"/>
        </w:rPr>
        <w:t>This contribution provides a summary report of Core Experiment 12 on mapping for HDR content</w:t>
      </w:r>
      <w:r w:rsidRPr="00BF5F83">
        <w:rPr>
          <w:rFonts w:cs="Arial"/>
          <w:szCs w:val="22"/>
          <w:lang w:eastAsia="ja-JP"/>
        </w:rPr>
        <w:t>.</w:t>
      </w:r>
      <w:r>
        <w:rPr>
          <w:rFonts w:cs="Arial"/>
          <w:szCs w:val="22"/>
          <w:lang w:eastAsia="ja-JP"/>
        </w:rPr>
        <w:t xml:space="preserve"> CE12 aims at evaluating approaches for </w:t>
      </w:r>
      <w:r w:rsidRPr="00C225DF">
        <w:rPr>
          <w:rFonts w:cs="Arial"/>
          <w:szCs w:val="22"/>
          <w:lang w:eastAsia="ja-JP"/>
        </w:rPr>
        <w:t xml:space="preserve">mapping </w:t>
      </w:r>
      <w:r>
        <w:rPr>
          <w:rFonts w:cs="Arial"/>
          <w:szCs w:val="22"/>
          <w:lang w:eastAsia="ja-JP"/>
        </w:rPr>
        <w:t>of</w:t>
      </w:r>
      <w:r w:rsidRPr="00C225DF">
        <w:rPr>
          <w:rFonts w:cs="Arial"/>
          <w:szCs w:val="22"/>
          <w:lang w:eastAsia="ja-JP"/>
        </w:rPr>
        <w:t xml:space="preserve"> HDR content. </w:t>
      </w:r>
      <w:r>
        <w:t>The considered technologies are adaptive quantization, out-of-loop</w:t>
      </w:r>
      <w:r w:rsidRPr="005F389F">
        <w:t xml:space="preserve"> </w:t>
      </w:r>
      <w:r>
        <w:t>reshaping and in-loop reshaping</w:t>
      </w:r>
      <w:r w:rsidRPr="00C225DF">
        <w:rPr>
          <w:rFonts w:cs="Arial"/>
          <w:szCs w:val="22"/>
          <w:lang w:eastAsia="ja-JP"/>
        </w:rPr>
        <w:t>.</w:t>
      </w:r>
      <w:r w:rsidRPr="00BF5F83">
        <w:rPr>
          <w:rFonts w:cs="Arial"/>
          <w:szCs w:val="22"/>
          <w:lang w:eastAsia="ja-JP"/>
        </w:rPr>
        <w:t xml:space="preserve"> </w:t>
      </w:r>
      <w:r>
        <w:rPr>
          <w:rFonts w:cs="Arial"/>
          <w:szCs w:val="22"/>
          <w:lang w:eastAsia="ja-JP"/>
        </w:rPr>
        <w:t>Test results against VTM anchor are provided for each performed test. Crosschecking reports are integrated in this contribution.</w:t>
      </w:r>
    </w:p>
    <w:p w14:paraId="4D792D54" w14:textId="6DD00CC8" w:rsidR="00C733D1" w:rsidRDefault="00C733D1" w:rsidP="00C733D1">
      <w:pPr>
        <w:rPr>
          <w:rFonts w:cs="Arial"/>
          <w:szCs w:val="22"/>
          <w:lang w:eastAsia="ja-JP"/>
        </w:rPr>
      </w:pPr>
      <w:r>
        <w:rPr>
          <w:rFonts w:cs="Arial"/>
          <w:szCs w:val="22"/>
          <w:lang w:eastAsia="ja-JP"/>
        </w:rPr>
        <w:t xml:space="preserve">VTM was used as anchor, with luma-based QP adaptation activated (macro </w:t>
      </w:r>
      <w:r w:rsidRPr="00C733D1">
        <w:rPr>
          <w:rFonts w:cs="Arial"/>
          <w:szCs w:val="22"/>
          <w:lang w:eastAsia="ja-JP"/>
        </w:rPr>
        <w:t xml:space="preserve">SHARP_LUMA_DELTA_QP set to 1), chroma QP adaptation (macro ER_CHROMA_QP_WCG_PPS set to 1), and </w:t>
      </w:r>
      <w:proofErr w:type="spellStart"/>
      <w:r w:rsidRPr="00C733D1">
        <w:rPr>
          <w:rFonts w:cs="Arial"/>
          <w:szCs w:val="22"/>
          <w:lang w:eastAsia="ja-JP"/>
        </w:rPr>
        <w:t>wPSNR</w:t>
      </w:r>
      <w:proofErr w:type="spellEnd"/>
      <w:r w:rsidRPr="00C733D1">
        <w:rPr>
          <w:rFonts w:cs="Arial"/>
          <w:szCs w:val="22"/>
          <w:lang w:eastAsia="ja-JP"/>
        </w:rPr>
        <w:t>-based RDO (macro WCG_EXT set to 1).</w:t>
      </w:r>
    </w:p>
    <w:p w14:paraId="6187530F" w14:textId="7F59F1B8" w:rsidR="00017E3E" w:rsidRDefault="005166B5" w:rsidP="00C733D1">
      <w:pPr>
        <w:rPr>
          <w:rFonts w:cs="Arial"/>
          <w:szCs w:val="22"/>
          <w:lang w:eastAsia="ja-JP"/>
        </w:rPr>
      </w:pPr>
      <w:r>
        <w:rPr>
          <w:rFonts w:cs="Arial"/>
          <w:szCs w:val="22"/>
          <w:lang w:eastAsia="ja-JP"/>
        </w:rPr>
        <w:t>The l</w:t>
      </w:r>
      <w:r w:rsidR="00017E3E">
        <w:rPr>
          <w:rFonts w:cs="Arial"/>
          <w:szCs w:val="22"/>
          <w:lang w:eastAsia="ja-JP"/>
        </w:rPr>
        <w:t xml:space="preserve">ist of tools </w:t>
      </w:r>
      <w:r>
        <w:rPr>
          <w:rFonts w:cs="Arial"/>
          <w:szCs w:val="22"/>
          <w:lang w:eastAsia="ja-JP"/>
        </w:rPr>
        <w:t xml:space="preserve">tested in the </w:t>
      </w:r>
      <w:r w:rsidR="00017E3E">
        <w:rPr>
          <w:rFonts w:cs="Arial"/>
          <w:szCs w:val="22"/>
          <w:lang w:eastAsia="ja-JP"/>
        </w:rPr>
        <w:t>out-of-loop and in-loop mapping</w:t>
      </w:r>
      <w:r>
        <w:rPr>
          <w:rFonts w:cs="Arial"/>
          <w:szCs w:val="22"/>
          <w:lang w:eastAsia="ja-JP"/>
        </w:rPr>
        <w:t xml:space="preserve"> approaches is summarized in the table below.</w:t>
      </w:r>
    </w:p>
    <w:p w14:paraId="37C56922" w14:textId="2B5F0E80" w:rsidR="00AD1742" w:rsidRDefault="00AD1742" w:rsidP="00C733D1">
      <w:pPr>
        <w:rPr>
          <w:rFonts w:cs="Arial"/>
          <w:szCs w:val="22"/>
          <w:lang w:eastAsia="ja-JP"/>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350"/>
        <w:gridCol w:w="6457"/>
      </w:tblGrid>
      <w:tr w:rsidR="007D4690" w:rsidRPr="007D4690" w14:paraId="2DAA821D" w14:textId="77777777" w:rsidTr="007D4690">
        <w:tc>
          <w:tcPr>
            <w:tcW w:w="1638" w:type="dxa"/>
            <w:shd w:val="clear" w:color="auto" w:fill="auto"/>
          </w:tcPr>
          <w:p w14:paraId="6243F407" w14:textId="37761DCD" w:rsidR="00AD1742" w:rsidRPr="007D4690" w:rsidRDefault="00AD1742" w:rsidP="007D4690">
            <w:pPr>
              <w:spacing w:before="0"/>
              <w:rPr>
                <w:sz w:val="20"/>
                <w:lang w:val="en-CA" w:eastAsia="zh-CN"/>
              </w:rPr>
            </w:pPr>
            <w:r w:rsidRPr="007D4690">
              <w:rPr>
                <w:sz w:val="20"/>
                <w:lang w:val="en-CA" w:eastAsia="zh-CN"/>
              </w:rPr>
              <w:lastRenderedPageBreak/>
              <w:t>Tool out-of-loop mapping</w:t>
            </w:r>
          </w:p>
        </w:tc>
        <w:tc>
          <w:tcPr>
            <w:tcW w:w="1350" w:type="dxa"/>
            <w:shd w:val="clear" w:color="auto" w:fill="auto"/>
          </w:tcPr>
          <w:p w14:paraId="63F5A01C" w14:textId="77777777" w:rsidR="00AD1742" w:rsidRPr="007D4690" w:rsidRDefault="00AD1742" w:rsidP="007D4690">
            <w:pPr>
              <w:spacing w:before="0"/>
              <w:rPr>
                <w:sz w:val="20"/>
                <w:lang w:val="en-CA" w:eastAsia="zh-CN"/>
              </w:rPr>
            </w:pPr>
            <w:r w:rsidRPr="007D4690">
              <w:rPr>
                <w:sz w:val="20"/>
                <w:lang w:val="en-CA" w:eastAsia="zh-CN"/>
              </w:rPr>
              <w:t>Acronym</w:t>
            </w:r>
          </w:p>
        </w:tc>
        <w:tc>
          <w:tcPr>
            <w:tcW w:w="6457" w:type="dxa"/>
            <w:shd w:val="clear" w:color="auto" w:fill="auto"/>
          </w:tcPr>
          <w:p w14:paraId="610C3DC4" w14:textId="77777777" w:rsidR="00AD1742" w:rsidRPr="007D4690" w:rsidRDefault="00AD1742" w:rsidP="007D4690">
            <w:pPr>
              <w:spacing w:before="0"/>
              <w:rPr>
                <w:sz w:val="20"/>
                <w:lang w:val="en-CA" w:eastAsia="zh-CN"/>
              </w:rPr>
            </w:pPr>
            <w:r w:rsidRPr="007D4690">
              <w:rPr>
                <w:sz w:val="20"/>
                <w:lang w:val="en-CA" w:eastAsia="zh-CN"/>
              </w:rPr>
              <w:t>Description</w:t>
            </w:r>
          </w:p>
        </w:tc>
      </w:tr>
      <w:tr w:rsidR="007D4690" w:rsidRPr="007D4690" w14:paraId="59A8E412" w14:textId="77777777" w:rsidTr="007D4690">
        <w:tc>
          <w:tcPr>
            <w:tcW w:w="1638" w:type="dxa"/>
            <w:shd w:val="clear" w:color="auto" w:fill="auto"/>
          </w:tcPr>
          <w:p w14:paraId="014E5A52" w14:textId="77777777" w:rsidR="00AD1742" w:rsidRPr="007D4690" w:rsidRDefault="00AD1742" w:rsidP="007D4690">
            <w:pPr>
              <w:spacing w:before="0"/>
              <w:rPr>
                <w:sz w:val="20"/>
                <w:lang w:val="en-CA" w:eastAsia="zh-CN"/>
              </w:rPr>
            </w:pPr>
            <w:r w:rsidRPr="007D4690">
              <w:rPr>
                <w:sz w:val="20"/>
                <w:lang w:val="en-CA" w:eastAsia="zh-CN"/>
              </w:rPr>
              <w:t>Dynamic range adaptation</w:t>
            </w:r>
          </w:p>
        </w:tc>
        <w:tc>
          <w:tcPr>
            <w:tcW w:w="1350" w:type="dxa"/>
            <w:shd w:val="clear" w:color="auto" w:fill="auto"/>
          </w:tcPr>
          <w:p w14:paraId="35EBAFB7" w14:textId="77777777" w:rsidR="00AD1742" w:rsidRPr="007D4690" w:rsidRDefault="00AD1742" w:rsidP="007D4690">
            <w:pPr>
              <w:spacing w:before="0"/>
              <w:rPr>
                <w:sz w:val="20"/>
                <w:lang w:val="en-CA" w:eastAsia="zh-CN"/>
              </w:rPr>
            </w:pPr>
            <w:r w:rsidRPr="007D4690">
              <w:rPr>
                <w:b/>
                <w:sz w:val="20"/>
                <w:lang w:val="en-CA" w:eastAsia="zh-CN"/>
              </w:rPr>
              <w:t>DRA</w:t>
            </w:r>
          </w:p>
        </w:tc>
        <w:tc>
          <w:tcPr>
            <w:tcW w:w="6457" w:type="dxa"/>
            <w:shd w:val="clear" w:color="auto" w:fill="auto"/>
          </w:tcPr>
          <w:p w14:paraId="2DC0D49A" w14:textId="77777777" w:rsidR="00AD1742" w:rsidRPr="007D4690" w:rsidRDefault="00AD1742" w:rsidP="007D4690">
            <w:pPr>
              <w:spacing w:before="0"/>
              <w:rPr>
                <w:sz w:val="20"/>
                <w:lang w:val="en-CA" w:eastAsia="zh-CN"/>
              </w:rPr>
            </w:pPr>
            <w:r w:rsidRPr="007D4690">
              <w:rPr>
                <w:sz w:val="20"/>
                <w:lang w:val="en-CA" w:eastAsia="zh-CN"/>
              </w:rPr>
              <w:t>consists in applying a luma mapping and luma-based chroma scaling to the input video luma and chroma components, as a pre-encoding process, and to apply to inverse process as a post-decoding process</w:t>
            </w:r>
          </w:p>
        </w:tc>
      </w:tr>
      <w:tr w:rsidR="007D4690" w:rsidRPr="007D4690" w14:paraId="052F9E59" w14:textId="77777777" w:rsidTr="007D4690">
        <w:tc>
          <w:tcPr>
            <w:tcW w:w="1638" w:type="dxa"/>
            <w:shd w:val="clear" w:color="auto" w:fill="auto"/>
          </w:tcPr>
          <w:p w14:paraId="3F42755C" w14:textId="77777777" w:rsidR="00AD1742" w:rsidRPr="007D4690" w:rsidRDefault="00AD1742" w:rsidP="007D4690">
            <w:pPr>
              <w:spacing w:before="0"/>
              <w:rPr>
                <w:sz w:val="20"/>
                <w:lang w:val="en-CA" w:eastAsia="zh-CN"/>
              </w:rPr>
            </w:pPr>
            <w:r w:rsidRPr="007D4690">
              <w:rPr>
                <w:sz w:val="20"/>
                <w:lang w:eastAsia="zh-CN"/>
              </w:rPr>
              <w:t>Harmonization of DRA chroma scale and QP</w:t>
            </w:r>
          </w:p>
        </w:tc>
        <w:tc>
          <w:tcPr>
            <w:tcW w:w="1350" w:type="dxa"/>
            <w:shd w:val="clear" w:color="auto" w:fill="auto"/>
          </w:tcPr>
          <w:p w14:paraId="739D16B2" w14:textId="77777777" w:rsidR="00AD1742" w:rsidRPr="007D4690" w:rsidRDefault="00AD1742" w:rsidP="007D4690">
            <w:pPr>
              <w:spacing w:before="0"/>
              <w:rPr>
                <w:sz w:val="20"/>
                <w:lang w:val="en-CA" w:eastAsia="zh-CN"/>
              </w:rPr>
            </w:pPr>
            <w:proofErr w:type="spellStart"/>
            <w:r w:rsidRPr="007D4690">
              <w:rPr>
                <w:b/>
                <w:sz w:val="20"/>
                <w:lang w:eastAsia="zh-CN"/>
              </w:rPr>
              <w:t>qpHarmoniz</w:t>
            </w:r>
            <w:proofErr w:type="spellEnd"/>
          </w:p>
        </w:tc>
        <w:tc>
          <w:tcPr>
            <w:tcW w:w="6457" w:type="dxa"/>
            <w:shd w:val="clear" w:color="auto" w:fill="auto"/>
          </w:tcPr>
          <w:p w14:paraId="6C7CA76B" w14:textId="77777777" w:rsidR="00AD1742" w:rsidRPr="007D4690" w:rsidRDefault="00AD1742" w:rsidP="007D4690">
            <w:pPr>
              <w:spacing w:before="0"/>
              <w:rPr>
                <w:sz w:val="20"/>
                <w:lang w:val="en-CA" w:eastAsia="zh-CN"/>
              </w:rPr>
            </w:pPr>
            <w:r w:rsidRPr="007D4690">
              <w:rPr>
                <w:sz w:val="20"/>
                <w:lang w:eastAsia="zh-CN"/>
              </w:rPr>
              <w:t xml:space="preserve">consists in adjusting </w:t>
            </w:r>
            <w:r w:rsidRPr="007D4690">
              <w:rPr>
                <w:sz w:val="20"/>
                <w:lang w:val="en-CA" w:eastAsia="zh-CN"/>
              </w:rPr>
              <w:t xml:space="preserve">the luma-based chroma scaling </w:t>
            </w:r>
            <w:r w:rsidRPr="007D4690">
              <w:rPr>
                <w:sz w:val="20"/>
                <w:lang w:eastAsia="zh-CN"/>
              </w:rPr>
              <w:t>to preserve a luma/chroma bit allocation ensured by the luma-based chroma QP offset derivation in the core HEVC design (</w:t>
            </w:r>
            <w:proofErr w:type="spellStart"/>
            <w:r w:rsidRPr="007D4690">
              <w:rPr>
                <w:sz w:val="20"/>
                <w:lang w:eastAsia="zh-CN"/>
              </w:rPr>
              <w:t>cf</w:t>
            </w:r>
            <w:proofErr w:type="spellEnd"/>
            <w:r w:rsidRPr="007D4690">
              <w:rPr>
                <w:sz w:val="20"/>
                <w:lang w:eastAsia="zh-CN"/>
              </w:rPr>
              <w:t xml:space="preserve"> Table 8-10 of HEVC specification)</w:t>
            </w:r>
          </w:p>
        </w:tc>
      </w:tr>
      <w:tr w:rsidR="007D4690" w:rsidRPr="007D4690" w14:paraId="62B24E7A" w14:textId="77777777" w:rsidTr="007D4690">
        <w:tc>
          <w:tcPr>
            <w:tcW w:w="1638" w:type="dxa"/>
            <w:shd w:val="clear" w:color="auto" w:fill="auto"/>
          </w:tcPr>
          <w:p w14:paraId="0EDA7428" w14:textId="77777777" w:rsidR="00AD1742" w:rsidRPr="007D4690" w:rsidRDefault="00AD1742" w:rsidP="007D4690">
            <w:pPr>
              <w:spacing w:before="0"/>
              <w:rPr>
                <w:sz w:val="20"/>
                <w:lang w:val="en-CA" w:eastAsia="zh-CN"/>
              </w:rPr>
            </w:pPr>
            <w:r w:rsidRPr="007D4690">
              <w:rPr>
                <w:sz w:val="20"/>
                <w:lang w:val="en-CA" w:eastAsia="zh-CN"/>
              </w:rPr>
              <w:t>DRA refinement</w:t>
            </w:r>
          </w:p>
        </w:tc>
        <w:tc>
          <w:tcPr>
            <w:tcW w:w="1350" w:type="dxa"/>
            <w:shd w:val="clear" w:color="auto" w:fill="auto"/>
          </w:tcPr>
          <w:p w14:paraId="6DA6E25E" w14:textId="77777777" w:rsidR="00AD1742" w:rsidRPr="007D4690" w:rsidRDefault="00AD1742" w:rsidP="007D4690">
            <w:pPr>
              <w:spacing w:before="0"/>
              <w:rPr>
                <w:sz w:val="20"/>
                <w:lang w:val="en-CA" w:eastAsia="zh-CN"/>
              </w:rPr>
            </w:pPr>
            <w:proofErr w:type="spellStart"/>
            <w:r w:rsidRPr="007D4690">
              <w:rPr>
                <w:b/>
                <w:sz w:val="20"/>
                <w:lang w:val="en-CA" w:eastAsia="zh-CN"/>
              </w:rPr>
              <w:t>Refint_Flt</w:t>
            </w:r>
            <w:proofErr w:type="spellEnd"/>
            <w:r w:rsidRPr="007D4690">
              <w:rPr>
                <w:b/>
                <w:sz w:val="20"/>
                <w:lang w:val="en-CA" w:eastAsia="zh-CN"/>
              </w:rPr>
              <w:t xml:space="preserve"> / </w:t>
            </w:r>
            <w:proofErr w:type="spellStart"/>
            <w:r w:rsidRPr="007D4690">
              <w:rPr>
                <w:b/>
                <w:sz w:val="20"/>
                <w:lang w:val="en-CA" w:eastAsia="zh-CN"/>
              </w:rPr>
              <w:t>Refint_Fix</w:t>
            </w:r>
            <w:proofErr w:type="spellEnd"/>
          </w:p>
        </w:tc>
        <w:tc>
          <w:tcPr>
            <w:tcW w:w="6457" w:type="dxa"/>
            <w:shd w:val="clear" w:color="auto" w:fill="auto"/>
          </w:tcPr>
          <w:p w14:paraId="36472710" w14:textId="77777777" w:rsidR="00AD1742" w:rsidRPr="007D4690" w:rsidRDefault="00AD1742" w:rsidP="007D4690">
            <w:pPr>
              <w:spacing w:before="0"/>
              <w:rPr>
                <w:sz w:val="20"/>
                <w:lang w:val="en-CA" w:eastAsia="zh-CN"/>
              </w:rPr>
            </w:pPr>
            <w:r w:rsidRPr="007D4690">
              <w:rPr>
                <w:sz w:val="20"/>
                <w:lang w:val="en-CA" w:eastAsia="zh-CN"/>
              </w:rPr>
              <w:t xml:space="preserve">consists in applying a correction to the inverse DRA tables applying at the decoder to compensate the </w:t>
            </w:r>
            <w:r w:rsidRPr="007D4690">
              <w:rPr>
                <w:sz w:val="20"/>
                <w:lang w:eastAsia="zh-CN"/>
              </w:rPr>
              <w:t>distortions resulting from the compression. The process may apply per slice. A floating-point was first delivered. A fixed-point version was further delivered.</w:t>
            </w:r>
          </w:p>
        </w:tc>
      </w:tr>
    </w:tbl>
    <w:p w14:paraId="78BC1379" w14:textId="515A92B5" w:rsidR="00AD1742" w:rsidRDefault="00AD1742" w:rsidP="00C733D1">
      <w:pPr>
        <w:rPr>
          <w:rFonts w:cs="Arial"/>
          <w:szCs w:val="22"/>
          <w:lang w:eastAsia="ja-JP"/>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1402"/>
        <w:gridCol w:w="6409"/>
      </w:tblGrid>
      <w:tr w:rsidR="007D4690" w:rsidRPr="007D4690" w14:paraId="4FF9620C" w14:textId="77777777" w:rsidTr="007D4690">
        <w:tc>
          <w:tcPr>
            <w:tcW w:w="1634" w:type="dxa"/>
            <w:shd w:val="clear" w:color="auto" w:fill="auto"/>
          </w:tcPr>
          <w:p w14:paraId="1471654A" w14:textId="4F91AEE5" w:rsidR="00986FB3" w:rsidRPr="007D4690" w:rsidRDefault="00986FB3" w:rsidP="007D4690">
            <w:pPr>
              <w:spacing w:before="0"/>
              <w:rPr>
                <w:sz w:val="20"/>
                <w:lang w:val="en-CA" w:eastAsia="zh-CN"/>
              </w:rPr>
            </w:pPr>
            <w:r w:rsidRPr="007D4690">
              <w:rPr>
                <w:sz w:val="20"/>
                <w:lang w:val="en-CA" w:eastAsia="zh-CN"/>
              </w:rPr>
              <w:t>Tool in-loop mapping</w:t>
            </w:r>
          </w:p>
        </w:tc>
        <w:tc>
          <w:tcPr>
            <w:tcW w:w="1402" w:type="dxa"/>
            <w:shd w:val="clear" w:color="auto" w:fill="auto"/>
          </w:tcPr>
          <w:p w14:paraId="5D478240" w14:textId="77777777" w:rsidR="00986FB3" w:rsidRPr="007D4690" w:rsidRDefault="00986FB3" w:rsidP="007D4690">
            <w:pPr>
              <w:spacing w:before="0"/>
              <w:rPr>
                <w:sz w:val="20"/>
                <w:lang w:val="en-CA" w:eastAsia="zh-CN"/>
              </w:rPr>
            </w:pPr>
            <w:r w:rsidRPr="007D4690">
              <w:rPr>
                <w:sz w:val="20"/>
                <w:lang w:val="en-CA" w:eastAsia="zh-CN"/>
              </w:rPr>
              <w:t>Acronym</w:t>
            </w:r>
          </w:p>
        </w:tc>
        <w:tc>
          <w:tcPr>
            <w:tcW w:w="6409" w:type="dxa"/>
            <w:shd w:val="clear" w:color="auto" w:fill="auto"/>
          </w:tcPr>
          <w:p w14:paraId="1B5CBE33" w14:textId="77777777" w:rsidR="00986FB3" w:rsidRPr="007D4690" w:rsidRDefault="00986FB3" w:rsidP="007D4690">
            <w:pPr>
              <w:spacing w:before="0"/>
              <w:rPr>
                <w:sz w:val="20"/>
                <w:lang w:val="en-CA" w:eastAsia="zh-CN"/>
              </w:rPr>
            </w:pPr>
            <w:r w:rsidRPr="007D4690">
              <w:rPr>
                <w:sz w:val="20"/>
                <w:lang w:val="en-CA" w:eastAsia="zh-CN"/>
              </w:rPr>
              <w:t>Description</w:t>
            </w:r>
          </w:p>
        </w:tc>
      </w:tr>
      <w:tr w:rsidR="007D4690" w:rsidRPr="007D4690" w14:paraId="7E49E270" w14:textId="77777777" w:rsidTr="007D4690">
        <w:tc>
          <w:tcPr>
            <w:tcW w:w="1634" w:type="dxa"/>
            <w:shd w:val="clear" w:color="auto" w:fill="auto"/>
          </w:tcPr>
          <w:p w14:paraId="2D33570E" w14:textId="77777777" w:rsidR="00986FB3" w:rsidRPr="007D4690" w:rsidRDefault="00986FB3" w:rsidP="007D4690">
            <w:pPr>
              <w:spacing w:before="0"/>
              <w:rPr>
                <w:sz w:val="20"/>
                <w:lang w:val="en-CA" w:eastAsia="zh-CN"/>
              </w:rPr>
            </w:pPr>
            <w:r w:rsidRPr="007D4690">
              <w:rPr>
                <w:sz w:val="20"/>
                <w:szCs w:val="22"/>
                <w:lang w:eastAsia="zh-CN"/>
              </w:rPr>
              <w:t>In-loop Luma reshaper</w:t>
            </w:r>
          </w:p>
        </w:tc>
        <w:tc>
          <w:tcPr>
            <w:tcW w:w="1402" w:type="dxa"/>
            <w:shd w:val="clear" w:color="auto" w:fill="auto"/>
          </w:tcPr>
          <w:p w14:paraId="259F6EC2" w14:textId="77777777" w:rsidR="00986FB3" w:rsidRPr="007D4690" w:rsidRDefault="00986FB3" w:rsidP="007D4690">
            <w:pPr>
              <w:spacing w:before="0"/>
              <w:rPr>
                <w:b/>
                <w:sz w:val="20"/>
                <w:lang w:val="en-CA" w:eastAsia="zh-CN"/>
              </w:rPr>
            </w:pPr>
            <w:proofErr w:type="spellStart"/>
            <w:r w:rsidRPr="007D4690">
              <w:rPr>
                <w:b/>
                <w:sz w:val="20"/>
                <w:lang w:val="en-CA" w:eastAsia="zh-CN"/>
              </w:rPr>
              <w:t>Reshap</w:t>
            </w:r>
            <w:proofErr w:type="spellEnd"/>
          </w:p>
        </w:tc>
        <w:tc>
          <w:tcPr>
            <w:tcW w:w="6409" w:type="dxa"/>
            <w:shd w:val="clear" w:color="auto" w:fill="auto"/>
          </w:tcPr>
          <w:p w14:paraId="7068C491" w14:textId="77777777" w:rsidR="00986FB3" w:rsidRPr="007D4690" w:rsidRDefault="00986FB3" w:rsidP="007D4690">
            <w:pPr>
              <w:spacing w:before="0"/>
              <w:rPr>
                <w:sz w:val="20"/>
                <w:lang w:val="en-CA" w:eastAsia="zh-CN"/>
              </w:rPr>
            </w:pPr>
            <w:r w:rsidRPr="007D4690">
              <w:rPr>
                <w:sz w:val="20"/>
                <w:szCs w:val="22"/>
                <w:lang w:eastAsia="zh-CN"/>
              </w:rPr>
              <w:t>maps an input luma code value to an altered value inside the coding loop. For intra slice, reshaping is explicitly performed to the input signal. Inverse reshaping applies after loop filtering and before DPB buffering. For an inter slice, only inverse reshaping applies to the prediction signal before loop filtering.</w:t>
            </w:r>
          </w:p>
        </w:tc>
      </w:tr>
      <w:tr w:rsidR="007D4690" w:rsidRPr="007D4690" w14:paraId="03B6CE1B" w14:textId="77777777" w:rsidTr="007D4690">
        <w:tc>
          <w:tcPr>
            <w:tcW w:w="1634" w:type="dxa"/>
            <w:shd w:val="clear" w:color="auto" w:fill="auto"/>
          </w:tcPr>
          <w:p w14:paraId="7380D4F3" w14:textId="77777777" w:rsidR="00986FB3" w:rsidRPr="007D4690" w:rsidRDefault="00986FB3" w:rsidP="007D4690">
            <w:pPr>
              <w:spacing w:before="0"/>
              <w:rPr>
                <w:sz w:val="20"/>
                <w:lang w:val="en-CA" w:eastAsia="zh-CN"/>
              </w:rPr>
            </w:pPr>
            <w:r w:rsidRPr="007D4690">
              <w:rPr>
                <w:sz w:val="20"/>
                <w:lang w:val="en-CA" w:eastAsia="zh-CN"/>
              </w:rPr>
              <w:t>luma-based Chroma QP Offset</w:t>
            </w:r>
          </w:p>
        </w:tc>
        <w:tc>
          <w:tcPr>
            <w:tcW w:w="1402" w:type="dxa"/>
            <w:shd w:val="clear" w:color="auto" w:fill="auto"/>
          </w:tcPr>
          <w:p w14:paraId="30766EA1" w14:textId="77777777" w:rsidR="00986FB3" w:rsidRPr="007D4690" w:rsidRDefault="00986FB3" w:rsidP="007D4690">
            <w:pPr>
              <w:spacing w:before="0"/>
              <w:rPr>
                <w:b/>
                <w:sz w:val="20"/>
                <w:lang w:val="en-CA" w:eastAsia="zh-CN"/>
              </w:rPr>
            </w:pPr>
            <w:proofErr w:type="spellStart"/>
            <w:r w:rsidRPr="007D4690">
              <w:rPr>
                <w:b/>
                <w:sz w:val="20"/>
                <w:lang w:val="en-CA" w:eastAsia="zh-CN"/>
              </w:rPr>
              <w:t>chrQpOffset</w:t>
            </w:r>
            <w:proofErr w:type="spellEnd"/>
          </w:p>
        </w:tc>
        <w:tc>
          <w:tcPr>
            <w:tcW w:w="6409" w:type="dxa"/>
            <w:shd w:val="clear" w:color="auto" w:fill="auto"/>
          </w:tcPr>
          <w:p w14:paraId="4A7EF62C" w14:textId="77777777" w:rsidR="00986FB3" w:rsidRPr="007D4690" w:rsidRDefault="00986FB3" w:rsidP="007D4690">
            <w:pPr>
              <w:spacing w:before="0"/>
              <w:rPr>
                <w:sz w:val="20"/>
                <w:lang w:val="en-CA" w:eastAsia="zh-CN"/>
              </w:rPr>
            </w:pPr>
            <w:r w:rsidRPr="007D4690">
              <w:rPr>
                <w:sz w:val="20"/>
                <w:lang w:val="en-CA" w:eastAsia="zh-CN"/>
              </w:rPr>
              <w:t xml:space="preserve">Adds a luma-dependent QP offset to chroma signal, to compensate </w:t>
            </w:r>
            <w:r w:rsidRPr="007D4690">
              <w:rPr>
                <w:sz w:val="20"/>
                <w:lang w:eastAsia="zh-CN"/>
              </w:rPr>
              <w:t>the Luma signal interaction with the Chroma signal</w:t>
            </w:r>
          </w:p>
        </w:tc>
      </w:tr>
      <w:tr w:rsidR="007D4690" w:rsidRPr="007D4690" w14:paraId="499E858C" w14:textId="77777777" w:rsidTr="007D4690">
        <w:tc>
          <w:tcPr>
            <w:tcW w:w="1634" w:type="dxa"/>
            <w:shd w:val="clear" w:color="auto" w:fill="auto"/>
          </w:tcPr>
          <w:p w14:paraId="170D864D" w14:textId="77777777" w:rsidR="00986FB3" w:rsidRPr="007D4690" w:rsidRDefault="00986FB3" w:rsidP="007D4690">
            <w:pPr>
              <w:spacing w:before="0"/>
              <w:rPr>
                <w:sz w:val="20"/>
                <w:lang w:val="en-CA" w:eastAsia="zh-CN"/>
              </w:rPr>
            </w:pPr>
            <w:r w:rsidRPr="007D4690">
              <w:rPr>
                <w:sz w:val="20"/>
                <w:lang w:val="en-CA" w:eastAsia="zh-CN"/>
              </w:rPr>
              <w:t>luma-based Chroma scaling</w:t>
            </w:r>
          </w:p>
        </w:tc>
        <w:tc>
          <w:tcPr>
            <w:tcW w:w="1402" w:type="dxa"/>
            <w:shd w:val="clear" w:color="auto" w:fill="auto"/>
          </w:tcPr>
          <w:p w14:paraId="7CE5FD0E" w14:textId="77777777" w:rsidR="00986FB3" w:rsidRPr="007D4690" w:rsidRDefault="00986FB3" w:rsidP="007D4690">
            <w:pPr>
              <w:spacing w:before="0"/>
              <w:rPr>
                <w:b/>
                <w:sz w:val="20"/>
                <w:lang w:val="en-CA" w:eastAsia="zh-CN"/>
              </w:rPr>
            </w:pPr>
            <w:proofErr w:type="spellStart"/>
            <w:r w:rsidRPr="007D4690">
              <w:rPr>
                <w:b/>
                <w:sz w:val="20"/>
                <w:lang w:val="en-CA" w:eastAsia="zh-CN"/>
              </w:rPr>
              <w:t>chrScaling</w:t>
            </w:r>
            <w:proofErr w:type="spellEnd"/>
          </w:p>
        </w:tc>
        <w:tc>
          <w:tcPr>
            <w:tcW w:w="6409" w:type="dxa"/>
            <w:shd w:val="clear" w:color="auto" w:fill="auto"/>
          </w:tcPr>
          <w:p w14:paraId="1E29EE0F" w14:textId="77777777" w:rsidR="00986FB3" w:rsidRPr="007D4690" w:rsidRDefault="00986FB3" w:rsidP="007D4690">
            <w:pPr>
              <w:spacing w:before="0"/>
              <w:rPr>
                <w:sz w:val="20"/>
                <w:lang w:val="en-CA" w:eastAsia="zh-CN"/>
              </w:rPr>
            </w:pPr>
            <w:r w:rsidRPr="007D4690">
              <w:rPr>
                <w:sz w:val="20"/>
                <w:lang w:val="en-CA" w:eastAsia="zh-CN"/>
              </w:rPr>
              <w:t>luma-based Chroma QP Offset</w:t>
            </w:r>
            <w:r w:rsidRPr="007D4690">
              <w:rPr>
                <w:sz w:val="20"/>
                <w:szCs w:val="22"/>
                <w:lang w:eastAsia="zh-CN"/>
              </w:rPr>
              <w:t xml:space="preserve"> is alternatively implemented by scaling the chroma residue signal in each TU</w:t>
            </w:r>
          </w:p>
        </w:tc>
      </w:tr>
      <w:tr w:rsidR="007D4690" w:rsidRPr="007D4690" w14:paraId="60BEFAAC" w14:textId="77777777" w:rsidTr="007D4690">
        <w:tc>
          <w:tcPr>
            <w:tcW w:w="1634" w:type="dxa"/>
            <w:shd w:val="clear" w:color="auto" w:fill="auto"/>
          </w:tcPr>
          <w:p w14:paraId="61762C5E" w14:textId="77777777" w:rsidR="00986FB3" w:rsidRPr="007D4690" w:rsidRDefault="00986FB3" w:rsidP="007D4690">
            <w:pPr>
              <w:spacing w:before="0"/>
              <w:rPr>
                <w:sz w:val="20"/>
                <w:lang w:val="en-CA" w:eastAsia="zh-CN"/>
              </w:rPr>
            </w:pPr>
            <w:r w:rsidRPr="007D4690">
              <w:rPr>
                <w:sz w:val="20"/>
                <w:lang w:val="en-CA" w:eastAsia="zh-CN"/>
              </w:rPr>
              <w:t>Loop Filter application to original domain</w:t>
            </w:r>
          </w:p>
        </w:tc>
        <w:tc>
          <w:tcPr>
            <w:tcW w:w="1402" w:type="dxa"/>
            <w:shd w:val="clear" w:color="auto" w:fill="auto"/>
          </w:tcPr>
          <w:p w14:paraId="0D90EA31" w14:textId="77777777" w:rsidR="00986FB3" w:rsidRPr="007D4690" w:rsidRDefault="00986FB3" w:rsidP="007D4690">
            <w:pPr>
              <w:spacing w:before="0"/>
              <w:rPr>
                <w:b/>
                <w:sz w:val="20"/>
                <w:lang w:val="en-CA" w:eastAsia="zh-CN"/>
              </w:rPr>
            </w:pPr>
            <w:r w:rsidRPr="007D4690">
              <w:rPr>
                <w:b/>
                <w:bCs/>
                <w:sz w:val="20"/>
                <w:lang w:val="en-CA" w:eastAsia="zh-CN"/>
              </w:rPr>
              <w:t xml:space="preserve">LF </w:t>
            </w:r>
            <w:proofErr w:type="spellStart"/>
            <w:r w:rsidRPr="007D4690">
              <w:rPr>
                <w:b/>
                <w:bCs/>
                <w:sz w:val="20"/>
                <w:lang w:val="en-CA" w:eastAsia="zh-CN"/>
              </w:rPr>
              <w:t>intraOrig</w:t>
            </w:r>
            <w:proofErr w:type="spellEnd"/>
            <w:r w:rsidRPr="007D4690">
              <w:rPr>
                <w:b/>
                <w:bCs/>
                <w:sz w:val="20"/>
                <w:lang w:val="en-CA" w:eastAsia="zh-CN"/>
              </w:rPr>
              <w:t xml:space="preserve"> or LF </w:t>
            </w:r>
            <w:proofErr w:type="spellStart"/>
            <w:r w:rsidRPr="007D4690">
              <w:rPr>
                <w:b/>
                <w:bCs/>
                <w:sz w:val="20"/>
                <w:lang w:val="en-CA" w:eastAsia="zh-CN"/>
              </w:rPr>
              <w:t>interOrig</w:t>
            </w:r>
            <w:proofErr w:type="spellEnd"/>
          </w:p>
        </w:tc>
        <w:tc>
          <w:tcPr>
            <w:tcW w:w="6409" w:type="dxa"/>
            <w:shd w:val="clear" w:color="auto" w:fill="auto"/>
          </w:tcPr>
          <w:p w14:paraId="0B751DB0" w14:textId="77777777" w:rsidR="00986FB3" w:rsidRPr="007D4690" w:rsidRDefault="00986FB3" w:rsidP="007D4690">
            <w:pPr>
              <w:spacing w:before="0"/>
              <w:rPr>
                <w:sz w:val="20"/>
                <w:lang w:val="en-CA" w:eastAsia="zh-CN"/>
              </w:rPr>
            </w:pPr>
            <w:r w:rsidRPr="007D4690">
              <w:rPr>
                <w:sz w:val="20"/>
                <w:lang w:val="en-CA" w:eastAsia="zh-CN"/>
              </w:rPr>
              <w:t>Intra: LF is applied in the original domain, after applying the inverse reshaping</w:t>
            </w:r>
          </w:p>
          <w:p w14:paraId="2700B225" w14:textId="77777777" w:rsidR="00986FB3" w:rsidRPr="007D4690" w:rsidRDefault="00986FB3" w:rsidP="007D4690">
            <w:pPr>
              <w:spacing w:before="0"/>
              <w:rPr>
                <w:sz w:val="20"/>
                <w:lang w:val="en-CA" w:eastAsia="zh-CN"/>
              </w:rPr>
            </w:pPr>
            <w:r w:rsidRPr="007D4690">
              <w:rPr>
                <w:sz w:val="20"/>
                <w:lang w:val="en-CA" w:eastAsia="zh-CN"/>
              </w:rPr>
              <w:t xml:space="preserve">Inter: LF is applied in the original domain. </w:t>
            </w:r>
          </w:p>
        </w:tc>
      </w:tr>
      <w:tr w:rsidR="007D4690" w:rsidRPr="007D4690" w14:paraId="228C1B64" w14:textId="77777777" w:rsidTr="007D4690">
        <w:tc>
          <w:tcPr>
            <w:tcW w:w="1634" w:type="dxa"/>
            <w:shd w:val="clear" w:color="auto" w:fill="auto"/>
          </w:tcPr>
          <w:p w14:paraId="19A39265" w14:textId="77777777" w:rsidR="00986FB3" w:rsidRPr="007D4690" w:rsidRDefault="00986FB3" w:rsidP="007D4690">
            <w:pPr>
              <w:spacing w:before="0"/>
              <w:rPr>
                <w:sz w:val="20"/>
                <w:lang w:val="en-CA" w:eastAsia="zh-CN"/>
              </w:rPr>
            </w:pPr>
            <w:r w:rsidRPr="007D4690">
              <w:rPr>
                <w:sz w:val="20"/>
                <w:lang w:val="en-CA" w:eastAsia="zh-CN"/>
              </w:rPr>
              <w:t>Loop Filter application to reshaped domain</w:t>
            </w:r>
          </w:p>
        </w:tc>
        <w:tc>
          <w:tcPr>
            <w:tcW w:w="1402" w:type="dxa"/>
            <w:shd w:val="clear" w:color="auto" w:fill="auto"/>
          </w:tcPr>
          <w:p w14:paraId="3333F479" w14:textId="77777777" w:rsidR="00986FB3" w:rsidRPr="007D4690" w:rsidRDefault="00986FB3" w:rsidP="007D4690">
            <w:pPr>
              <w:spacing w:before="0"/>
              <w:rPr>
                <w:b/>
                <w:sz w:val="20"/>
                <w:lang w:val="en-CA" w:eastAsia="zh-CN"/>
              </w:rPr>
            </w:pPr>
            <w:r w:rsidRPr="007D4690">
              <w:rPr>
                <w:b/>
                <w:bCs/>
                <w:sz w:val="20"/>
                <w:lang w:val="en-CA" w:eastAsia="zh-CN"/>
              </w:rPr>
              <w:t xml:space="preserve">LF </w:t>
            </w:r>
            <w:proofErr w:type="spellStart"/>
            <w:r w:rsidRPr="007D4690">
              <w:rPr>
                <w:b/>
                <w:bCs/>
                <w:sz w:val="20"/>
                <w:lang w:val="en-CA" w:eastAsia="zh-CN"/>
              </w:rPr>
              <w:t>intraResh</w:t>
            </w:r>
            <w:proofErr w:type="spellEnd"/>
            <w:r w:rsidRPr="007D4690">
              <w:rPr>
                <w:b/>
                <w:bCs/>
                <w:sz w:val="20"/>
                <w:lang w:val="en-CA" w:eastAsia="zh-CN"/>
              </w:rPr>
              <w:t xml:space="preserve"> or LF </w:t>
            </w:r>
            <w:proofErr w:type="spellStart"/>
            <w:r w:rsidRPr="007D4690">
              <w:rPr>
                <w:b/>
                <w:bCs/>
                <w:sz w:val="20"/>
                <w:lang w:val="en-CA" w:eastAsia="zh-CN"/>
              </w:rPr>
              <w:t>interResh</w:t>
            </w:r>
            <w:proofErr w:type="spellEnd"/>
          </w:p>
        </w:tc>
        <w:tc>
          <w:tcPr>
            <w:tcW w:w="6409" w:type="dxa"/>
            <w:shd w:val="clear" w:color="auto" w:fill="auto"/>
          </w:tcPr>
          <w:p w14:paraId="6B36A03E" w14:textId="77777777" w:rsidR="00986FB3" w:rsidRPr="007D4690" w:rsidRDefault="00986FB3" w:rsidP="007D4690">
            <w:pPr>
              <w:spacing w:before="0"/>
              <w:rPr>
                <w:sz w:val="20"/>
                <w:lang w:val="en-CA" w:eastAsia="zh-CN"/>
              </w:rPr>
            </w:pPr>
            <w:r w:rsidRPr="007D4690">
              <w:rPr>
                <w:sz w:val="20"/>
                <w:lang w:val="en-CA" w:eastAsia="zh-CN"/>
              </w:rPr>
              <w:t>Intra: LF is applied in the reshaped domain, before applying the inverse reshaping</w:t>
            </w:r>
          </w:p>
          <w:p w14:paraId="29AE6602" w14:textId="77777777" w:rsidR="00986FB3" w:rsidRPr="007D4690" w:rsidRDefault="00986FB3" w:rsidP="007D4690">
            <w:pPr>
              <w:spacing w:before="0"/>
              <w:rPr>
                <w:sz w:val="20"/>
                <w:lang w:val="en-CA" w:eastAsia="zh-CN"/>
              </w:rPr>
            </w:pPr>
            <w:r w:rsidRPr="007D4690">
              <w:rPr>
                <w:sz w:val="20"/>
                <w:lang w:val="en-CA" w:eastAsia="zh-CN"/>
              </w:rPr>
              <w:t>Inter: LF is applied in the reshaped domain. A pair of forward and inverse reshaping is needed before and after LF.</w:t>
            </w:r>
          </w:p>
        </w:tc>
      </w:tr>
      <w:tr w:rsidR="007D4690" w:rsidRPr="007D4690" w14:paraId="7D79C3F6" w14:textId="77777777" w:rsidTr="007D4690">
        <w:tc>
          <w:tcPr>
            <w:tcW w:w="1634" w:type="dxa"/>
            <w:shd w:val="clear" w:color="auto" w:fill="auto"/>
          </w:tcPr>
          <w:p w14:paraId="74039BCC" w14:textId="77777777" w:rsidR="00986FB3" w:rsidRPr="007D4690" w:rsidRDefault="00986FB3" w:rsidP="007D4690">
            <w:pPr>
              <w:spacing w:before="0"/>
              <w:rPr>
                <w:sz w:val="20"/>
                <w:lang w:val="en-CA" w:eastAsia="zh-CN"/>
              </w:rPr>
            </w:pPr>
            <w:r w:rsidRPr="007D4690">
              <w:rPr>
                <w:sz w:val="20"/>
                <w:lang w:val="en-CA" w:eastAsia="zh-CN"/>
              </w:rPr>
              <w:t>Region of Interest</w:t>
            </w:r>
          </w:p>
        </w:tc>
        <w:tc>
          <w:tcPr>
            <w:tcW w:w="1402" w:type="dxa"/>
            <w:shd w:val="clear" w:color="auto" w:fill="auto"/>
          </w:tcPr>
          <w:p w14:paraId="497CE475" w14:textId="77777777" w:rsidR="00986FB3" w:rsidRPr="007D4690" w:rsidRDefault="00986FB3" w:rsidP="007D4690">
            <w:pPr>
              <w:spacing w:before="0"/>
              <w:rPr>
                <w:b/>
                <w:sz w:val="20"/>
                <w:lang w:val="en-CA" w:eastAsia="zh-CN"/>
              </w:rPr>
            </w:pPr>
            <w:r w:rsidRPr="007D4690">
              <w:rPr>
                <w:b/>
                <w:sz w:val="20"/>
                <w:lang w:val="en-CA" w:eastAsia="zh-CN"/>
              </w:rPr>
              <w:t>ROI</w:t>
            </w:r>
          </w:p>
        </w:tc>
        <w:tc>
          <w:tcPr>
            <w:tcW w:w="6409" w:type="dxa"/>
            <w:shd w:val="clear" w:color="auto" w:fill="auto"/>
          </w:tcPr>
          <w:p w14:paraId="57554660" w14:textId="77777777" w:rsidR="00986FB3" w:rsidRPr="007D4690" w:rsidRDefault="00986FB3" w:rsidP="007D4690">
            <w:pPr>
              <w:spacing w:before="0"/>
              <w:rPr>
                <w:sz w:val="20"/>
                <w:lang w:val="en-CA" w:eastAsia="zh-CN"/>
              </w:rPr>
            </w:pPr>
            <w:r w:rsidRPr="007D4690">
              <w:rPr>
                <w:sz w:val="20"/>
                <w:lang w:val="en-CA" w:eastAsia="zh-CN"/>
              </w:rPr>
              <w:t xml:space="preserve">Adaptively turns on/off the reshaping of a CTU based on the </w:t>
            </w:r>
            <w:r w:rsidRPr="007D4690">
              <w:rPr>
                <w:sz w:val="20"/>
                <w:lang w:eastAsia="zh-CN"/>
              </w:rPr>
              <w:t>average luma value in the CTU</w:t>
            </w:r>
          </w:p>
        </w:tc>
      </w:tr>
    </w:tbl>
    <w:p w14:paraId="1ABB09BD" w14:textId="77777777" w:rsidR="00986FB3" w:rsidRDefault="00986FB3" w:rsidP="00C733D1">
      <w:pPr>
        <w:rPr>
          <w:rFonts w:cs="Arial"/>
          <w:szCs w:val="22"/>
          <w:lang w:eastAsia="ja-JP"/>
        </w:rPr>
      </w:pPr>
    </w:p>
    <w:p w14:paraId="7C640457" w14:textId="46E0BB5E" w:rsidR="00341AD0" w:rsidRDefault="00EC51DF" w:rsidP="00341AD0">
      <w:r>
        <w:t>The summary of tests performance is provided in the table below.</w:t>
      </w:r>
    </w:p>
    <w:tbl>
      <w:tblPr>
        <w:tblW w:w="8620" w:type="dxa"/>
        <w:tblLook w:val="04A0" w:firstRow="1" w:lastRow="0" w:firstColumn="1" w:lastColumn="0" w:noHBand="0" w:noVBand="1"/>
      </w:tblPr>
      <w:tblGrid>
        <w:gridCol w:w="1180"/>
        <w:gridCol w:w="3240"/>
        <w:gridCol w:w="790"/>
        <w:gridCol w:w="829"/>
        <w:gridCol w:w="856"/>
        <w:gridCol w:w="869"/>
        <w:gridCol w:w="856"/>
      </w:tblGrid>
      <w:tr w:rsidR="00EC51DF" w:rsidRPr="00804C30" w14:paraId="44D59D16" w14:textId="77777777" w:rsidTr="005843C5">
        <w:trPr>
          <w:trHeight w:val="300"/>
        </w:trPr>
        <w:tc>
          <w:tcPr>
            <w:tcW w:w="1180" w:type="dxa"/>
            <w:tcBorders>
              <w:top w:val="nil"/>
              <w:left w:val="nil"/>
              <w:bottom w:val="nil"/>
              <w:right w:val="nil"/>
            </w:tcBorders>
            <w:shd w:val="clear" w:color="auto" w:fill="auto"/>
            <w:noWrap/>
            <w:vAlign w:val="bottom"/>
            <w:hideMark/>
          </w:tcPr>
          <w:p w14:paraId="0AA16308"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3240" w:type="dxa"/>
            <w:tcBorders>
              <w:top w:val="nil"/>
              <w:left w:val="nil"/>
              <w:bottom w:val="nil"/>
              <w:right w:val="nil"/>
            </w:tcBorders>
            <w:shd w:val="clear" w:color="auto" w:fill="auto"/>
            <w:noWrap/>
            <w:vAlign w:val="bottom"/>
            <w:hideMark/>
          </w:tcPr>
          <w:p w14:paraId="6C60CF98"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20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08E211"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804C30">
              <w:rPr>
                <w:rFonts w:ascii="Calibri" w:hAnsi="Calibri"/>
                <w:b/>
                <w:bCs/>
                <w:color w:val="000000"/>
                <w:szCs w:val="22"/>
              </w:rPr>
              <w:t>AI - Over VTM1.0</w:t>
            </w:r>
          </w:p>
        </w:tc>
      </w:tr>
      <w:tr w:rsidR="00EC51DF" w:rsidRPr="00804C30" w14:paraId="4683F07F" w14:textId="77777777" w:rsidTr="005843C5">
        <w:trPr>
          <w:trHeight w:val="300"/>
        </w:trPr>
        <w:tc>
          <w:tcPr>
            <w:tcW w:w="1180" w:type="dxa"/>
            <w:tcBorders>
              <w:top w:val="single" w:sz="4" w:space="0" w:color="auto"/>
              <w:left w:val="single" w:sz="4" w:space="0" w:color="auto"/>
              <w:bottom w:val="nil"/>
              <w:right w:val="single" w:sz="4" w:space="0" w:color="auto"/>
            </w:tcBorders>
            <w:shd w:val="clear" w:color="auto" w:fill="auto"/>
            <w:noWrap/>
            <w:vAlign w:val="bottom"/>
            <w:hideMark/>
          </w:tcPr>
          <w:p w14:paraId="51F838F2"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Test#</w:t>
            </w:r>
          </w:p>
        </w:tc>
        <w:tc>
          <w:tcPr>
            <w:tcW w:w="3240" w:type="dxa"/>
            <w:tcBorders>
              <w:top w:val="single" w:sz="4" w:space="0" w:color="auto"/>
              <w:left w:val="nil"/>
              <w:bottom w:val="nil"/>
              <w:right w:val="single" w:sz="4" w:space="0" w:color="auto"/>
            </w:tcBorders>
            <w:shd w:val="clear" w:color="auto" w:fill="auto"/>
            <w:noWrap/>
            <w:vAlign w:val="bottom"/>
            <w:hideMark/>
          </w:tcPr>
          <w:p w14:paraId="3AAD8198"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Description</w:t>
            </w:r>
          </w:p>
        </w:tc>
        <w:tc>
          <w:tcPr>
            <w:tcW w:w="790" w:type="dxa"/>
            <w:tcBorders>
              <w:top w:val="nil"/>
              <w:left w:val="nil"/>
              <w:bottom w:val="nil"/>
              <w:right w:val="nil"/>
            </w:tcBorders>
            <w:shd w:val="clear" w:color="auto" w:fill="auto"/>
            <w:noWrap/>
            <w:vAlign w:val="bottom"/>
            <w:hideMark/>
          </w:tcPr>
          <w:p w14:paraId="2D516A5A"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DE100</w:t>
            </w:r>
          </w:p>
        </w:tc>
        <w:tc>
          <w:tcPr>
            <w:tcW w:w="829" w:type="dxa"/>
            <w:tcBorders>
              <w:top w:val="nil"/>
              <w:left w:val="nil"/>
              <w:bottom w:val="nil"/>
              <w:right w:val="single" w:sz="4" w:space="0" w:color="auto"/>
            </w:tcBorders>
            <w:shd w:val="clear" w:color="auto" w:fill="auto"/>
            <w:noWrap/>
            <w:vAlign w:val="bottom"/>
            <w:hideMark/>
          </w:tcPr>
          <w:p w14:paraId="2769D923"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PSNRL</w:t>
            </w:r>
          </w:p>
        </w:tc>
        <w:tc>
          <w:tcPr>
            <w:tcW w:w="856" w:type="dxa"/>
            <w:tcBorders>
              <w:top w:val="nil"/>
              <w:left w:val="nil"/>
              <w:bottom w:val="nil"/>
              <w:right w:val="nil"/>
            </w:tcBorders>
            <w:shd w:val="clear" w:color="auto" w:fill="auto"/>
            <w:noWrap/>
            <w:vAlign w:val="bottom"/>
            <w:hideMark/>
          </w:tcPr>
          <w:p w14:paraId="22BBD069"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04C30">
              <w:rPr>
                <w:rFonts w:ascii="Arial" w:hAnsi="Arial" w:cs="Arial"/>
                <w:color w:val="000000"/>
                <w:sz w:val="18"/>
                <w:szCs w:val="18"/>
              </w:rPr>
              <w:t>wPsnrY</w:t>
            </w:r>
            <w:proofErr w:type="spellEnd"/>
          </w:p>
        </w:tc>
        <w:tc>
          <w:tcPr>
            <w:tcW w:w="869" w:type="dxa"/>
            <w:tcBorders>
              <w:top w:val="nil"/>
              <w:left w:val="nil"/>
              <w:bottom w:val="nil"/>
              <w:right w:val="nil"/>
            </w:tcBorders>
            <w:shd w:val="clear" w:color="auto" w:fill="auto"/>
            <w:noWrap/>
            <w:vAlign w:val="bottom"/>
            <w:hideMark/>
          </w:tcPr>
          <w:p w14:paraId="1A370491"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04C30">
              <w:rPr>
                <w:rFonts w:ascii="Arial" w:hAnsi="Arial" w:cs="Arial"/>
                <w:color w:val="000000"/>
                <w:sz w:val="18"/>
                <w:szCs w:val="18"/>
              </w:rPr>
              <w:t>wPsnrU</w:t>
            </w:r>
            <w:proofErr w:type="spellEnd"/>
          </w:p>
        </w:tc>
        <w:tc>
          <w:tcPr>
            <w:tcW w:w="856" w:type="dxa"/>
            <w:tcBorders>
              <w:top w:val="nil"/>
              <w:left w:val="nil"/>
              <w:bottom w:val="nil"/>
              <w:right w:val="single" w:sz="4" w:space="0" w:color="auto"/>
            </w:tcBorders>
            <w:shd w:val="clear" w:color="auto" w:fill="auto"/>
            <w:noWrap/>
            <w:vAlign w:val="bottom"/>
            <w:hideMark/>
          </w:tcPr>
          <w:p w14:paraId="4BB6FFE6"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04C30">
              <w:rPr>
                <w:rFonts w:ascii="Arial" w:hAnsi="Arial" w:cs="Arial"/>
                <w:color w:val="000000"/>
                <w:sz w:val="18"/>
                <w:szCs w:val="18"/>
              </w:rPr>
              <w:t>wPsnrV</w:t>
            </w:r>
            <w:proofErr w:type="spellEnd"/>
          </w:p>
        </w:tc>
      </w:tr>
      <w:tr w:rsidR="00EC51DF" w:rsidRPr="00EC51DF" w14:paraId="5C7B0275" w14:textId="77777777" w:rsidTr="005843C5">
        <w:trPr>
          <w:trHeight w:val="300"/>
        </w:trPr>
        <w:tc>
          <w:tcPr>
            <w:tcW w:w="118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4EAE1F16" w14:textId="77777777" w:rsidR="00EC51DF" w:rsidRPr="00EC51DF"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20"/>
                <w:szCs w:val="22"/>
              </w:rPr>
            </w:pPr>
            <w:r w:rsidRPr="00EC51DF">
              <w:rPr>
                <w:rFonts w:ascii="Calibri" w:hAnsi="Calibri"/>
                <w:b/>
                <w:bCs/>
                <w:color w:val="000000"/>
                <w:sz w:val="20"/>
                <w:szCs w:val="22"/>
              </w:rPr>
              <w:t>out-of-loop</w:t>
            </w:r>
          </w:p>
        </w:tc>
        <w:tc>
          <w:tcPr>
            <w:tcW w:w="3240" w:type="dxa"/>
            <w:tcBorders>
              <w:top w:val="single" w:sz="4" w:space="0" w:color="auto"/>
              <w:left w:val="nil"/>
              <w:bottom w:val="single" w:sz="4" w:space="0" w:color="auto"/>
              <w:right w:val="single" w:sz="4" w:space="0" w:color="auto"/>
            </w:tcBorders>
            <w:shd w:val="clear" w:color="000000" w:fill="BFBFBF"/>
            <w:noWrap/>
            <w:vAlign w:val="bottom"/>
            <w:hideMark/>
          </w:tcPr>
          <w:p w14:paraId="08EB7EDD" w14:textId="77777777" w:rsidR="00EC51DF" w:rsidRPr="00EC51DF"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20"/>
                <w:szCs w:val="22"/>
              </w:rPr>
            </w:pPr>
            <w:r w:rsidRPr="00EC51DF">
              <w:rPr>
                <w:rFonts w:ascii="Calibri" w:hAnsi="Calibri"/>
                <w:b/>
                <w:bCs/>
                <w:color w:val="000000"/>
                <w:sz w:val="20"/>
                <w:szCs w:val="22"/>
              </w:rPr>
              <w:t> </w:t>
            </w:r>
          </w:p>
        </w:tc>
        <w:tc>
          <w:tcPr>
            <w:tcW w:w="790" w:type="dxa"/>
            <w:tcBorders>
              <w:top w:val="single" w:sz="4" w:space="0" w:color="auto"/>
              <w:left w:val="nil"/>
              <w:bottom w:val="single" w:sz="4" w:space="0" w:color="auto"/>
              <w:right w:val="nil"/>
            </w:tcBorders>
            <w:shd w:val="clear" w:color="000000" w:fill="BFBFBF"/>
            <w:noWrap/>
            <w:vAlign w:val="bottom"/>
            <w:hideMark/>
          </w:tcPr>
          <w:p w14:paraId="4D6E9F07" w14:textId="77777777" w:rsidR="00EC51DF" w:rsidRPr="00EC51DF"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20"/>
                <w:szCs w:val="22"/>
              </w:rPr>
            </w:pPr>
            <w:r w:rsidRPr="00EC51DF">
              <w:rPr>
                <w:rFonts w:ascii="Calibri" w:hAnsi="Calibri"/>
                <w:b/>
                <w:bCs/>
                <w:color w:val="000000"/>
                <w:sz w:val="20"/>
                <w:szCs w:val="22"/>
              </w:rPr>
              <w:t> </w:t>
            </w:r>
          </w:p>
        </w:tc>
        <w:tc>
          <w:tcPr>
            <w:tcW w:w="829" w:type="dxa"/>
            <w:tcBorders>
              <w:top w:val="single" w:sz="4" w:space="0" w:color="auto"/>
              <w:left w:val="nil"/>
              <w:bottom w:val="single" w:sz="4" w:space="0" w:color="auto"/>
              <w:right w:val="single" w:sz="4" w:space="0" w:color="auto"/>
            </w:tcBorders>
            <w:shd w:val="clear" w:color="000000" w:fill="BFBFBF"/>
            <w:noWrap/>
            <w:vAlign w:val="bottom"/>
            <w:hideMark/>
          </w:tcPr>
          <w:p w14:paraId="27D7B8F8" w14:textId="77777777" w:rsidR="00EC51DF" w:rsidRPr="00EC51DF"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20"/>
                <w:szCs w:val="22"/>
              </w:rPr>
            </w:pPr>
            <w:r w:rsidRPr="00EC51DF">
              <w:rPr>
                <w:rFonts w:ascii="Calibri" w:hAnsi="Calibri"/>
                <w:b/>
                <w:bCs/>
                <w:color w:val="000000"/>
                <w:sz w:val="20"/>
                <w:szCs w:val="22"/>
              </w:rPr>
              <w:t> </w:t>
            </w:r>
          </w:p>
        </w:tc>
        <w:tc>
          <w:tcPr>
            <w:tcW w:w="856" w:type="dxa"/>
            <w:tcBorders>
              <w:top w:val="single" w:sz="4" w:space="0" w:color="auto"/>
              <w:left w:val="nil"/>
              <w:bottom w:val="single" w:sz="4" w:space="0" w:color="auto"/>
              <w:right w:val="nil"/>
            </w:tcBorders>
            <w:shd w:val="clear" w:color="000000" w:fill="BFBFBF"/>
            <w:noWrap/>
            <w:vAlign w:val="bottom"/>
            <w:hideMark/>
          </w:tcPr>
          <w:p w14:paraId="19DFCB60" w14:textId="77777777" w:rsidR="00EC51DF" w:rsidRPr="00EC51DF"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20"/>
                <w:szCs w:val="22"/>
              </w:rPr>
            </w:pPr>
            <w:r w:rsidRPr="00EC51DF">
              <w:rPr>
                <w:rFonts w:ascii="Calibri" w:hAnsi="Calibri"/>
                <w:b/>
                <w:bCs/>
                <w:color w:val="000000"/>
                <w:sz w:val="20"/>
                <w:szCs w:val="22"/>
              </w:rPr>
              <w:t> </w:t>
            </w:r>
          </w:p>
        </w:tc>
        <w:tc>
          <w:tcPr>
            <w:tcW w:w="869" w:type="dxa"/>
            <w:tcBorders>
              <w:top w:val="single" w:sz="4" w:space="0" w:color="auto"/>
              <w:left w:val="nil"/>
              <w:bottom w:val="single" w:sz="4" w:space="0" w:color="auto"/>
              <w:right w:val="nil"/>
            </w:tcBorders>
            <w:shd w:val="clear" w:color="000000" w:fill="BFBFBF"/>
            <w:noWrap/>
            <w:vAlign w:val="bottom"/>
            <w:hideMark/>
          </w:tcPr>
          <w:p w14:paraId="3989EE14" w14:textId="77777777" w:rsidR="00EC51DF" w:rsidRPr="00EC51DF"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20"/>
                <w:szCs w:val="22"/>
              </w:rPr>
            </w:pPr>
            <w:r w:rsidRPr="00EC51DF">
              <w:rPr>
                <w:rFonts w:ascii="Calibri" w:hAnsi="Calibri"/>
                <w:b/>
                <w:bCs/>
                <w:color w:val="000000"/>
                <w:sz w:val="20"/>
                <w:szCs w:val="22"/>
              </w:rPr>
              <w:t> </w:t>
            </w:r>
          </w:p>
        </w:tc>
        <w:tc>
          <w:tcPr>
            <w:tcW w:w="856" w:type="dxa"/>
            <w:tcBorders>
              <w:top w:val="single" w:sz="4" w:space="0" w:color="auto"/>
              <w:left w:val="nil"/>
              <w:bottom w:val="single" w:sz="4" w:space="0" w:color="auto"/>
              <w:right w:val="single" w:sz="4" w:space="0" w:color="auto"/>
            </w:tcBorders>
            <w:shd w:val="clear" w:color="000000" w:fill="BFBFBF"/>
            <w:noWrap/>
            <w:vAlign w:val="bottom"/>
            <w:hideMark/>
          </w:tcPr>
          <w:p w14:paraId="7B7F44B0" w14:textId="77777777" w:rsidR="00EC51DF" w:rsidRPr="00EC51DF"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20"/>
                <w:szCs w:val="22"/>
              </w:rPr>
            </w:pPr>
            <w:r w:rsidRPr="00EC51DF">
              <w:rPr>
                <w:rFonts w:ascii="Calibri" w:hAnsi="Calibri"/>
                <w:b/>
                <w:bCs/>
                <w:color w:val="000000"/>
                <w:sz w:val="20"/>
                <w:szCs w:val="22"/>
              </w:rPr>
              <w:t> </w:t>
            </w:r>
          </w:p>
        </w:tc>
      </w:tr>
      <w:tr w:rsidR="00EC51DF" w:rsidRPr="00804C30" w14:paraId="39C5C9EB" w14:textId="77777777" w:rsidTr="005843C5">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761A1958"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CE12-1</w:t>
            </w:r>
          </w:p>
        </w:tc>
        <w:tc>
          <w:tcPr>
            <w:tcW w:w="3240" w:type="dxa"/>
            <w:tcBorders>
              <w:top w:val="nil"/>
              <w:left w:val="nil"/>
              <w:bottom w:val="nil"/>
              <w:right w:val="single" w:sz="4" w:space="0" w:color="auto"/>
            </w:tcBorders>
            <w:shd w:val="clear" w:color="auto" w:fill="auto"/>
            <w:noWrap/>
            <w:vAlign w:val="center"/>
            <w:hideMark/>
          </w:tcPr>
          <w:p w14:paraId="624B32D0"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 xml:space="preserve">DRA + </w:t>
            </w:r>
            <w:proofErr w:type="spellStart"/>
            <w:r w:rsidRPr="00804C30">
              <w:rPr>
                <w:rFonts w:ascii="Calibri" w:hAnsi="Calibri"/>
                <w:color w:val="000000"/>
                <w:szCs w:val="22"/>
              </w:rPr>
              <w:t>RefintFlt</w:t>
            </w:r>
            <w:proofErr w:type="spellEnd"/>
          </w:p>
        </w:tc>
        <w:tc>
          <w:tcPr>
            <w:tcW w:w="790" w:type="dxa"/>
            <w:tcBorders>
              <w:top w:val="nil"/>
              <w:left w:val="single" w:sz="4" w:space="0" w:color="auto"/>
              <w:bottom w:val="nil"/>
              <w:right w:val="nil"/>
            </w:tcBorders>
            <w:shd w:val="clear" w:color="000000" w:fill="CCFFCC"/>
            <w:noWrap/>
            <w:vAlign w:val="bottom"/>
            <w:hideMark/>
          </w:tcPr>
          <w:p w14:paraId="79E93A7D"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-18.8%</w:t>
            </w:r>
          </w:p>
        </w:tc>
        <w:tc>
          <w:tcPr>
            <w:tcW w:w="829" w:type="dxa"/>
            <w:tcBorders>
              <w:top w:val="nil"/>
              <w:left w:val="nil"/>
              <w:bottom w:val="nil"/>
              <w:right w:val="single" w:sz="4" w:space="0" w:color="auto"/>
            </w:tcBorders>
            <w:shd w:val="clear" w:color="auto" w:fill="auto"/>
            <w:noWrap/>
            <w:vAlign w:val="bottom"/>
            <w:hideMark/>
          </w:tcPr>
          <w:p w14:paraId="0375C0F4"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-0.7%</w:t>
            </w:r>
          </w:p>
        </w:tc>
        <w:tc>
          <w:tcPr>
            <w:tcW w:w="856" w:type="dxa"/>
            <w:tcBorders>
              <w:top w:val="nil"/>
              <w:left w:val="nil"/>
              <w:bottom w:val="nil"/>
              <w:right w:val="nil"/>
            </w:tcBorders>
            <w:shd w:val="clear" w:color="auto" w:fill="auto"/>
            <w:noWrap/>
            <w:vAlign w:val="bottom"/>
            <w:hideMark/>
          </w:tcPr>
          <w:p w14:paraId="577807B6"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1.7%</w:t>
            </w:r>
          </w:p>
        </w:tc>
        <w:tc>
          <w:tcPr>
            <w:tcW w:w="869" w:type="dxa"/>
            <w:tcBorders>
              <w:top w:val="nil"/>
              <w:left w:val="nil"/>
              <w:bottom w:val="nil"/>
              <w:right w:val="nil"/>
            </w:tcBorders>
            <w:shd w:val="clear" w:color="000000" w:fill="CCFFCC"/>
            <w:noWrap/>
            <w:vAlign w:val="bottom"/>
            <w:hideMark/>
          </w:tcPr>
          <w:p w14:paraId="32CCBE5D"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-11.6%</w:t>
            </w:r>
          </w:p>
        </w:tc>
        <w:tc>
          <w:tcPr>
            <w:tcW w:w="856" w:type="dxa"/>
            <w:tcBorders>
              <w:top w:val="nil"/>
              <w:left w:val="nil"/>
              <w:bottom w:val="nil"/>
              <w:right w:val="single" w:sz="4" w:space="0" w:color="auto"/>
            </w:tcBorders>
            <w:shd w:val="clear" w:color="000000" w:fill="CCFFCC"/>
            <w:noWrap/>
            <w:vAlign w:val="bottom"/>
            <w:hideMark/>
          </w:tcPr>
          <w:p w14:paraId="73AFC92D"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-41.1%</w:t>
            </w:r>
          </w:p>
        </w:tc>
      </w:tr>
      <w:tr w:rsidR="00EC51DF" w:rsidRPr="00804C30" w14:paraId="5FC6BA46" w14:textId="77777777" w:rsidTr="005843C5">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73E01EE6"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CE12-3.1</w:t>
            </w:r>
          </w:p>
        </w:tc>
        <w:tc>
          <w:tcPr>
            <w:tcW w:w="3240" w:type="dxa"/>
            <w:tcBorders>
              <w:top w:val="nil"/>
              <w:left w:val="nil"/>
              <w:bottom w:val="nil"/>
              <w:right w:val="single" w:sz="4" w:space="0" w:color="auto"/>
            </w:tcBorders>
            <w:shd w:val="clear" w:color="auto" w:fill="auto"/>
            <w:noWrap/>
            <w:vAlign w:val="center"/>
            <w:hideMark/>
          </w:tcPr>
          <w:p w14:paraId="780E5849"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 xml:space="preserve">DRA + </w:t>
            </w:r>
            <w:proofErr w:type="spellStart"/>
            <w:r w:rsidRPr="00804C30">
              <w:rPr>
                <w:rFonts w:ascii="Calibri" w:hAnsi="Calibri"/>
                <w:color w:val="000000"/>
                <w:szCs w:val="22"/>
              </w:rPr>
              <w:t>RefintFlt</w:t>
            </w:r>
            <w:proofErr w:type="spellEnd"/>
            <w:r w:rsidRPr="00804C30">
              <w:rPr>
                <w:rFonts w:ascii="Calibri" w:hAnsi="Calibri"/>
                <w:color w:val="000000"/>
                <w:szCs w:val="22"/>
              </w:rPr>
              <w:t xml:space="preserve"> + </w:t>
            </w:r>
            <w:proofErr w:type="spellStart"/>
            <w:r w:rsidRPr="00804C30">
              <w:rPr>
                <w:rFonts w:ascii="Calibri" w:hAnsi="Calibri"/>
                <w:color w:val="000000"/>
                <w:szCs w:val="22"/>
              </w:rPr>
              <w:t>qpHarmoniz</w:t>
            </w:r>
            <w:proofErr w:type="spellEnd"/>
          </w:p>
        </w:tc>
        <w:tc>
          <w:tcPr>
            <w:tcW w:w="790" w:type="dxa"/>
            <w:tcBorders>
              <w:top w:val="nil"/>
              <w:left w:val="single" w:sz="4" w:space="0" w:color="auto"/>
              <w:bottom w:val="nil"/>
              <w:right w:val="nil"/>
            </w:tcBorders>
            <w:shd w:val="clear" w:color="000000" w:fill="CCFFCC"/>
            <w:noWrap/>
            <w:vAlign w:val="bottom"/>
            <w:hideMark/>
          </w:tcPr>
          <w:p w14:paraId="595DD6BD"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-11.7%</w:t>
            </w:r>
          </w:p>
        </w:tc>
        <w:tc>
          <w:tcPr>
            <w:tcW w:w="829" w:type="dxa"/>
            <w:tcBorders>
              <w:top w:val="nil"/>
              <w:left w:val="nil"/>
              <w:bottom w:val="nil"/>
              <w:right w:val="single" w:sz="4" w:space="0" w:color="auto"/>
            </w:tcBorders>
            <w:shd w:val="clear" w:color="000000" w:fill="CCFFCC"/>
            <w:noWrap/>
            <w:vAlign w:val="bottom"/>
            <w:hideMark/>
          </w:tcPr>
          <w:p w14:paraId="0003F1FF"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-3.1%</w:t>
            </w:r>
          </w:p>
        </w:tc>
        <w:tc>
          <w:tcPr>
            <w:tcW w:w="856" w:type="dxa"/>
            <w:tcBorders>
              <w:top w:val="nil"/>
              <w:left w:val="nil"/>
              <w:bottom w:val="nil"/>
              <w:right w:val="nil"/>
            </w:tcBorders>
            <w:shd w:val="clear" w:color="auto" w:fill="auto"/>
            <w:noWrap/>
            <w:vAlign w:val="bottom"/>
            <w:hideMark/>
          </w:tcPr>
          <w:p w14:paraId="3267753E"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-0.8%</w:t>
            </w:r>
          </w:p>
        </w:tc>
        <w:tc>
          <w:tcPr>
            <w:tcW w:w="869" w:type="dxa"/>
            <w:tcBorders>
              <w:top w:val="nil"/>
              <w:left w:val="nil"/>
              <w:bottom w:val="nil"/>
              <w:right w:val="nil"/>
            </w:tcBorders>
            <w:shd w:val="clear" w:color="000000" w:fill="CCFFCC"/>
            <w:noWrap/>
            <w:vAlign w:val="bottom"/>
            <w:hideMark/>
          </w:tcPr>
          <w:p w14:paraId="46098871"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-11.3%</w:t>
            </w:r>
          </w:p>
        </w:tc>
        <w:tc>
          <w:tcPr>
            <w:tcW w:w="856" w:type="dxa"/>
            <w:tcBorders>
              <w:top w:val="nil"/>
              <w:left w:val="nil"/>
              <w:bottom w:val="nil"/>
              <w:right w:val="single" w:sz="4" w:space="0" w:color="auto"/>
            </w:tcBorders>
            <w:shd w:val="clear" w:color="000000" w:fill="CCFFCC"/>
            <w:noWrap/>
            <w:vAlign w:val="bottom"/>
            <w:hideMark/>
          </w:tcPr>
          <w:p w14:paraId="76C43233"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-28.8%</w:t>
            </w:r>
          </w:p>
        </w:tc>
      </w:tr>
      <w:tr w:rsidR="00EC51DF" w:rsidRPr="00804C30" w14:paraId="0949A749" w14:textId="77777777" w:rsidTr="005843C5">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65E4F10F"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CE12-3.2</w:t>
            </w:r>
          </w:p>
        </w:tc>
        <w:tc>
          <w:tcPr>
            <w:tcW w:w="3240" w:type="dxa"/>
            <w:tcBorders>
              <w:top w:val="nil"/>
              <w:left w:val="nil"/>
              <w:bottom w:val="nil"/>
              <w:right w:val="single" w:sz="4" w:space="0" w:color="auto"/>
            </w:tcBorders>
            <w:shd w:val="clear" w:color="auto" w:fill="auto"/>
            <w:noWrap/>
            <w:vAlign w:val="center"/>
            <w:hideMark/>
          </w:tcPr>
          <w:p w14:paraId="1B00C04A"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 xml:space="preserve">DRA + </w:t>
            </w:r>
            <w:proofErr w:type="spellStart"/>
            <w:r w:rsidRPr="00804C30">
              <w:rPr>
                <w:rFonts w:ascii="Calibri" w:hAnsi="Calibri"/>
                <w:color w:val="000000"/>
                <w:szCs w:val="22"/>
              </w:rPr>
              <w:t>RefintFix</w:t>
            </w:r>
            <w:proofErr w:type="spellEnd"/>
            <w:r w:rsidRPr="00804C30">
              <w:rPr>
                <w:rFonts w:ascii="Calibri" w:hAnsi="Calibri"/>
                <w:color w:val="000000"/>
                <w:szCs w:val="22"/>
              </w:rPr>
              <w:t xml:space="preserve"> + </w:t>
            </w:r>
            <w:proofErr w:type="spellStart"/>
            <w:r w:rsidRPr="00804C30">
              <w:rPr>
                <w:rFonts w:ascii="Calibri" w:hAnsi="Calibri"/>
                <w:color w:val="000000"/>
                <w:szCs w:val="22"/>
              </w:rPr>
              <w:t>qpHarmoniz</w:t>
            </w:r>
            <w:proofErr w:type="spellEnd"/>
            <w:r w:rsidRPr="00804C30">
              <w:rPr>
                <w:rFonts w:ascii="Calibri" w:hAnsi="Calibri"/>
                <w:color w:val="000000"/>
                <w:szCs w:val="22"/>
              </w:rPr>
              <w:t xml:space="preserve"> </w:t>
            </w:r>
          </w:p>
        </w:tc>
        <w:tc>
          <w:tcPr>
            <w:tcW w:w="790" w:type="dxa"/>
            <w:tcBorders>
              <w:top w:val="nil"/>
              <w:left w:val="single" w:sz="4" w:space="0" w:color="auto"/>
              <w:bottom w:val="nil"/>
              <w:right w:val="nil"/>
            </w:tcBorders>
            <w:shd w:val="clear" w:color="000000" w:fill="CCFFCC"/>
            <w:noWrap/>
            <w:vAlign w:val="bottom"/>
            <w:hideMark/>
          </w:tcPr>
          <w:p w14:paraId="06DDA9AF"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-11.7%</w:t>
            </w:r>
          </w:p>
        </w:tc>
        <w:tc>
          <w:tcPr>
            <w:tcW w:w="829" w:type="dxa"/>
            <w:tcBorders>
              <w:top w:val="nil"/>
              <w:left w:val="nil"/>
              <w:bottom w:val="nil"/>
              <w:right w:val="single" w:sz="4" w:space="0" w:color="auto"/>
            </w:tcBorders>
            <w:shd w:val="clear" w:color="000000" w:fill="CCFFCC"/>
            <w:noWrap/>
            <w:vAlign w:val="bottom"/>
            <w:hideMark/>
          </w:tcPr>
          <w:p w14:paraId="00C3470A"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-3.1%</w:t>
            </w:r>
          </w:p>
        </w:tc>
        <w:tc>
          <w:tcPr>
            <w:tcW w:w="856" w:type="dxa"/>
            <w:tcBorders>
              <w:top w:val="nil"/>
              <w:left w:val="nil"/>
              <w:bottom w:val="nil"/>
              <w:right w:val="nil"/>
            </w:tcBorders>
            <w:shd w:val="clear" w:color="auto" w:fill="auto"/>
            <w:noWrap/>
            <w:vAlign w:val="bottom"/>
            <w:hideMark/>
          </w:tcPr>
          <w:p w14:paraId="5E890167"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-0.8%</w:t>
            </w:r>
          </w:p>
        </w:tc>
        <w:tc>
          <w:tcPr>
            <w:tcW w:w="869" w:type="dxa"/>
            <w:tcBorders>
              <w:top w:val="nil"/>
              <w:left w:val="nil"/>
              <w:bottom w:val="nil"/>
              <w:right w:val="nil"/>
            </w:tcBorders>
            <w:shd w:val="clear" w:color="000000" w:fill="CCFFCC"/>
            <w:noWrap/>
            <w:vAlign w:val="bottom"/>
            <w:hideMark/>
          </w:tcPr>
          <w:p w14:paraId="4907C428"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-11.4%</w:t>
            </w:r>
          </w:p>
        </w:tc>
        <w:tc>
          <w:tcPr>
            <w:tcW w:w="856" w:type="dxa"/>
            <w:tcBorders>
              <w:top w:val="nil"/>
              <w:left w:val="nil"/>
              <w:bottom w:val="nil"/>
              <w:right w:val="single" w:sz="4" w:space="0" w:color="auto"/>
            </w:tcBorders>
            <w:shd w:val="clear" w:color="000000" w:fill="CCFFCC"/>
            <w:noWrap/>
            <w:vAlign w:val="bottom"/>
            <w:hideMark/>
          </w:tcPr>
          <w:p w14:paraId="49FCFB83"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-28.8%</w:t>
            </w:r>
          </w:p>
        </w:tc>
      </w:tr>
      <w:tr w:rsidR="00EC51DF" w:rsidRPr="00804C30" w14:paraId="002EF00C" w14:textId="77777777" w:rsidTr="005843C5">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69A35510"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CE12-3.3</w:t>
            </w:r>
          </w:p>
        </w:tc>
        <w:tc>
          <w:tcPr>
            <w:tcW w:w="3240" w:type="dxa"/>
            <w:tcBorders>
              <w:top w:val="nil"/>
              <w:left w:val="nil"/>
              <w:bottom w:val="nil"/>
              <w:right w:val="single" w:sz="4" w:space="0" w:color="auto"/>
            </w:tcBorders>
            <w:shd w:val="clear" w:color="auto" w:fill="auto"/>
            <w:noWrap/>
            <w:vAlign w:val="center"/>
            <w:hideMark/>
          </w:tcPr>
          <w:p w14:paraId="3A0333D5"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 xml:space="preserve">DRA + </w:t>
            </w:r>
            <w:proofErr w:type="spellStart"/>
            <w:r w:rsidRPr="00804C30">
              <w:rPr>
                <w:rFonts w:ascii="Calibri" w:hAnsi="Calibri"/>
                <w:color w:val="000000"/>
                <w:szCs w:val="22"/>
              </w:rPr>
              <w:t>qpHarmoniz</w:t>
            </w:r>
            <w:proofErr w:type="spellEnd"/>
          </w:p>
        </w:tc>
        <w:tc>
          <w:tcPr>
            <w:tcW w:w="790" w:type="dxa"/>
            <w:tcBorders>
              <w:top w:val="nil"/>
              <w:left w:val="single" w:sz="4" w:space="0" w:color="auto"/>
              <w:bottom w:val="nil"/>
              <w:right w:val="nil"/>
            </w:tcBorders>
            <w:shd w:val="clear" w:color="000000" w:fill="CCFFCC"/>
            <w:noWrap/>
            <w:vAlign w:val="bottom"/>
            <w:hideMark/>
          </w:tcPr>
          <w:p w14:paraId="27E8573C"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-8.0%</w:t>
            </w:r>
          </w:p>
        </w:tc>
        <w:tc>
          <w:tcPr>
            <w:tcW w:w="829" w:type="dxa"/>
            <w:tcBorders>
              <w:top w:val="nil"/>
              <w:left w:val="nil"/>
              <w:bottom w:val="nil"/>
              <w:right w:val="single" w:sz="4" w:space="0" w:color="auto"/>
            </w:tcBorders>
            <w:shd w:val="clear" w:color="000000" w:fill="CCFFCC"/>
            <w:noWrap/>
            <w:vAlign w:val="bottom"/>
            <w:hideMark/>
          </w:tcPr>
          <w:p w14:paraId="17675F02"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-3.1%</w:t>
            </w:r>
          </w:p>
        </w:tc>
        <w:tc>
          <w:tcPr>
            <w:tcW w:w="856" w:type="dxa"/>
            <w:tcBorders>
              <w:top w:val="nil"/>
              <w:left w:val="nil"/>
              <w:bottom w:val="nil"/>
              <w:right w:val="nil"/>
            </w:tcBorders>
            <w:shd w:val="clear" w:color="auto" w:fill="auto"/>
            <w:noWrap/>
            <w:vAlign w:val="bottom"/>
            <w:hideMark/>
          </w:tcPr>
          <w:p w14:paraId="73B48AC4"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-0.7%</w:t>
            </w:r>
          </w:p>
        </w:tc>
        <w:tc>
          <w:tcPr>
            <w:tcW w:w="869" w:type="dxa"/>
            <w:tcBorders>
              <w:top w:val="nil"/>
              <w:left w:val="nil"/>
              <w:bottom w:val="nil"/>
              <w:right w:val="nil"/>
            </w:tcBorders>
            <w:shd w:val="clear" w:color="auto" w:fill="auto"/>
            <w:noWrap/>
            <w:vAlign w:val="bottom"/>
            <w:hideMark/>
          </w:tcPr>
          <w:p w14:paraId="703C867F"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-0.2%</w:t>
            </w:r>
          </w:p>
        </w:tc>
        <w:tc>
          <w:tcPr>
            <w:tcW w:w="856" w:type="dxa"/>
            <w:tcBorders>
              <w:top w:val="nil"/>
              <w:left w:val="nil"/>
              <w:bottom w:val="nil"/>
              <w:right w:val="single" w:sz="4" w:space="0" w:color="auto"/>
            </w:tcBorders>
            <w:shd w:val="clear" w:color="000000" w:fill="CCFFCC"/>
            <w:noWrap/>
            <w:vAlign w:val="bottom"/>
            <w:hideMark/>
          </w:tcPr>
          <w:p w14:paraId="5D00BBBB"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-14.7%</w:t>
            </w:r>
          </w:p>
        </w:tc>
      </w:tr>
      <w:tr w:rsidR="00EC51DF" w:rsidRPr="00804C30" w14:paraId="749B7B17" w14:textId="77777777" w:rsidTr="005843C5">
        <w:trPr>
          <w:trHeight w:val="300"/>
        </w:trPr>
        <w:tc>
          <w:tcPr>
            <w:tcW w:w="118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23BB9A2F"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in-loop</w:t>
            </w:r>
          </w:p>
        </w:tc>
        <w:tc>
          <w:tcPr>
            <w:tcW w:w="3240" w:type="dxa"/>
            <w:tcBorders>
              <w:top w:val="single" w:sz="4" w:space="0" w:color="auto"/>
              <w:left w:val="nil"/>
              <w:bottom w:val="single" w:sz="4" w:space="0" w:color="auto"/>
              <w:right w:val="single" w:sz="4" w:space="0" w:color="auto"/>
            </w:tcBorders>
            <w:shd w:val="clear" w:color="000000" w:fill="BFBFBF"/>
            <w:noWrap/>
            <w:vAlign w:val="bottom"/>
            <w:hideMark/>
          </w:tcPr>
          <w:p w14:paraId="6F16BBCA"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 </w:t>
            </w:r>
          </w:p>
        </w:tc>
        <w:tc>
          <w:tcPr>
            <w:tcW w:w="790" w:type="dxa"/>
            <w:tcBorders>
              <w:top w:val="single" w:sz="4" w:space="0" w:color="auto"/>
              <w:left w:val="nil"/>
              <w:bottom w:val="single" w:sz="4" w:space="0" w:color="auto"/>
              <w:right w:val="nil"/>
            </w:tcBorders>
            <w:shd w:val="clear" w:color="000000" w:fill="BFBFBF"/>
            <w:noWrap/>
            <w:vAlign w:val="bottom"/>
            <w:hideMark/>
          </w:tcPr>
          <w:p w14:paraId="562F1DE1"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 </w:t>
            </w:r>
          </w:p>
        </w:tc>
        <w:tc>
          <w:tcPr>
            <w:tcW w:w="829" w:type="dxa"/>
            <w:tcBorders>
              <w:top w:val="single" w:sz="4" w:space="0" w:color="auto"/>
              <w:left w:val="nil"/>
              <w:bottom w:val="single" w:sz="4" w:space="0" w:color="auto"/>
              <w:right w:val="single" w:sz="4" w:space="0" w:color="auto"/>
            </w:tcBorders>
            <w:shd w:val="clear" w:color="000000" w:fill="BFBFBF"/>
            <w:noWrap/>
            <w:vAlign w:val="bottom"/>
            <w:hideMark/>
          </w:tcPr>
          <w:p w14:paraId="689A3759"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 </w:t>
            </w:r>
          </w:p>
        </w:tc>
        <w:tc>
          <w:tcPr>
            <w:tcW w:w="856" w:type="dxa"/>
            <w:tcBorders>
              <w:top w:val="single" w:sz="4" w:space="0" w:color="auto"/>
              <w:left w:val="nil"/>
              <w:bottom w:val="single" w:sz="4" w:space="0" w:color="auto"/>
              <w:right w:val="nil"/>
            </w:tcBorders>
            <w:shd w:val="clear" w:color="000000" w:fill="BFBFBF"/>
            <w:noWrap/>
            <w:vAlign w:val="bottom"/>
            <w:hideMark/>
          </w:tcPr>
          <w:p w14:paraId="7F4A3FC6"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 </w:t>
            </w:r>
          </w:p>
        </w:tc>
        <w:tc>
          <w:tcPr>
            <w:tcW w:w="869" w:type="dxa"/>
            <w:tcBorders>
              <w:top w:val="single" w:sz="4" w:space="0" w:color="auto"/>
              <w:left w:val="nil"/>
              <w:bottom w:val="single" w:sz="4" w:space="0" w:color="auto"/>
              <w:right w:val="nil"/>
            </w:tcBorders>
            <w:shd w:val="clear" w:color="000000" w:fill="BFBFBF"/>
            <w:noWrap/>
            <w:vAlign w:val="bottom"/>
            <w:hideMark/>
          </w:tcPr>
          <w:p w14:paraId="5E7D8517"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 </w:t>
            </w:r>
          </w:p>
        </w:tc>
        <w:tc>
          <w:tcPr>
            <w:tcW w:w="856" w:type="dxa"/>
            <w:tcBorders>
              <w:top w:val="single" w:sz="4" w:space="0" w:color="auto"/>
              <w:left w:val="nil"/>
              <w:bottom w:val="single" w:sz="4" w:space="0" w:color="auto"/>
              <w:right w:val="single" w:sz="4" w:space="0" w:color="auto"/>
            </w:tcBorders>
            <w:shd w:val="clear" w:color="000000" w:fill="BFBFBF"/>
            <w:noWrap/>
            <w:vAlign w:val="bottom"/>
            <w:hideMark/>
          </w:tcPr>
          <w:p w14:paraId="1067AE6E"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 </w:t>
            </w:r>
          </w:p>
        </w:tc>
      </w:tr>
      <w:tr w:rsidR="00EC51DF" w:rsidRPr="00804C30" w14:paraId="3E81EA54" w14:textId="77777777" w:rsidTr="005843C5">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0BCE05FD"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CE12-5</w:t>
            </w:r>
          </w:p>
        </w:tc>
        <w:tc>
          <w:tcPr>
            <w:tcW w:w="3240" w:type="dxa"/>
            <w:tcBorders>
              <w:top w:val="nil"/>
              <w:left w:val="nil"/>
              <w:bottom w:val="nil"/>
              <w:right w:val="single" w:sz="4" w:space="0" w:color="auto"/>
            </w:tcBorders>
            <w:shd w:val="clear" w:color="auto" w:fill="auto"/>
            <w:noWrap/>
            <w:vAlign w:val="center"/>
            <w:hideMark/>
          </w:tcPr>
          <w:p w14:paraId="79C86C49"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804C30">
              <w:rPr>
                <w:rFonts w:ascii="Calibri" w:hAnsi="Calibri"/>
                <w:color w:val="000000"/>
                <w:szCs w:val="22"/>
              </w:rPr>
              <w:t>Reshap</w:t>
            </w:r>
            <w:proofErr w:type="spellEnd"/>
            <w:r w:rsidRPr="00804C30">
              <w:rPr>
                <w:rFonts w:ascii="Calibri" w:hAnsi="Calibri"/>
                <w:color w:val="000000"/>
                <w:szCs w:val="22"/>
              </w:rPr>
              <w:t xml:space="preserve"> </w:t>
            </w:r>
          </w:p>
        </w:tc>
        <w:tc>
          <w:tcPr>
            <w:tcW w:w="790" w:type="dxa"/>
            <w:tcBorders>
              <w:top w:val="nil"/>
              <w:left w:val="single" w:sz="4" w:space="0" w:color="auto"/>
              <w:bottom w:val="nil"/>
              <w:right w:val="nil"/>
            </w:tcBorders>
            <w:shd w:val="clear" w:color="000000" w:fill="FFC7CE"/>
            <w:noWrap/>
            <w:vAlign w:val="bottom"/>
            <w:hideMark/>
          </w:tcPr>
          <w:p w14:paraId="18EF2143"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13.7%</w:t>
            </w:r>
          </w:p>
        </w:tc>
        <w:tc>
          <w:tcPr>
            <w:tcW w:w="829" w:type="dxa"/>
            <w:tcBorders>
              <w:top w:val="nil"/>
              <w:left w:val="nil"/>
              <w:bottom w:val="nil"/>
              <w:right w:val="single" w:sz="4" w:space="0" w:color="auto"/>
            </w:tcBorders>
            <w:shd w:val="clear" w:color="auto" w:fill="auto"/>
            <w:noWrap/>
            <w:vAlign w:val="bottom"/>
            <w:hideMark/>
          </w:tcPr>
          <w:p w14:paraId="28DBBAD1"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-2.8%</w:t>
            </w:r>
          </w:p>
        </w:tc>
        <w:tc>
          <w:tcPr>
            <w:tcW w:w="856" w:type="dxa"/>
            <w:tcBorders>
              <w:top w:val="nil"/>
              <w:left w:val="nil"/>
              <w:bottom w:val="nil"/>
              <w:right w:val="nil"/>
            </w:tcBorders>
            <w:shd w:val="clear" w:color="auto" w:fill="auto"/>
            <w:noWrap/>
            <w:vAlign w:val="bottom"/>
            <w:hideMark/>
          </w:tcPr>
          <w:p w14:paraId="109AB59A"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-2.1%</w:t>
            </w:r>
          </w:p>
        </w:tc>
        <w:tc>
          <w:tcPr>
            <w:tcW w:w="869" w:type="dxa"/>
            <w:tcBorders>
              <w:top w:val="nil"/>
              <w:left w:val="nil"/>
              <w:bottom w:val="nil"/>
              <w:right w:val="nil"/>
            </w:tcBorders>
            <w:shd w:val="clear" w:color="000000" w:fill="FFC7CE"/>
            <w:noWrap/>
            <w:vAlign w:val="bottom"/>
            <w:hideMark/>
          </w:tcPr>
          <w:p w14:paraId="1A3587F9"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12.3%</w:t>
            </w:r>
          </w:p>
        </w:tc>
        <w:tc>
          <w:tcPr>
            <w:tcW w:w="856" w:type="dxa"/>
            <w:tcBorders>
              <w:top w:val="nil"/>
              <w:left w:val="nil"/>
              <w:bottom w:val="nil"/>
              <w:right w:val="single" w:sz="4" w:space="0" w:color="auto"/>
            </w:tcBorders>
            <w:shd w:val="clear" w:color="000000" w:fill="FFC7CE"/>
            <w:noWrap/>
            <w:vAlign w:val="bottom"/>
            <w:hideMark/>
          </w:tcPr>
          <w:p w14:paraId="12AE29AF"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13.0%</w:t>
            </w:r>
          </w:p>
        </w:tc>
      </w:tr>
      <w:tr w:rsidR="00EC51DF" w:rsidRPr="00804C30" w14:paraId="3602AD19" w14:textId="77777777" w:rsidTr="005843C5">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1907647F"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CE12-6.1</w:t>
            </w:r>
          </w:p>
        </w:tc>
        <w:tc>
          <w:tcPr>
            <w:tcW w:w="3240" w:type="dxa"/>
            <w:tcBorders>
              <w:top w:val="nil"/>
              <w:left w:val="nil"/>
              <w:bottom w:val="nil"/>
              <w:right w:val="single" w:sz="4" w:space="0" w:color="auto"/>
            </w:tcBorders>
            <w:shd w:val="clear" w:color="auto" w:fill="auto"/>
            <w:noWrap/>
            <w:vAlign w:val="center"/>
            <w:hideMark/>
          </w:tcPr>
          <w:p w14:paraId="4BA716A8"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804C30">
              <w:rPr>
                <w:rFonts w:ascii="Calibri" w:hAnsi="Calibri"/>
                <w:color w:val="000000"/>
                <w:szCs w:val="22"/>
              </w:rPr>
              <w:t>Reshap</w:t>
            </w:r>
            <w:proofErr w:type="spellEnd"/>
            <w:r w:rsidRPr="00804C30">
              <w:rPr>
                <w:rFonts w:ascii="Calibri" w:hAnsi="Calibri"/>
                <w:color w:val="000000"/>
                <w:szCs w:val="22"/>
              </w:rPr>
              <w:t xml:space="preserve"> + </w:t>
            </w:r>
            <w:proofErr w:type="spellStart"/>
            <w:r w:rsidRPr="00804C30">
              <w:rPr>
                <w:rFonts w:ascii="Calibri" w:hAnsi="Calibri"/>
                <w:color w:val="000000"/>
                <w:szCs w:val="22"/>
              </w:rPr>
              <w:t>chrQpOffset</w:t>
            </w:r>
            <w:proofErr w:type="spellEnd"/>
          </w:p>
        </w:tc>
        <w:tc>
          <w:tcPr>
            <w:tcW w:w="790" w:type="dxa"/>
            <w:tcBorders>
              <w:top w:val="nil"/>
              <w:left w:val="nil"/>
              <w:bottom w:val="nil"/>
              <w:right w:val="nil"/>
            </w:tcBorders>
            <w:shd w:val="clear" w:color="auto" w:fill="auto"/>
            <w:noWrap/>
            <w:vAlign w:val="bottom"/>
            <w:hideMark/>
          </w:tcPr>
          <w:p w14:paraId="641CFF8C"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-1.5%</w:t>
            </w:r>
          </w:p>
        </w:tc>
        <w:tc>
          <w:tcPr>
            <w:tcW w:w="829" w:type="dxa"/>
            <w:tcBorders>
              <w:top w:val="nil"/>
              <w:left w:val="nil"/>
              <w:bottom w:val="nil"/>
              <w:right w:val="single" w:sz="4" w:space="0" w:color="auto"/>
            </w:tcBorders>
            <w:shd w:val="clear" w:color="auto" w:fill="auto"/>
            <w:noWrap/>
            <w:vAlign w:val="bottom"/>
            <w:hideMark/>
          </w:tcPr>
          <w:p w14:paraId="478499DE"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-2.8%</w:t>
            </w:r>
          </w:p>
        </w:tc>
        <w:tc>
          <w:tcPr>
            <w:tcW w:w="856" w:type="dxa"/>
            <w:tcBorders>
              <w:top w:val="nil"/>
              <w:left w:val="nil"/>
              <w:bottom w:val="nil"/>
              <w:right w:val="nil"/>
            </w:tcBorders>
            <w:shd w:val="clear" w:color="auto" w:fill="auto"/>
            <w:noWrap/>
            <w:vAlign w:val="bottom"/>
            <w:hideMark/>
          </w:tcPr>
          <w:p w14:paraId="450FA4BA"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-2.0%</w:t>
            </w:r>
          </w:p>
        </w:tc>
        <w:tc>
          <w:tcPr>
            <w:tcW w:w="869" w:type="dxa"/>
            <w:tcBorders>
              <w:top w:val="nil"/>
              <w:left w:val="nil"/>
              <w:bottom w:val="nil"/>
              <w:right w:val="nil"/>
            </w:tcBorders>
            <w:shd w:val="clear" w:color="auto" w:fill="auto"/>
            <w:noWrap/>
            <w:vAlign w:val="bottom"/>
            <w:hideMark/>
          </w:tcPr>
          <w:p w14:paraId="042F4D90"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-1.9%</w:t>
            </w:r>
          </w:p>
        </w:tc>
        <w:tc>
          <w:tcPr>
            <w:tcW w:w="856" w:type="dxa"/>
            <w:tcBorders>
              <w:top w:val="nil"/>
              <w:left w:val="nil"/>
              <w:bottom w:val="nil"/>
              <w:right w:val="single" w:sz="4" w:space="0" w:color="auto"/>
            </w:tcBorders>
            <w:shd w:val="clear" w:color="000000" w:fill="CCFFCC"/>
            <w:noWrap/>
            <w:vAlign w:val="bottom"/>
            <w:hideMark/>
          </w:tcPr>
          <w:p w14:paraId="25BF468F"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-4.8%</w:t>
            </w:r>
          </w:p>
        </w:tc>
      </w:tr>
      <w:tr w:rsidR="00EC51DF" w:rsidRPr="00804C30" w14:paraId="4E4367EA" w14:textId="77777777" w:rsidTr="005843C5">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1FB7670F"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CE12-6.2</w:t>
            </w:r>
          </w:p>
        </w:tc>
        <w:tc>
          <w:tcPr>
            <w:tcW w:w="3240" w:type="dxa"/>
            <w:tcBorders>
              <w:top w:val="nil"/>
              <w:left w:val="nil"/>
              <w:bottom w:val="nil"/>
              <w:right w:val="single" w:sz="4" w:space="0" w:color="auto"/>
            </w:tcBorders>
            <w:shd w:val="clear" w:color="auto" w:fill="auto"/>
            <w:noWrap/>
            <w:vAlign w:val="center"/>
            <w:hideMark/>
          </w:tcPr>
          <w:p w14:paraId="59F96F28"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804C30">
              <w:rPr>
                <w:rFonts w:ascii="Calibri" w:hAnsi="Calibri"/>
                <w:color w:val="000000"/>
                <w:szCs w:val="22"/>
              </w:rPr>
              <w:t>Reshap</w:t>
            </w:r>
            <w:proofErr w:type="spellEnd"/>
            <w:r w:rsidRPr="00804C30">
              <w:rPr>
                <w:rFonts w:ascii="Calibri" w:hAnsi="Calibri"/>
                <w:color w:val="000000"/>
                <w:szCs w:val="22"/>
              </w:rPr>
              <w:t xml:space="preserve"> + </w:t>
            </w:r>
            <w:proofErr w:type="spellStart"/>
            <w:r w:rsidRPr="00804C30">
              <w:rPr>
                <w:rFonts w:ascii="Calibri" w:hAnsi="Calibri"/>
                <w:color w:val="000000"/>
                <w:szCs w:val="22"/>
              </w:rPr>
              <w:t>chrScaling</w:t>
            </w:r>
            <w:proofErr w:type="spellEnd"/>
          </w:p>
        </w:tc>
        <w:tc>
          <w:tcPr>
            <w:tcW w:w="790" w:type="dxa"/>
            <w:tcBorders>
              <w:top w:val="nil"/>
              <w:left w:val="nil"/>
              <w:bottom w:val="nil"/>
              <w:right w:val="nil"/>
            </w:tcBorders>
            <w:shd w:val="clear" w:color="auto" w:fill="auto"/>
            <w:noWrap/>
            <w:vAlign w:val="bottom"/>
            <w:hideMark/>
          </w:tcPr>
          <w:p w14:paraId="512A4106"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0.5%</w:t>
            </w:r>
          </w:p>
        </w:tc>
        <w:tc>
          <w:tcPr>
            <w:tcW w:w="829" w:type="dxa"/>
            <w:tcBorders>
              <w:top w:val="nil"/>
              <w:left w:val="nil"/>
              <w:bottom w:val="nil"/>
              <w:right w:val="single" w:sz="4" w:space="0" w:color="auto"/>
            </w:tcBorders>
            <w:shd w:val="clear" w:color="auto" w:fill="auto"/>
            <w:noWrap/>
            <w:vAlign w:val="bottom"/>
            <w:hideMark/>
          </w:tcPr>
          <w:p w14:paraId="5D0D67CF"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-2.8%</w:t>
            </w:r>
          </w:p>
        </w:tc>
        <w:tc>
          <w:tcPr>
            <w:tcW w:w="856" w:type="dxa"/>
            <w:tcBorders>
              <w:top w:val="nil"/>
              <w:left w:val="nil"/>
              <w:bottom w:val="nil"/>
              <w:right w:val="nil"/>
            </w:tcBorders>
            <w:shd w:val="clear" w:color="auto" w:fill="auto"/>
            <w:noWrap/>
            <w:vAlign w:val="bottom"/>
            <w:hideMark/>
          </w:tcPr>
          <w:p w14:paraId="665447DD"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-2.1%</w:t>
            </w:r>
          </w:p>
        </w:tc>
        <w:tc>
          <w:tcPr>
            <w:tcW w:w="869" w:type="dxa"/>
            <w:tcBorders>
              <w:top w:val="nil"/>
              <w:left w:val="nil"/>
              <w:bottom w:val="nil"/>
              <w:right w:val="nil"/>
            </w:tcBorders>
            <w:shd w:val="clear" w:color="auto" w:fill="auto"/>
            <w:noWrap/>
            <w:vAlign w:val="bottom"/>
            <w:hideMark/>
          </w:tcPr>
          <w:p w14:paraId="4A55D70E"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2.0%</w:t>
            </w:r>
          </w:p>
        </w:tc>
        <w:tc>
          <w:tcPr>
            <w:tcW w:w="856" w:type="dxa"/>
            <w:tcBorders>
              <w:top w:val="nil"/>
              <w:left w:val="nil"/>
              <w:bottom w:val="nil"/>
              <w:right w:val="single" w:sz="4" w:space="0" w:color="auto"/>
            </w:tcBorders>
            <w:shd w:val="clear" w:color="auto" w:fill="auto"/>
            <w:noWrap/>
            <w:vAlign w:val="bottom"/>
            <w:hideMark/>
          </w:tcPr>
          <w:p w14:paraId="5A2811E5"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2.6%</w:t>
            </w:r>
          </w:p>
        </w:tc>
      </w:tr>
      <w:tr w:rsidR="00EC51DF" w:rsidRPr="00804C30" w14:paraId="38622E99" w14:textId="77777777" w:rsidTr="005843C5">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0AF6612A"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CE12-7.1</w:t>
            </w:r>
          </w:p>
        </w:tc>
        <w:tc>
          <w:tcPr>
            <w:tcW w:w="3240" w:type="dxa"/>
            <w:tcBorders>
              <w:top w:val="nil"/>
              <w:left w:val="nil"/>
              <w:bottom w:val="nil"/>
              <w:right w:val="single" w:sz="4" w:space="0" w:color="auto"/>
            </w:tcBorders>
            <w:shd w:val="clear" w:color="auto" w:fill="auto"/>
            <w:noWrap/>
            <w:vAlign w:val="center"/>
            <w:hideMark/>
          </w:tcPr>
          <w:p w14:paraId="28FA43FA"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804C30">
              <w:rPr>
                <w:rFonts w:ascii="Calibri" w:hAnsi="Calibri"/>
                <w:color w:val="000000"/>
                <w:szCs w:val="22"/>
              </w:rPr>
              <w:t>Reshap</w:t>
            </w:r>
            <w:proofErr w:type="spellEnd"/>
            <w:r w:rsidRPr="00804C30">
              <w:rPr>
                <w:rFonts w:ascii="Calibri" w:hAnsi="Calibri"/>
                <w:color w:val="000000"/>
                <w:szCs w:val="22"/>
              </w:rPr>
              <w:t xml:space="preserve"> + </w:t>
            </w:r>
            <w:proofErr w:type="spellStart"/>
            <w:r w:rsidRPr="00804C30">
              <w:rPr>
                <w:rFonts w:ascii="Calibri" w:hAnsi="Calibri"/>
                <w:color w:val="000000"/>
                <w:szCs w:val="22"/>
              </w:rPr>
              <w:t>LF_intraOrig_interOrig</w:t>
            </w:r>
            <w:proofErr w:type="spellEnd"/>
          </w:p>
        </w:tc>
        <w:tc>
          <w:tcPr>
            <w:tcW w:w="790" w:type="dxa"/>
            <w:tcBorders>
              <w:top w:val="nil"/>
              <w:left w:val="nil"/>
              <w:bottom w:val="nil"/>
              <w:right w:val="nil"/>
            </w:tcBorders>
            <w:shd w:val="clear" w:color="auto" w:fill="auto"/>
            <w:noWrap/>
            <w:vAlign w:val="bottom"/>
            <w:hideMark/>
          </w:tcPr>
          <w:p w14:paraId="240E9EBF"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-1.4%</w:t>
            </w:r>
          </w:p>
        </w:tc>
        <w:tc>
          <w:tcPr>
            <w:tcW w:w="829" w:type="dxa"/>
            <w:tcBorders>
              <w:top w:val="nil"/>
              <w:left w:val="nil"/>
              <w:bottom w:val="nil"/>
              <w:right w:val="single" w:sz="4" w:space="0" w:color="auto"/>
            </w:tcBorders>
            <w:shd w:val="clear" w:color="auto" w:fill="auto"/>
            <w:noWrap/>
            <w:vAlign w:val="bottom"/>
            <w:hideMark/>
          </w:tcPr>
          <w:p w14:paraId="5FECBF74"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-2.1%</w:t>
            </w:r>
          </w:p>
        </w:tc>
        <w:tc>
          <w:tcPr>
            <w:tcW w:w="856" w:type="dxa"/>
            <w:tcBorders>
              <w:top w:val="nil"/>
              <w:left w:val="nil"/>
              <w:bottom w:val="nil"/>
              <w:right w:val="nil"/>
            </w:tcBorders>
            <w:shd w:val="clear" w:color="auto" w:fill="auto"/>
            <w:noWrap/>
            <w:vAlign w:val="bottom"/>
            <w:hideMark/>
          </w:tcPr>
          <w:p w14:paraId="1879BC94"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-1.5%</w:t>
            </w:r>
          </w:p>
        </w:tc>
        <w:tc>
          <w:tcPr>
            <w:tcW w:w="869" w:type="dxa"/>
            <w:tcBorders>
              <w:top w:val="nil"/>
              <w:left w:val="nil"/>
              <w:bottom w:val="nil"/>
              <w:right w:val="nil"/>
            </w:tcBorders>
            <w:shd w:val="clear" w:color="auto" w:fill="auto"/>
            <w:noWrap/>
            <w:vAlign w:val="bottom"/>
            <w:hideMark/>
          </w:tcPr>
          <w:p w14:paraId="114441C6"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-1.9%</w:t>
            </w:r>
          </w:p>
        </w:tc>
        <w:tc>
          <w:tcPr>
            <w:tcW w:w="856" w:type="dxa"/>
            <w:tcBorders>
              <w:top w:val="nil"/>
              <w:left w:val="nil"/>
              <w:bottom w:val="nil"/>
              <w:right w:val="single" w:sz="4" w:space="0" w:color="auto"/>
            </w:tcBorders>
            <w:shd w:val="clear" w:color="000000" w:fill="CCFFCC"/>
            <w:noWrap/>
            <w:vAlign w:val="bottom"/>
            <w:hideMark/>
          </w:tcPr>
          <w:p w14:paraId="029C11C4"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-4.7%</w:t>
            </w:r>
          </w:p>
        </w:tc>
      </w:tr>
      <w:tr w:rsidR="00EC51DF" w:rsidRPr="00804C30" w14:paraId="6633665E" w14:textId="77777777" w:rsidTr="005843C5">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29A26560"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CE12-7.2</w:t>
            </w:r>
          </w:p>
        </w:tc>
        <w:tc>
          <w:tcPr>
            <w:tcW w:w="3240" w:type="dxa"/>
            <w:tcBorders>
              <w:top w:val="nil"/>
              <w:left w:val="nil"/>
              <w:bottom w:val="nil"/>
              <w:right w:val="single" w:sz="4" w:space="0" w:color="auto"/>
            </w:tcBorders>
            <w:shd w:val="clear" w:color="auto" w:fill="auto"/>
            <w:noWrap/>
            <w:vAlign w:val="center"/>
            <w:hideMark/>
          </w:tcPr>
          <w:p w14:paraId="5617CA6C"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804C30">
              <w:rPr>
                <w:rFonts w:ascii="Calibri" w:hAnsi="Calibri"/>
                <w:color w:val="000000"/>
                <w:szCs w:val="22"/>
              </w:rPr>
              <w:t>Reshap</w:t>
            </w:r>
            <w:proofErr w:type="spellEnd"/>
            <w:r w:rsidRPr="00804C30">
              <w:rPr>
                <w:rFonts w:ascii="Calibri" w:hAnsi="Calibri"/>
                <w:color w:val="000000"/>
                <w:szCs w:val="22"/>
              </w:rPr>
              <w:t xml:space="preserve"> + </w:t>
            </w:r>
            <w:proofErr w:type="spellStart"/>
            <w:r w:rsidRPr="00804C30">
              <w:rPr>
                <w:rFonts w:ascii="Calibri" w:hAnsi="Calibri"/>
                <w:color w:val="000000"/>
                <w:szCs w:val="22"/>
              </w:rPr>
              <w:t>LF_intraResh_interOrig</w:t>
            </w:r>
            <w:proofErr w:type="spellEnd"/>
          </w:p>
        </w:tc>
        <w:tc>
          <w:tcPr>
            <w:tcW w:w="790" w:type="dxa"/>
            <w:tcBorders>
              <w:top w:val="nil"/>
              <w:left w:val="nil"/>
              <w:bottom w:val="nil"/>
              <w:right w:val="nil"/>
            </w:tcBorders>
            <w:shd w:val="clear" w:color="auto" w:fill="auto"/>
            <w:noWrap/>
            <w:vAlign w:val="bottom"/>
            <w:hideMark/>
          </w:tcPr>
          <w:p w14:paraId="69BD7410"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-1.5%</w:t>
            </w:r>
          </w:p>
        </w:tc>
        <w:tc>
          <w:tcPr>
            <w:tcW w:w="829" w:type="dxa"/>
            <w:tcBorders>
              <w:top w:val="nil"/>
              <w:left w:val="nil"/>
              <w:bottom w:val="nil"/>
              <w:right w:val="single" w:sz="4" w:space="0" w:color="auto"/>
            </w:tcBorders>
            <w:shd w:val="clear" w:color="auto" w:fill="auto"/>
            <w:noWrap/>
            <w:vAlign w:val="bottom"/>
            <w:hideMark/>
          </w:tcPr>
          <w:p w14:paraId="241A7A0F"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-2.8%</w:t>
            </w:r>
          </w:p>
        </w:tc>
        <w:tc>
          <w:tcPr>
            <w:tcW w:w="856" w:type="dxa"/>
            <w:tcBorders>
              <w:top w:val="nil"/>
              <w:left w:val="nil"/>
              <w:bottom w:val="nil"/>
              <w:right w:val="nil"/>
            </w:tcBorders>
            <w:shd w:val="clear" w:color="auto" w:fill="auto"/>
            <w:noWrap/>
            <w:vAlign w:val="bottom"/>
            <w:hideMark/>
          </w:tcPr>
          <w:p w14:paraId="26C948AC"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-2.0%</w:t>
            </w:r>
          </w:p>
        </w:tc>
        <w:tc>
          <w:tcPr>
            <w:tcW w:w="869" w:type="dxa"/>
            <w:tcBorders>
              <w:top w:val="nil"/>
              <w:left w:val="nil"/>
              <w:bottom w:val="nil"/>
              <w:right w:val="nil"/>
            </w:tcBorders>
            <w:shd w:val="clear" w:color="auto" w:fill="auto"/>
            <w:noWrap/>
            <w:vAlign w:val="bottom"/>
            <w:hideMark/>
          </w:tcPr>
          <w:p w14:paraId="12F5C34E"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-1.9%</w:t>
            </w:r>
          </w:p>
        </w:tc>
        <w:tc>
          <w:tcPr>
            <w:tcW w:w="856" w:type="dxa"/>
            <w:tcBorders>
              <w:top w:val="nil"/>
              <w:left w:val="nil"/>
              <w:bottom w:val="nil"/>
              <w:right w:val="single" w:sz="4" w:space="0" w:color="auto"/>
            </w:tcBorders>
            <w:shd w:val="clear" w:color="000000" w:fill="CCFFCC"/>
            <w:noWrap/>
            <w:vAlign w:val="bottom"/>
            <w:hideMark/>
          </w:tcPr>
          <w:p w14:paraId="7952527C"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-4.8%</w:t>
            </w:r>
          </w:p>
        </w:tc>
      </w:tr>
      <w:tr w:rsidR="00EC51DF" w:rsidRPr="00804C30" w14:paraId="0A904C51" w14:textId="77777777" w:rsidTr="005843C5">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5CEAFFC9"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CE12-7.3</w:t>
            </w:r>
          </w:p>
        </w:tc>
        <w:tc>
          <w:tcPr>
            <w:tcW w:w="3240" w:type="dxa"/>
            <w:tcBorders>
              <w:top w:val="nil"/>
              <w:left w:val="nil"/>
              <w:bottom w:val="nil"/>
              <w:right w:val="single" w:sz="4" w:space="0" w:color="auto"/>
            </w:tcBorders>
            <w:shd w:val="clear" w:color="auto" w:fill="auto"/>
            <w:noWrap/>
            <w:vAlign w:val="center"/>
            <w:hideMark/>
          </w:tcPr>
          <w:p w14:paraId="3E63A17B"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804C30">
              <w:rPr>
                <w:rFonts w:ascii="Calibri" w:hAnsi="Calibri"/>
                <w:color w:val="000000"/>
                <w:szCs w:val="22"/>
              </w:rPr>
              <w:t>Reshap</w:t>
            </w:r>
            <w:proofErr w:type="spellEnd"/>
            <w:r w:rsidRPr="00804C30">
              <w:rPr>
                <w:rFonts w:ascii="Calibri" w:hAnsi="Calibri"/>
                <w:color w:val="000000"/>
                <w:szCs w:val="22"/>
              </w:rPr>
              <w:t xml:space="preserve"> + </w:t>
            </w:r>
            <w:proofErr w:type="spellStart"/>
            <w:r w:rsidRPr="00804C30">
              <w:rPr>
                <w:rFonts w:ascii="Calibri" w:hAnsi="Calibri"/>
                <w:color w:val="000000"/>
                <w:szCs w:val="22"/>
              </w:rPr>
              <w:t>LF_intraResh_interResh</w:t>
            </w:r>
            <w:proofErr w:type="spellEnd"/>
          </w:p>
        </w:tc>
        <w:tc>
          <w:tcPr>
            <w:tcW w:w="790" w:type="dxa"/>
            <w:tcBorders>
              <w:top w:val="nil"/>
              <w:left w:val="nil"/>
              <w:bottom w:val="nil"/>
              <w:right w:val="nil"/>
            </w:tcBorders>
            <w:shd w:val="clear" w:color="auto" w:fill="auto"/>
            <w:noWrap/>
            <w:vAlign w:val="bottom"/>
            <w:hideMark/>
          </w:tcPr>
          <w:p w14:paraId="0F36AEE6"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 </w:t>
            </w:r>
          </w:p>
        </w:tc>
        <w:tc>
          <w:tcPr>
            <w:tcW w:w="829" w:type="dxa"/>
            <w:tcBorders>
              <w:top w:val="nil"/>
              <w:left w:val="nil"/>
              <w:bottom w:val="nil"/>
              <w:right w:val="single" w:sz="4" w:space="0" w:color="auto"/>
            </w:tcBorders>
            <w:shd w:val="clear" w:color="auto" w:fill="auto"/>
            <w:noWrap/>
            <w:vAlign w:val="bottom"/>
            <w:hideMark/>
          </w:tcPr>
          <w:p w14:paraId="3FE05E69"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 </w:t>
            </w:r>
          </w:p>
        </w:tc>
        <w:tc>
          <w:tcPr>
            <w:tcW w:w="856" w:type="dxa"/>
            <w:tcBorders>
              <w:top w:val="nil"/>
              <w:left w:val="nil"/>
              <w:bottom w:val="nil"/>
              <w:right w:val="nil"/>
            </w:tcBorders>
            <w:shd w:val="clear" w:color="auto" w:fill="auto"/>
            <w:noWrap/>
            <w:vAlign w:val="bottom"/>
            <w:hideMark/>
          </w:tcPr>
          <w:p w14:paraId="1D92A61B"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 </w:t>
            </w:r>
          </w:p>
        </w:tc>
        <w:tc>
          <w:tcPr>
            <w:tcW w:w="869" w:type="dxa"/>
            <w:tcBorders>
              <w:top w:val="nil"/>
              <w:left w:val="nil"/>
              <w:bottom w:val="nil"/>
              <w:right w:val="nil"/>
            </w:tcBorders>
            <w:shd w:val="clear" w:color="auto" w:fill="auto"/>
            <w:noWrap/>
            <w:vAlign w:val="bottom"/>
            <w:hideMark/>
          </w:tcPr>
          <w:p w14:paraId="1DFB29FC"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nil"/>
              <w:left w:val="nil"/>
              <w:bottom w:val="nil"/>
              <w:right w:val="single" w:sz="4" w:space="0" w:color="auto"/>
            </w:tcBorders>
            <w:shd w:val="clear" w:color="auto" w:fill="auto"/>
            <w:noWrap/>
            <w:vAlign w:val="bottom"/>
            <w:hideMark/>
          </w:tcPr>
          <w:p w14:paraId="478669A9"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 </w:t>
            </w:r>
          </w:p>
        </w:tc>
      </w:tr>
      <w:tr w:rsidR="00EC51DF" w:rsidRPr="00804C30" w14:paraId="2E623222" w14:textId="77777777" w:rsidTr="005843C5">
        <w:trPr>
          <w:trHeight w:val="300"/>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CCC83AF"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CE12-8</w:t>
            </w:r>
          </w:p>
        </w:tc>
        <w:tc>
          <w:tcPr>
            <w:tcW w:w="3240" w:type="dxa"/>
            <w:tcBorders>
              <w:top w:val="nil"/>
              <w:left w:val="nil"/>
              <w:bottom w:val="single" w:sz="4" w:space="0" w:color="auto"/>
              <w:right w:val="single" w:sz="4" w:space="0" w:color="auto"/>
            </w:tcBorders>
            <w:shd w:val="clear" w:color="auto" w:fill="auto"/>
            <w:noWrap/>
            <w:vAlign w:val="center"/>
            <w:hideMark/>
          </w:tcPr>
          <w:p w14:paraId="2CE4BC9F"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804C30">
              <w:rPr>
                <w:rFonts w:ascii="Calibri" w:hAnsi="Calibri"/>
                <w:color w:val="000000"/>
                <w:szCs w:val="22"/>
              </w:rPr>
              <w:t>Reshap</w:t>
            </w:r>
            <w:proofErr w:type="spellEnd"/>
            <w:r w:rsidRPr="00804C30">
              <w:rPr>
                <w:rFonts w:ascii="Calibri" w:hAnsi="Calibri"/>
                <w:color w:val="000000"/>
                <w:szCs w:val="22"/>
              </w:rPr>
              <w:t xml:space="preserve"> + ROI</w:t>
            </w:r>
          </w:p>
        </w:tc>
        <w:tc>
          <w:tcPr>
            <w:tcW w:w="790" w:type="dxa"/>
            <w:tcBorders>
              <w:top w:val="nil"/>
              <w:left w:val="nil"/>
              <w:bottom w:val="single" w:sz="4" w:space="0" w:color="auto"/>
              <w:right w:val="nil"/>
            </w:tcBorders>
            <w:shd w:val="clear" w:color="auto" w:fill="auto"/>
            <w:noWrap/>
            <w:vAlign w:val="bottom"/>
            <w:hideMark/>
          </w:tcPr>
          <w:p w14:paraId="5E24F6C0"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4B1B1F88"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 </w:t>
            </w:r>
          </w:p>
        </w:tc>
        <w:tc>
          <w:tcPr>
            <w:tcW w:w="856" w:type="dxa"/>
            <w:tcBorders>
              <w:top w:val="nil"/>
              <w:left w:val="nil"/>
              <w:bottom w:val="single" w:sz="4" w:space="0" w:color="auto"/>
              <w:right w:val="nil"/>
            </w:tcBorders>
            <w:shd w:val="clear" w:color="auto" w:fill="auto"/>
            <w:noWrap/>
            <w:vAlign w:val="bottom"/>
            <w:hideMark/>
          </w:tcPr>
          <w:p w14:paraId="6A9580F1"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 </w:t>
            </w:r>
          </w:p>
        </w:tc>
        <w:tc>
          <w:tcPr>
            <w:tcW w:w="869" w:type="dxa"/>
            <w:tcBorders>
              <w:top w:val="nil"/>
              <w:left w:val="nil"/>
              <w:bottom w:val="single" w:sz="4" w:space="0" w:color="auto"/>
              <w:right w:val="nil"/>
            </w:tcBorders>
            <w:shd w:val="clear" w:color="auto" w:fill="auto"/>
            <w:noWrap/>
            <w:vAlign w:val="bottom"/>
            <w:hideMark/>
          </w:tcPr>
          <w:p w14:paraId="048083E8"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 </w:t>
            </w:r>
          </w:p>
        </w:tc>
        <w:tc>
          <w:tcPr>
            <w:tcW w:w="856" w:type="dxa"/>
            <w:tcBorders>
              <w:top w:val="nil"/>
              <w:left w:val="nil"/>
              <w:bottom w:val="single" w:sz="4" w:space="0" w:color="auto"/>
              <w:right w:val="single" w:sz="4" w:space="0" w:color="auto"/>
            </w:tcBorders>
            <w:shd w:val="clear" w:color="auto" w:fill="auto"/>
            <w:noWrap/>
            <w:vAlign w:val="bottom"/>
            <w:hideMark/>
          </w:tcPr>
          <w:p w14:paraId="51511367" w14:textId="77777777" w:rsidR="00EC51DF" w:rsidRPr="00804C30" w:rsidRDefault="00EC51DF" w:rsidP="00EC5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 </w:t>
            </w:r>
          </w:p>
        </w:tc>
      </w:tr>
    </w:tbl>
    <w:p w14:paraId="082A026B" w14:textId="77777777" w:rsidR="00EC51DF" w:rsidRPr="00804C30" w:rsidRDefault="00EC51DF" w:rsidP="00EC51DF">
      <w:pPr>
        <w:rPr>
          <w:i/>
          <w:lang w:val="en-CA"/>
        </w:rPr>
      </w:pPr>
      <w:r w:rsidRPr="00804C30">
        <w:rPr>
          <w:i/>
          <w:lang w:val="en-CA"/>
        </w:rPr>
        <w:t xml:space="preserve">Note: CE12-6.1, </w:t>
      </w:r>
      <w:r>
        <w:rPr>
          <w:i/>
          <w:lang w:val="en-CA"/>
        </w:rPr>
        <w:t>CE12-</w:t>
      </w:r>
      <w:r w:rsidRPr="00804C30">
        <w:rPr>
          <w:i/>
          <w:lang w:val="en-CA"/>
        </w:rPr>
        <w:t xml:space="preserve">7.2 and </w:t>
      </w:r>
      <w:r>
        <w:rPr>
          <w:i/>
          <w:lang w:val="en-CA"/>
        </w:rPr>
        <w:t>CE12-</w:t>
      </w:r>
      <w:r w:rsidRPr="00804C30">
        <w:rPr>
          <w:i/>
          <w:lang w:val="en-CA"/>
        </w:rPr>
        <w:t>7.3 are identical</w:t>
      </w:r>
      <w:r>
        <w:rPr>
          <w:i/>
          <w:lang w:val="en-CA"/>
        </w:rPr>
        <w:t xml:space="preserve"> in AI configuration</w:t>
      </w:r>
      <w:r w:rsidRPr="00804C30">
        <w:rPr>
          <w:i/>
          <w:lang w:val="en-CA"/>
        </w:rPr>
        <w:t>.</w:t>
      </w:r>
    </w:p>
    <w:p w14:paraId="293DCF1D" w14:textId="77777777" w:rsidR="00EC51DF" w:rsidRDefault="00EC51DF" w:rsidP="00EC51DF">
      <w:pPr>
        <w:rPr>
          <w:lang w:val="en-CA"/>
        </w:rPr>
      </w:pPr>
    </w:p>
    <w:tbl>
      <w:tblPr>
        <w:tblW w:w="8620" w:type="dxa"/>
        <w:tblLook w:val="04A0" w:firstRow="1" w:lastRow="0" w:firstColumn="1" w:lastColumn="0" w:noHBand="0" w:noVBand="1"/>
      </w:tblPr>
      <w:tblGrid>
        <w:gridCol w:w="1180"/>
        <w:gridCol w:w="3240"/>
        <w:gridCol w:w="769"/>
        <w:gridCol w:w="835"/>
        <w:gridCol w:w="861"/>
        <w:gridCol w:w="874"/>
        <w:gridCol w:w="861"/>
      </w:tblGrid>
      <w:tr w:rsidR="00EC51DF" w:rsidRPr="00804C30" w14:paraId="41156724" w14:textId="77777777" w:rsidTr="005843C5">
        <w:trPr>
          <w:trHeight w:val="300"/>
        </w:trPr>
        <w:tc>
          <w:tcPr>
            <w:tcW w:w="1180" w:type="dxa"/>
            <w:tcBorders>
              <w:top w:val="nil"/>
              <w:left w:val="nil"/>
              <w:bottom w:val="nil"/>
              <w:right w:val="nil"/>
            </w:tcBorders>
            <w:shd w:val="clear" w:color="auto" w:fill="auto"/>
            <w:noWrap/>
            <w:vAlign w:val="bottom"/>
            <w:hideMark/>
          </w:tcPr>
          <w:p w14:paraId="433F5FAE"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3240" w:type="dxa"/>
            <w:tcBorders>
              <w:top w:val="nil"/>
              <w:left w:val="nil"/>
              <w:bottom w:val="nil"/>
              <w:right w:val="single" w:sz="4" w:space="0" w:color="auto"/>
            </w:tcBorders>
            <w:shd w:val="clear" w:color="auto" w:fill="auto"/>
            <w:noWrap/>
            <w:vAlign w:val="bottom"/>
            <w:hideMark/>
          </w:tcPr>
          <w:p w14:paraId="71466F5F"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20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2B958F"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804C30">
              <w:rPr>
                <w:rFonts w:ascii="Calibri" w:hAnsi="Calibri"/>
                <w:b/>
                <w:bCs/>
                <w:color w:val="000000"/>
                <w:szCs w:val="22"/>
              </w:rPr>
              <w:t>RA - Over VTM1.0</w:t>
            </w:r>
          </w:p>
        </w:tc>
      </w:tr>
      <w:tr w:rsidR="00EC51DF" w:rsidRPr="00804C30" w14:paraId="01909ED2" w14:textId="77777777" w:rsidTr="005843C5">
        <w:trPr>
          <w:trHeight w:val="300"/>
        </w:trPr>
        <w:tc>
          <w:tcPr>
            <w:tcW w:w="1180" w:type="dxa"/>
            <w:tcBorders>
              <w:top w:val="single" w:sz="4" w:space="0" w:color="auto"/>
              <w:left w:val="single" w:sz="4" w:space="0" w:color="auto"/>
              <w:bottom w:val="nil"/>
              <w:right w:val="single" w:sz="4" w:space="0" w:color="auto"/>
            </w:tcBorders>
            <w:shd w:val="clear" w:color="auto" w:fill="auto"/>
            <w:noWrap/>
            <w:vAlign w:val="bottom"/>
            <w:hideMark/>
          </w:tcPr>
          <w:p w14:paraId="6D22A1E6"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Test#</w:t>
            </w:r>
          </w:p>
        </w:tc>
        <w:tc>
          <w:tcPr>
            <w:tcW w:w="3240" w:type="dxa"/>
            <w:tcBorders>
              <w:top w:val="single" w:sz="4" w:space="0" w:color="auto"/>
              <w:left w:val="nil"/>
              <w:bottom w:val="nil"/>
              <w:right w:val="single" w:sz="4" w:space="0" w:color="auto"/>
            </w:tcBorders>
            <w:shd w:val="clear" w:color="auto" w:fill="auto"/>
            <w:noWrap/>
            <w:vAlign w:val="bottom"/>
            <w:hideMark/>
          </w:tcPr>
          <w:p w14:paraId="64A9DBE1"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Description</w:t>
            </w:r>
          </w:p>
        </w:tc>
        <w:tc>
          <w:tcPr>
            <w:tcW w:w="769" w:type="dxa"/>
            <w:tcBorders>
              <w:top w:val="nil"/>
              <w:left w:val="nil"/>
              <w:bottom w:val="nil"/>
              <w:right w:val="nil"/>
            </w:tcBorders>
            <w:shd w:val="clear" w:color="auto" w:fill="auto"/>
            <w:noWrap/>
            <w:vAlign w:val="bottom"/>
            <w:hideMark/>
          </w:tcPr>
          <w:p w14:paraId="63653328"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DE100</w:t>
            </w:r>
          </w:p>
        </w:tc>
        <w:tc>
          <w:tcPr>
            <w:tcW w:w="835" w:type="dxa"/>
            <w:tcBorders>
              <w:top w:val="nil"/>
              <w:left w:val="nil"/>
              <w:bottom w:val="nil"/>
              <w:right w:val="single" w:sz="4" w:space="0" w:color="auto"/>
            </w:tcBorders>
            <w:shd w:val="clear" w:color="auto" w:fill="auto"/>
            <w:noWrap/>
            <w:vAlign w:val="bottom"/>
            <w:hideMark/>
          </w:tcPr>
          <w:p w14:paraId="3C687F5D"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PSNRL</w:t>
            </w:r>
          </w:p>
        </w:tc>
        <w:tc>
          <w:tcPr>
            <w:tcW w:w="861" w:type="dxa"/>
            <w:tcBorders>
              <w:top w:val="nil"/>
              <w:left w:val="nil"/>
              <w:bottom w:val="nil"/>
              <w:right w:val="nil"/>
            </w:tcBorders>
            <w:shd w:val="clear" w:color="auto" w:fill="auto"/>
            <w:noWrap/>
            <w:vAlign w:val="bottom"/>
            <w:hideMark/>
          </w:tcPr>
          <w:p w14:paraId="0FEAF9F7"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04C30">
              <w:rPr>
                <w:rFonts w:ascii="Arial" w:hAnsi="Arial" w:cs="Arial"/>
                <w:color w:val="000000"/>
                <w:sz w:val="18"/>
                <w:szCs w:val="18"/>
              </w:rPr>
              <w:t>wPsnrY</w:t>
            </w:r>
            <w:proofErr w:type="spellEnd"/>
          </w:p>
        </w:tc>
        <w:tc>
          <w:tcPr>
            <w:tcW w:w="874" w:type="dxa"/>
            <w:tcBorders>
              <w:top w:val="nil"/>
              <w:left w:val="nil"/>
              <w:bottom w:val="nil"/>
              <w:right w:val="nil"/>
            </w:tcBorders>
            <w:shd w:val="clear" w:color="auto" w:fill="auto"/>
            <w:noWrap/>
            <w:vAlign w:val="bottom"/>
            <w:hideMark/>
          </w:tcPr>
          <w:p w14:paraId="448430C7"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04C30">
              <w:rPr>
                <w:rFonts w:ascii="Arial" w:hAnsi="Arial" w:cs="Arial"/>
                <w:color w:val="000000"/>
                <w:sz w:val="18"/>
                <w:szCs w:val="18"/>
              </w:rPr>
              <w:t>wPsnrU</w:t>
            </w:r>
            <w:proofErr w:type="spellEnd"/>
          </w:p>
        </w:tc>
        <w:tc>
          <w:tcPr>
            <w:tcW w:w="861" w:type="dxa"/>
            <w:tcBorders>
              <w:top w:val="nil"/>
              <w:left w:val="nil"/>
              <w:bottom w:val="nil"/>
              <w:right w:val="single" w:sz="4" w:space="0" w:color="auto"/>
            </w:tcBorders>
            <w:shd w:val="clear" w:color="auto" w:fill="auto"/>
            <w:noWrap/>
            <w:vAlign w:val="bottom"/>
            <w:hideMark/>
          </w:tcPr>
          <w:p w14:paraId="1E50170A"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04C30">
              <w:rPr>
                <w:rFonts w:ascii="Arial" w:hAnsi="Arial" w:cs="Arial"/>
                <w:color w:val="000000"/>
                <w:sz w:val="18"/>
                <w:szCs w:val="18"/>
              </w:rPr>
              <w:t>wPsnrV</w:t>
            </w:r>
            <w:proofErr w:type="spellEnd"/>
          </w:p>
        </w:tc>
      </w:tr>
      <w:tr w:rsidR="00EC51DF" w:rsidRPr="00EC51DF" w14:paraId="59C65225" w14:textId="77777777" w:rsidTr="005843C5">
        <w:trPr>
          <w:trHeight w:val="300"/>
        </w:trPr>
        <w:tc>
          <w:tcPr>
            <w:tcW w:w="118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24299D02" w14:textId="77777777" w:rsidR="00EC51DF" w:rsidRPr="00EC51DF"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20"/>
                <w:szCs w:val="22"/>
              </w:rPr>
            </w:pPr>
            <w:r w:rsidRPr="00EC51DF">
              <w:rPr>
                <w:rFonts w:ascii="Calibri" w:hAnsi="Calibri"/>
                <w:b/>
                <w:bCs/>
                <w:color w:val="000000"/>
                <w:sz w:val="20"/>
                <w:szCs w:val="22"/>
              </w:rPr>
              <w:t>out-of-loop</w:t>
            </w:r>
          </w:p>
        </w:tc>
        <w:tc>
          <w:tcPr>
            <w:tcW w:w="3240" w:type="dxa"/>
            <w:tcBorders>
              <w:top w:val="single" w:sz="4" w:space="0" w:color="auto"/>
              <w:left w:val="nil"/>
              <w:bottom w:val="single" w:sz="4" w:space="0" w:color="auto"/>
              <w:right w:val="single" w:sz="4" w:space="0" w:color="auto"/>
            </w:tcBorders>
            <w:shd w:val="clear" w:color="000000" w:fill="BFBFBF"/>
            <w:noWrap/>
            <w:vAlign w:val="bottom"/>
            <w:hideMark/>
          </w:tcPr>
          <w:p w14:paraId="6B790A7A" w14:textId="77777777" w:rsidR="00EC51DF" w:rsidRPr="00EC51DF"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20"/>
                <w:szCs w:val="22"/>
              </w:rPr>
            </w:pPr>
            <w:r w:rsidRPr="00EC51DF">
              <w:rPr>
                <w:rFonts w:ascii="Calibri" w:hAnsi="Calibri"/>
                <w:b/>
                <w:bCs/>
                <w:color w:val="000000"/>
                <w:sz w:val="20"/>
                <w:szCs w:val="22"/>
              </w:rPr>
              <w:t> </w:t>
            </w:r>
          </w:p>
        </w:tc>
        <w:tc>
          <w:tcPr>
            <w:tcW w:w="769" w:type="dxa"/>
            <w:tcBorders>
              <w:top w:val="single" w:sz="4" w:space="0" w:color="auto"/>
              <w:left w:val="nil"/>
              <w:bottom w:val="single" w:sz="4" w:space="0" w:color="auto"/>
              <w:right w:val="nil"/>
            </w:tcBorders>
            <w:shd w:val="clear" w:color="000000" w:fill="BFBFBF"/>
            <w:noWrap/>
            <w:vAlign w:val="bottom"/>
            <w:hideMark/>
          </w:tcPr>
          <w:p w14:paraId="1D93CADE" w14:textId="77777777" w:rsidR="00EC51DF" w:rsidRPr="00EC51DF"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20"/>
                <w:szCs w:val="22"/>
              </w:rPr>
            </w:pPr>
            <w:r w:rsidRPr="00EC51DF">
              <w:rPr>
                <w:rFonts w:ascii="Calibri" w:hAnsi="Calibri"/>
                <w:b/>
                <w:bCs/>
                <w:color w:val="000000"/>
                <w:sz w:val="20"/>
                <w:szCs w:val="22"/>
              </w:rPr>
              <w:t> </w:t>
            </w:r>
          </w:p>
        </w:tc>
        <w:tc>
          <w:tcPr>
            <w:tcW w:w="835" w:type="dxa"/>
            <w:tcBorders>
              <w:top w:val="single" w:sz="4" w:space="0" w:color="auto"/>
              <w:left w:val="nil"/>
              <w:bottom w:val="single" w:sz="4" w:space="0" w:color="auto"/>
              <w:right w:val="single" w:sz="4" w:space="0" w:color="auto"/>
            </w:tcBorders>
            <w:shd w:val="clear" w:color="000000" w:fill="BFBFBF"/>
            <w:noWrap/>
            <w:vAlign w:val="bottom"/>
            <w:hideMark/>
          </w:tcPr>
          <w:p w14:paraId="49DA6F1B" w14:textId="77777777" w:rsidR="00EC51DF" w:rsidRPr="00EC51DF"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20"/>
                <w:szCs w:val="22"/>
              </w:rPr>
            </w:pPr>
            <w:r w:rsidRPr="00EC51DF">
              <w:rPr>
                <w:rFonts w:ascii="Calibri" w:hAnsi="Calibri"/>
                <w:b/>
                <w:bCs/>
                <w:color w:val="000000"/>
                <w:sz w:val="20"/>
                <w:szCs w:val="22"/>
              </w:rPr>
              <w:t> </w:t>
            </w:r>
          </w:p>
        </w:tc>
        <w:tc>
          <w:tcPr>
            <w:tcW w:w="861" w:type="dxa"/>
            <w:tcBorders>
              <w:top w:val="single" w:sz="4" w:space="0" w:color="auto"/>
              <w:left w:val="nil"/>
              <w:bottom w:val="single" w:sz="4" w:space="0" w:color="auto"/>
              <w:right w:val="nil"/>
            </w:tcBorders>
            <w:shd w:val="clear" w:color="000000" w:fill="BFBFBF"/>
            <w:noWrap/>
            <w:vAlign w:val="bottom"/>
            <w:hideMark/>
          </w:tcPr>
          <w:p w14:paraId="5BE52B16" w14:textId="77777777" w:rsidR="00EC51DF" w:rsidRPr="00EC51DF"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20"/>
                <w:szCs w:val="22"/>
              </w:rPr>
            </w:pPr>
            <w:r w:rsidRPr="00EC51DF">
              <w:rPr>
                <w:rFonts w:ascii="Calibri" w:hAnsi="Calibri"/>
                <w:b/>
                <w:bCs/>
                <w:color w:val="000000"/>
                <w:sz w:val="20"/>
                <w:szCs w:val="22"/>
              </w:rPr>
              <w:t> </w:t>
            </w:r>
          </w:p>
        </w:tc>
        <w:tc>
          <w:tcPr>
            <w:tcW w:w="874" w:type="dxa"/>
            <w:tcBorders>
              <w:top w:val="single" w:sz="4" w:space="0" w:color="auto"/>
              <w:left w:val="nil"/>
              <w:bottom w:val="single" w:sz="4" w:space="0" w:color="auto"/>
              <w:right w:val="nil"/>
            </w:tcBorders>
            <w:shd w:val="clear" w:color="000000" w:fill="BFBFBF"/>
            <w:noWrap/>
            <w:vAlign w:val="bottom"/>
            <w:hideMark/>
          </w:tcPr>
          <w:p w14:paraId="01B2C163" w14:textId="77777777" w:rsidR="00EC51DF" w:rsidRPr="00EC51DF"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20"/>
                <w:szCs w:val="22"/>
              </w:rPr>
            </w:pPr>
            <w:r w:rsidRPr="00EC51DF">
              <w:rPr>
                <w:rFonts w:ascii="Calibri" w:hAnsi="Calibri"/>
                <w:b/>
                <w:bCs/>
                <w:color w:val="000000"/>
                <w:sz w:val="20"/>
                <w:szCs w:val="22"/>
              </w:rPr>
              <w:t> </w:t>
            </w:r>
          </w:p>
        </w:tc>
        <w:tc>
          <w:tcPr>
            <w:tcW w:w="861" w:type="dxa"/>
            <w:tcBorders>
              <w:top w:val="single" w:sz="4" w:space="0" w:color="auto"/>
              <w:left w:val="nil"/>
              <w:bottom w:val="single" w:sz="4" w:space="0" w:color="auto"/>
              <w:right w:val="single" w:sz="4" w:space="0" w:color="auto"/>
            </w:tcBorders>
            <w:shd w:val="clear" w:color="000000" w:fill="BFBFBF"/>
            <w:noWrap/>
            <w:vAlign w:val="bottom"/>
            <w:hideMark/>
          </w:tcPr>
          <w:p w14:paraId="41B1B700" w14:textId="77777777" w:rsidR="00EC51DF" w:rsidRPr="00EC51DF"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 w:val="20"/>
                <w:szCs w:val="22"/>
              </w:rPr>
            </w:pPr>
            <w:r w:rsidRPr="00EC51DF">
              <w:rPr>
                <w:rFonts w:ascii="Calibri" w:hAnsi="Calibri"/>
                <w:b/>
                <w:bCs/>
                <w:color w:val="000000"/>
                <w:sz w:val="20"/>
                <w:szCs w:val="22"/>
              </w:rPr>
              <w:t> </w:t>
            </w:r>
          </w:p>
        </w:tc>
      </w:tr>
      <w:tr w:rsidR="00EC51DF" w:rsidRPr="00804C30" w14:paraId="481D0034" w14:textId="77777777" w:rsidTr="005843C5">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284A2970"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CE12-1</w:t>
            </w:r>
          </w:p>
        </w:tc>
        <w:tc>
          <w:tcPr>
            <w:tcW w:w="3240" w:type="dxa"/>
            <w:tcBorders>
              <w:top w:val="nil"/>
              <w:left w:val="nil"/>
              <w:bottom w:val="nil"/>
              <w:right w:val="single" w:sz="4" w:space="0" w:color="auto"/>
            </w:tcBorders>
            <w:shd w:val="clear" w:color="auto" w:fill="auto"/>
            <w:noWrap/>
            <w:vAlign w:val="center"/>
            <w:hideMark/>
          </w:tcPr>
          <w:p w14:paraId="402478EA"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 xml:space="preserve">DRA + </w:t>
            </w:r>
            <w:proofErr w:type="spellStart"/>
            <w:r w:rsidRPr="00804C30">
              <w:rPr>
                <w:rFonts w:ascii="Calibri" w:hAnsi="Calibri"/>
                <w:color w:val="000000"/>
                <w:szCs w:val="22"/>
              </w:rPr>
              <w:t>RefintFlt</w:t>
            </w:r>
            <w:proofErr w:type="spellEnd"/>
          </w:p>
        </w:tc>
        <w:tc>
          <w:tcPr>
            <w:tcW w:w="769" w:type="dxa"/>
            <w:tcBorders>
              <w:top w:val="nil"/>
              <w:left w:val="single" w:sz="4" w:space="0" w:color="auto"/>
              <w:bottom w:val="nil"/>
              <w:right w:val="nil"/>
            </w:tcBorders>
            <w:shd w:val="clear" w:color="000000" w:fill="FFC7CE"/>
            <w:noWrap/>
            <w:vAlign w:val="bottom"/>
            <w:hideMark/>
          </w:tcPr>
          <w:p w14:paraId="523F90EF"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10.6%</w:t>
            </w:r>
          </w:p>
        </w:tc>
        <w:tc>
          <w:tcPr>
            <w:tcW w:w="835" w:type="dxa"/>
            <w:tcBorders>
              <w:top w:val="nil"/>
              <w:left w:val="nil"/>
              <w:bottom w:val="nil"/>
              <w:right w:val="single" w:sz="4" w:space="0" w:color="auto"/>
            </w:tcBorders>
            <w:shd w:val="clear" w:color="000000" w:fill="CCFFCC"/>
            <w:noWrap/>
            <w:vAlign w:val="bottom"/>
            <w:hideMark/>
          </w:tcPr>
          <w:p w14:paraId="6BA7F830"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-6.2%</w:t>
            </w:r>
          </w:p>
        </w:tc>
        <w:tc>
          <w:tcPr>
            <w:tcW w:w="861" w:type="dxa"/>
            <w:tcBorders>
              <w:top w:val="nil"/>
              <w:left w:val="single" w:sz="4" w:space="0" w:color="auto"/>
              <w:bottom w:val="nil"/>
              <w:right w:val="nil"/>
            </w:tcBorders>
            <w:shd w:val="clear" w:color="000000" w:fill="CCFFCC"/>
            <w:noWrap/>
            <w:vAlign w:val="bottom"/>
            <w:hideMark/>
          </w:tcPr>
          <w:p w14:paraId="25E941B3"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-4.0%</w:t>
            </w:r>
          </w:p>
        </w:tc>
        <w:tc>
          <w:tcPr>
            <w:tcW w:w="874" w:type="dxa"/>
            <w:tcBorders>
              <w:top w:val="nil"/>
              <w:left w:val="nil"/>
              <w:bottom w:val="nil"/>
              <w:right w:val="nil"/>
            </w:tcBorders>
            <w:shd w:val="clear" w:color="000000" w:fill="FFC7CE"/>
            <w:noWrap/>
            <w:vAlign w:val="bottom"/>
            <w:hideMark/>
          </w:tcPr>
          <w:p w14:paraId="008A380A"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35.1%</w:t>
            </w:r>
          </w:p>
        </w:tc>
        <w:tc>
          <w:tcPr>
            <w:tcW w:w="861" w:type="dxa"/>
            <w:tcBorders>
              <w:top w:val="nil"/>
              <w:left w:val="nil"/>
              <w:bottom w:val="nil"/>
              <w:right w:val="single" w:sz="4" w:space="0" w:color="auto"/>
            </w:tcBorders>
            <w:shd w:val="clear" w:color="000000" w:fill="FFC7CE"/>
            <w:noWrap/>
            <w:vAlign w:val="bottom"/>
            <w:hideMark/>
          </w:tcPr>
          <w:p w14:paraId="51947A19"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212.0%</w:t>
            </w:r>
          </w:p>
        </w:tc>
      </w:tr>
      <w:tr w:rsidR="00EC51DF" w:rsidRPr="00804C30" w14:paraId="51EAEAAA" w14:textId="77777777" w:rsidTr="005843C5">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1B9D9825"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CE12-3.1</w:t>
            </w:r>
          </w:p>
        </w:tc>
        <w:tc>
          <w:tcPr>
            <w:tcW w:w="3240" w:type="dxa"/>
            <w:tcBorders>
              <w:top w:val="nil"/>
              <w:left w:val="nil"/>
              <w:bottom w:val="nil"/>
              <w:right w:val="single" w:sz="4" w:space="0" w:color="auto"/>
            </w:tcBorders>
            <w:shd w:val="clear" w:color="auto" w:fill="auto"/>
            <w:noWrap/>
            <w:vAlign w:val="center"/>
            <w:hideMark/>
          </w:tcPr>
          <w:p w14:paraId="07E28156"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 xml:space="preserve">DRA + </w:t>
            </w:r>
            <w:proofErr w:type="spellStart"/>
            <w:r w:rsidRPr="00804C30">
              <w:rPr>
                <w:rFonts w:ascii="Calibri" w:hAnsi="Calibri"/>
                <w:color w:val="000000"/>
                <w:szCs w:val="22"/>
              </w:rPr>
              <w:t>RefintFlt</w:t>
            </w:r>
            <w:proofErr w:type="spellEnd"/>
            <w:r w:rsidRPr="00804C30">
              <w:rPr>
                <w:rFonts w:ascii="Calibri" w:hAnsi="Calibri"/>
                <w:color w:val="000000"/>
                <w:szCs w:val="22"/>
              </w:rPr>
              <w:t xml:space="preserve"> + </w:t>
            </w:r>
            <w:proofErr w:type="spellStart"/>
            <w:r w:rsidRPr="00804C30">
              <w:rPr>
                <w:rFonts w:ascii="Calibri" w:hAnsi="Calibri"/>
                <w:color w:val="000000"/>
                <w:szCs w:val="22"/>
              </w:rPr>
              <w:t>qpHarmoniz</w:t>
            </w:r>
            <w:proofErr w:type="spellEnd"/>
          </w:p>
        </w:tc>
        <w:tc>
          <w:tcPr>
            <w:tcW w:w="769" w:type="dxa"/>
            <w:tcBorders>
              <w:top w:val="nil"/>
              <w:left w:val="single" w:sz="4" w:space="0" w:color="auto"/>
              <w:bottom w:val="nil"/>
              <w:right w:val="nil"/>
            </w:tcBorders>
            <w:shd w:val="clear" w:color="000000" w:fill="FFC7CE"/>
            <w:noWrap/>
            <w:vAlign w:val="bottom"/>
            <w:hideMark/>
          </w:tcPr>
          <w:p w14:paraId="17887512"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10.3%</w:t>
            </w:r>
          </w:p>
        </w:tc>
        <w:tc>
          <w:tcPr>
            <w:tcW w:w="835" w:type="dxa"/>
            <w:tcBorders>
              <w:top w:val="nil"/>
              <w:left w:val="nil"/>
              <w:bottom w:val="nil"/>
              <w:right w:val="single" w:sz="4" w:space="0" w:color="auto"/>
            </w:tcBorders>
            <w:shd w:val="clear" w:color="000000" w:fill="CCFFCC"/>
            <w:noWrap/>
            <w:vAlign w:val="bottom"/>
            <w:hideMark/>
          </w:tcPr>
          <w:p w14:paraId="68FFE930"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-6.6%</w:t>
            </w:r>
          </w:p>
        </w:tc>
        <w:tc>
          <w:tcPr>
            <w:tcW w:w="861" w:type="dxa"/>
            <w:tcBorders>
              <w:top w:val="nil"/>
              <w:left w:val="single" w:sz="4" w:space="0" w:color="auto"/>
              <w:bottom w:val="nil"/>
              <w:right w:val="nil"/>
            </w:tcBorders>
            <w:shd w:val="clear" w:color="000000" w:fill="CCFFCC"/>
            <w:noWrap/>
            <w:vAlign w:val="bottom"/>
            <w:hideMark/>
          </w:tcPr>
          <w:p w14:paraId="3CA1B260"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-4.4%</w:t>
            </w:r>
          </w:p>
        </w:tc>
        <w:tc>
          <w:tcPr>
            <w:tcW w:w="874" w:type="dxa"/>
            <w:tcBorders>
              <w:top w:val="nil"/>
              <w:left w:val="nil"/>
              <w:bottom w:val="nil"/>
              <w:right w:val="nil"/>
            </w:tcBorders>
            <w:shd w:val="clear" w:color="000000" w:fill="FFC7CE"/>
            <w:noWrap/>
            <w:vAlign w:val="bottom"/>
            <w:hideMark/>
          </w:tcPr>
          <w:p w14:paraId="2244E1D9"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34.5%</w:t>
            </w:r>
          </w:p>
        </w:tc>
        <w:tc>
          <w:tcPr>
            <w:tcW w:w="861" w:type="dxa"/>
            <w:tcBorders>
              <w:top w:val="nil"/>
              <w:left w:val="nil"/>
              <w:bottom w:val="nil"/>
              <w:right w:val="single" w:sz="4" w:space="0" w:color="auto"/>
            </w:tcBorders>
            <w:shd w:val="clear" w:color="000000" w:fill="FFC7CE"/>
            <w:noWrap/>
            <w:vAlign w:val="bottom"/>
            <w:hideMark/>
          </w:tcPr>
          <w:p w14:paraId="4798F48F"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68.5%</w:t>
            </w:r>
          </w:p>
        </w:tc>
      </w:tr>
      <w:tr w:rsidR="00EC51DF" w:rsidRPr="00804C30" w14:paraId="3224DEDE" w14:textId="77777777" w:rsidTr="005843C5">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3C3957FF"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CE12-3.2</w:t>
            </w:r>
          </w:p>
        </w:tc>
        <w:tc>
          <w:tcPr>
            <w:tcW w:w="3240" w:type="dxa"/>
            <w:tcBorders>
              <w:top w:val="nil"/>
              <w:left w:val="nil"/>
              <w:bottom w:val="nil"/>
              <w:right w:val="single" w:sz="4" w:space="0" w:color="auto"/>
            </w:tcBorders>
            <w:shd w:val="clear" w:color="auto" w:fill="auto"/>
            <w:noWrap/>
            <w:vAlign w:val="center"/>
            <w:hideMark/>
          </w:tcPr>
          <w:p w14:paraId="7EF19C1D"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 xml:space="preserve">DRA + </w:t>
            </w:r>
            <w:proofErr w:type="spellStart"/>
            <w:r w:rsidRPr="00804C30">
              <w:rPr>
                <w:rFonts w:ascii="Calibri" w:hAnsi="Calibri"/>
                <w:color w:val="000000"/>
                <w:szCs w:val="22"/>
              </w:rPr>
              <w:t>RefintFix</w:t>
            </w:r>
            <w:proofErr w:type="spellEnd"/>
            <w:r w:rsidRPr="00804C30">
              <w:rPr>
                <w:rFonts w:ascii="Calibri" w:hAnsi="Calibri"/>
                <w:color w:val="000000"/>
                <w:szCs w:val="22"/>
              </w:rPr>
              <w:t xml:space="preserve"> + </w:t>
            </w:r>
            <w:proofErr w:type="spellStart"/>
            <w:r w:rsidRPr="00804C30">
              <w:rPr>
                <w:rFonts w:ascii="Calibri" w:hAnsi="Calibri"/>
                <w:color w:val="000000"/>
                <w:szCs w:val="22"/>
              </w:rPr>
              <w:t>qpHarmoniz</w:t>
            </w:r>
            <w:proofErr w:type="spellEnd"/>
            <w:r w:rsidRPr="00804C30">
              <w:rPr>
                <w:rFonts w:ascii="Calibri" w:hAnsi="Calibri"/>
                <w:color w:val="000000"/>
                <w:szCs w:val="22"/>
              </w:rPr>
              <w:t xml:space="preserve"> </w:t>
            </w:r>
          </w:p>
        </w:tc>
        <w:tc>
          <w:tcPr>
            <w:tcW w:w="769" w:type="dxa"/>
            <w:tcBorders>
              <w:top w:val="nil"/>
              <w:left w:val="single" w:sz="4" w:space="0" w:color="auto"/>
              <w:bottom w:val="nil"/>
              <w:right w:val="nil"/>
            </w:tcBorders>
            <w:shd w:val="clear" w:color="000000" w:fill="FFC7CE"/>
            <w:noWrap/>
            <w:vAlign w:val="bottom"/>
            <w:hideMark/>
          </w:tcPr>
          <w:p w14:paraId="15FEF382"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10.4%</w:t>
            </w:r>
          </w:p>
        </w:tc>
        <w:tc>
          <w:tcPr>
            <w:tcW w:w="835" w:type="dxa"/>
            <w:tcBorders>
              <w:top w:val="nil"/>
              <w:left w:val="nil"/>
              <w:bottom w:val="nil"/>
              <w:right w:val="single" w:sz="4" w:space="0" w:color="auto"/>
            </w:tcBorders>
            <w:shd w:val="clear" w:color="000000" w:fill="CCFFCC"/>
            <w:noWrap/>
            <w:vAlign w:val="bottom"/>
            <w:hideMark/>
          </w:tcPr>
          <w:p w14:paraId="70D07626"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-6.6%</w:t>
            </w:r>
          </w:p>
        </w:tc>
        <w:tc>
          <w:tcPr>
            <w:tcW w:w="861" w:type="dxa"/>
            <w:tcBorders>
              <w:top w:val="nil"/>
              <w:left w:val="single" w:sz="4" w:space="0" w:color="auto"/>
              <w:bottom w:val="nil"/>
              <w:right w:val="nil"/>
            </w:tcBorders>
            <w:shd w:val="clear" w:color="000000" w:fill="CCFFCC"/>
            <w:noWrap/>
            <w:vAlign w:val="bottom"/>
            <w:hideMark/>
          </w:tcPr>
          <w:p w14:paraId="08518B4A"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-4.4%</w:t>
            </w:r>
          </w:p>
        </w:tc>
        <w:tc>
          <w:tcPr>
            <w:tcW w:w="874" w:type="dxa"/>
            <w:tcBorders>
              <w:top w:val="nil"/>
              <w:left w:val="nil"/>
              <w:bottom w:val="nil"/>
              <w:right w:val="nil"/>
            </w:tcBorders>
            <w:shd w:val="clear" w:color="000000" w:fill="FFC7CE"/>
            <w:noWrap/>
            <w:vAlign w:val="bottom"/>
            <w:hideMark/>
          </w:tcPr>
          <w:p w14:paraId="3B59568C"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34.5%</w:t>
            </w:r>
          </w:p>
        </w:tc>
        <w:tc>
          <w:tcPr>
            <w:tcW w:w="861" w:type="dxa"/>
            <w:tcBorders>
              <w:top w:val="nil"/>
              <w:left w:val="nil"/>
              <w:bottom w:val="nil"/>
              <w:right w:val="single" w:sz="4" w:space="0" w:color="auto"/>
            </w:tcBorders>
            <w:shd w:val="clear" w:color="000000" w:fill="FFC7CE"/>
            <w:noWrap/>
            <w:vAlign w:val="bottom"/>
            <w:hideMark/>
          </w:tcPr>
          <w:p w14:paraId="6D5A0954"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68.4%</w:t>
            </w:r>
          </w:p>
        </w:tc>
      </w:tr>
      <w:tr w:rsidR="00EC51DF" w:rsidRPr="00804C30" w14:paraId="05E19394" w14:textId="77777777" w:rsidTr="005843C5">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4B86AE29"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CE12-3.3</w:t>
            </w:r>
          </w:p>
        </w:tc>
        <w:tc>
          <w:tcPr>
            <w:tcW w:w="3240" w:type="dxa"/>
            <w:tcBorders>
              <w:top w:val="nil"/>
              <w:left w:val="nil"/>
              <w:bottom w:val="nil"/>
              <w:right w:val="single" w:sz="4" w:space="0" w:color="auto"/>
            </w:tcBorders>
            <w:shd w:val="clear" w:color="auto" w:fill="auto"/>
            <w:noWrap/>
            <w:vAlign w:val="center"/>
            <w:hideMark/>
          </w:tcPr>
          <w:p w14:paraId="08D427A0"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 xml:space="preserve">DRA + </w:t>
            </w:r>
            <w:proofErr w:type="spellStart"/>
            <w:r w:rsidRPr="00804C30">
              <w:rPr>
                <w:rFonts w:ascii="Calibri" w:hAnsi="Calibri"/>
                <w:color w:val="000000"/>
                <w:szCs w:val="22"/>
              </w:rPr>
              <w:t>qpHarmoniz</w:t>
            </w:r>
            <w:proofErr w:type="spellEnd"/>
          </w:p>
        </w:tc>
        <w:tc>
          <w:tcPr>
            <w:tcW w:w="769" w:type="dxa"/>
            <w:tcBorders>
              <w:top w:val="nil"/>
              <w:left w:val="single" w:sz="4" w:space="0" w:color="auto"/>
              <w:bottom w:val="nil"/>
              <w:right w:val="nil"/>
            </w:tcBorders>
            <w:shd w:val="clear" w:color="000000" w:fill="FFC7CE"/>
            <w:noWrap/>
            <w:vAlign w:val="bottom"/>
            <w:hideMark/>
          </w:tcPr>
          <w:p w14:paraId="4E00D89A"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15.6%</w:t>
            </w:r>
          </w:p>
        </w:tc>
        <w:tc>
          <w:tcPr>
            <w:tcW w:w="835" w:type="dxa"/>
            <w:tcBorders>
              <w:top w:val="nil"/>
              <w:left w:val="nil"/>
              <w:bottom w:val="nil"/>
              <w:right w:val="single" w:sz="4" w:space="0" w:color="auto"/>
            </w:tcBorders>
            <w:shd w:val="clear" w:color="000000" w:fill="CCFFCC"/>
            <w:noWrap/>
            <w:vAlign w:val="bottom"/>
            <w:hideMark/>
          </w:tcPr>
          <w:p w14:paraId="11825D9F"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-6.5%</w:t>
            </w:r>
          </w:p>
        </w:tc>
        <w:tc>
          <w:tcPr>
            <w:tcW w:w="861" w:type="dxa"/>
            <w:tcBorders>
              <w:top w:val="nil"/>
              <w:left w:val="single" w:sz="4" w:space="0" w:color="auto"/>
              <w:bottom w:val="nil"/>
              <w:right w:val="nil"/>
            </w:tcBorders>
            <w:shd w:val="clear" w:color="000000" w:fill="CCFFCC"/>
            <w:noWrap/>
            <w:vAlign w:val="bottom"/>
            <w:hideMark/>
          </w:tcPr>
          <w:p w14:paraId="514E4FCA"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-4.3%</w:t>
            </w:r>
          </w:p>
        </w:tc>
        <w:tc>
          <w:tcPr>
            <w:tcW w:w="874" w:type="dxa"/>
            <w:tcBorders>
              <w:top w:val="nil"/>
              <w:left w:val="nil"/>
              <w:bottom w:val="nil"/>
              <w:right w:val="nil"/>
            </w:tcBorders>
            <w:shd w:val="clear" w:color="000000" w:fill="FFC7CE"/>
            <w:noWrap/>
            <w:vAlign w:val="bottom"/>
            <w:hideMark/>
          </w:tcPr>
          <w:p w14:paraId="4457C69C"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70.5%</w:t>
            </w:r>
          </w:p>
        </w:tc>
        <w:tc>
          <w:tcPr>
            <w:tcW w:w="861" w:type="dxa"/>
            <w:tcBorders>
              <w:top w:val="nil"/>
              <w:left w:val="nil"/>
              <w:bottom w:val="nil"/>
              <w:right w:val="single" w:sz="4" w:space="0" w:color="auto"/>
            </w:tcBorders>
            <w:shd w:val="clear" w:color="000000" w:fill="FFC7CE"/>
            <w:noWrap/>
            <w:vAlign w:val="bottom"/>
            <w:hideMark/>
          </w:tcPr>
          <w:p w14:paraId="766B1A6C"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118.1%</w:t>
            </w:r>
          </w:p>
        </w:tc>
      </w:tr>
      <w:tr w:rsidR="00EC51DF" w:rsidRPr="00804C30" w14:paraId="32B5EC7B" w14:textId="77777777" w:rsidTr="005843C5">
        <w:trPr>
          <w:trHeight w:val="300"/>
        </w:trPr>
        <w:tc>
          <w:tcPr>
            <w:tcW w:w="118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39E74F6F"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in-loop</w:t>
            </w:r>
          </w:p>
        </w:tc>
        <w:tc>
          <w:tcPr>
            <w:tcW w:w="3240" w:type="dxa"/>
            <w:tcBorders>
              <w:top w:val="single" w:sz="4" w:space="0" w:color="auto"/>
              <w:left w:val="nil"/>
              <w:bottom w:val="single" w:sz="4" w:space="0" w:color="auto"/>
              <w:right w:val="single" w:sz="4" w:space="0" w:color="auto"/>
            </w:tcBorders>
            <w:shd w:val="clear" w:color="000000" w:fill="BFBFBF"/>
            <w:noWrap/>
            <w:vAlign w:val="bottom"/>
            <w:hideMark/>
          </w:tcPr>
          <w:p w14:paraId="79DF37C7"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 </w:t>
            </w:r>
          </w:p>
        </w:tc>
        <w:tc>
          <w:tcPr>
            <w:tcW w:w="769" w:type="dxa"/>
            <w:tcBorders>
              <w:top w:val="single" w:sz="4" w:space="0" w:color="auto"/>
              <w:left w:val="nil"/>
              <w:bottom w:val="single" w:sz="4" w:space="0" w:color="auto"/>
              <w:right w:val="nil"/>
            </w:tcBorders>
            <w:shd w:val="clear" w:color="000000" w:fill="BFBFBF"/>
            <w:noWrap/>
            <w:vAlign w:val="bottom"/>
            <w:hideMark/>
          </w:tcPr>
          <w:p w14:paraId="036BC110"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 </w:t>
            </w:r>
          </w:p>
        </w:tc>
        <w:tc>
          <w:tcPr>
            <w:tcW w:w="835" w:type="dxa"/>
            <w:tcBorders>
              <w:top w:val="single" w:sz="4" w:space="0" w:color="auto"/>
              <w:left w:val="nil"/>
              <w:bottom w:val="single" w:sz="4" w:space="0" w:color="auto"/>
              <w:right w:val="single" w:sz="4" w:space="0" w:color="auto"/>
            </w:tcBorders>
            <w:shd w:val="clear" w:color="000000" w:fill="BFBFBF"/>
            <w:noWrap/>
            <w:vAlign w:val="bottom"/>
            <w:hideMark/>
          </w:tcPr>
          <w:p w14:paraId="57DA285A"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 </w:t>
            </w:r>
          </w:p>
        </w:tc>
        <w:tc>
          <w:tcPr>
            <w:tcW w:w="861" w:type="dxa"/>
            <w:tcBorders>
              <w:top w:val="single" w:sz="4" w:space="0" w:color="auto"/>
              <w:left w:val="nil"/>
              <w:bottom w:val="single" w:sz="4" w:space="0" w:color="auto"/>
              <w:right w:val="nil"/>
            </w:tcBorders>
            <w:shd w:val="clear" w:color="000000" w:fill="BFBFBF"/>
            <w:noWrap/>
            <w:vAlign w:val="bottom"/>
            <w:hideMark/>
          </w:tcPr>
          <w:p w14:paraId="674ADE9B"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 </w:t>
            </w:r>
          </w:p>
        </w:tc>
        <w:tc>
          <w:tcPr>
            <w:tcW w:w="874" w:type="dxa"/>
            <w:tcBorders>
              <w:top w:val="single" w:sz="4" w:space="0" w:color="auto"/>
              <w:left w:val="nil"/>
              <w:bottom w:val="single" w:sz="4" w:space="0" w:color="auto"/>
              <w:right w:val="nil"/>
            </w:tcBorders>
            <w:shd w:val="clear" w:color="000000" w:fill="BFBFBF"/>
            <w:noWrap/>
            <w:vAlign w:val="bottom"/>
            <w:hideMark/>
          </w:tcPr>
          <w:p w14:paraId="3E4ADF50"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 </w:t>
            </w:r>
          </w:p>
        </w:tc>
        <w:tc>
          <w:tcPr>
            <w:tcW w:w="861" w:type="dxa"/>
            <w:tcBorders>
              <w:top w:val="single" w:sz="4" w:space="0" w:color="auto"/>
              <w:left w:val="nil"/>
              <w:bottom w:val="single" w:sz="4" w:space="0" w:color="auto"/>
              <w:right w:val="single" w:sz="4" w:space="0" w:color="auto"/>
            </w:tcBorders>
            <w:shd w:val="clear" w:color="000000" w:fill="BFBFBF"/>
            <w:noWrap/>
            <w:vAlign w:val="bottom"/>
            <w:hideMark/>
          </w:tcPr>
          <w:p w14:paraId="5965D554"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rPr>
            </w:pPr>
            <w:r w:rsidRPr="00804C30">
              <w:rPr>
                <w:rFonts w:ascii="Calibri" w:hAnsi="Calibri"/>
                <w:b/>
                <w:bCs/>
                <w:color w:val="000000"/>
                <w:szCs w:val="22"/>
              </w:rPr>
              <w:t> </w:t>
            </w:r>
          </w:p>
        </w:tc>
      </w:tr>
      <w:tr w:rsidR="00EC51DF" w:rsidRPr="00804C30" w14:paraId="7C082977" w14:textId="77777777" w:rsidTr="005843C5">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083DF2EB"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CE12-5</w:t>
            </w:r>
          </w:p>
        </w:tc>
        <w:tc>
          <w:tcPr>
            <w:tcW w:w="3240" w:type="dxa"/>
            <w:tcBorders>
              <w:top w:val="nil"/>
              <w:left w:val="nil"/>
              <w:bottom w:val="nil"/>
              <w:right w:val="single" w:sz="4" w:space="0" w:color="auto"/>
            </w:tcBorders>
            <w:shd w:val="clear" w:color="auto" w:fill="auto"/>
            <w:noWrap/>
            <w:vAlign w:val="center"/>
            <w:hideMark/>
          </w:tcPr>
          <w:p w14:paraId="4B9CD8BE"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804C30">
              <w:rPr>
                <w:rFonts w:ascii="Calibri" w:hAnsi="Calibri"/>
                <w:color w:val="000000"/>
                <w:szCs w:val="22"/>
              </w:rPr>
              <w:t>Reshap</w:t>
            </w:r>
            <w:proofErr w:type="spellEnd"/>
            <w:r w:rsidRPr="00804C30">
              <w:rPr>
                <w:rFonts w:ascii="Calibri" w:hAnsi="Calibri"/>
                <w:color w:val="000000"/>
                <w:szCs w:val="22"/>
              </w:rPr>
              <w:t xml:space="preserve"> </w:t>
            </w:r>
          </w:p>
        </w:tc>
        <w:tc>
          <w:tcPr>
            <w:tcW w:w="769" w:type="dxa"/>
            <w:tcBorders>
              <w:top w:val="nil"/>
              <w:left w:val="single" w:sz="4" w:space="0" w:color="auto"/>
              <w:bottom w:val="nil"/>
              <w:right w:val="nil"/>
            </w:tcBorders>
            <w:shd w:val="clear" w:color="000000" w:fill="FFC7CE"/>
            <w:noWrap/>
            <w:vAlign w:val="bottom"/>
            <w:hideMark/>
          </w:tcPr>
          <w:p w14:paraId="5B33D3C7"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11.0%</w:t>
            </w:r>
          </w:p>
        </w:tc>
        <w:tc>
          <w:tcPr>
            <w:tcW w:w="835" w:type="dxa"/>
            <w:tcBorders>
              <w:top w:val="nil"/>
              <w:left w:val="nil"/>
              <w:bottom w:val="nil"/>
              <w:right w:val="single" w:sz="4" w:space="0" w:color="auto"/>
            </w:tcBorders>
            <w:shd w:val="clear" w:color="auto" w:fill="auto"/>
            <w:noWrap/>
            <w:vAlign w:val="bottom"/>
            <w:hideMark/>
          </w:tcPr>
          <w:p w14:paraId="6E506291"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-2.6%</w:t>
            </w:r>
          </w:p>
        </w:tc>
        <w:tc>
          <w:tcPr>
            <w:tcW w:w="861" w:type="dxa"/>
            <w:tcBorders>
              <w:top w:val="nil"/>
              <w:left w:val="nil"/>
              <w:bottom w:val="nil"/>
              <w:right w:val="nil"/>
            </w:tcBorders>
            <w:shd w:val="clear" w:color="auto" w:fill="auto"/>
            <w:noWrap/>
            <w:vAlign w:val="bottom"/>
            <w:hideMark/>
          </w:tcPr>
          <w:p w14:paraId="1CE23662"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-2.0%</w:t>
            </w:r>
          </w:p>
        </w:tc>
        <w:tc>
          <w:tcPr>
            <w:tcW w:w="874" w:type="dxa"/>
            <w:tcBorders>
              <w:top w:val="nil"/>
              <w:left w:val="nil"/>
              <w:bottom w:val="nil"/>
              <w:right w:val="nil"/>
            </w:tcBorders>
            <w:shd w:val="clear" w:color="000000" w:fill="FFC7CE"/>
            <w:noWrap/>
            <w:vAlign w:val="bottom"/>
            <w:hideMark/>
          </w:tcPr>
          <w:p w14:paraId="2D4D220C"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12.0%</w:t>
            </w:r>
          </w:p>
        </w:tc>
        <w:tc>
          <w:tcPr>
            <w:tcW w:w="861" w:type="dxa"/>
            <w:tcBorders>
              <w:top w:val="nil"/>
              <w:left w:val="nil"/>
              <w:bottom w:val="nil"/>
              <w:right w:val="single" w:sz="4" w:space="0" w:color="auto"/>
            </w:tcBorders>
            <w:shd w:val="clear" w:color="000000" w:fill="FFC7CE"/>
            <w:noWrap/>
            <w:vAlign w:val="bottom"/>
            <w:hideMark/>
          </w:tcPr>
          <w:p w14:paraId="031FF50A"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10.3%</w:t>
            </w:r>
          </w:p>
        </w:tc>
      </w:tr>
      <w:tr w:rsidR="00EC51DF" w:rsidRPr="00804C30" w14:paraId="6E56E250" w14:textId="77777777" w:rsidTr="005843C5">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602BBA35"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CE12-6.1</w:t>
            </w:r>
          </w:p>
        </w:tc>
        <w:tc>
          <w:tcPr>
            <w:tcW w:w="3240" w:type="dxa"/>
            <w:tcBorders>
              <w:top w:val="nil"/>
              <w:left w:val="nil"/>
              <w:bottom w:val="nil"/>
              <w:right w:val="single" w:sz="4" w:space="0" w:color="auto"/>
            </w:tcBorders>
            <w:shd w:val="clear" w:color="auto" w:fill="auto"/>
            <w:noWrap/>
            <w:vAlign w:val="center"/>
            <w:hideMark/>
          </w:tcPr>
          <w:p w14:paraId="08937D77"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804C30">
              <w:rPr>
                <w:rFonts w:ascii="Calibri" w:hAnsi="Calibri"/>
                <w:color w:val="000000"/>
                <w:szCs w:val="22"/>
              </w:rPr>
              <w:t>Reshap</w:t>
            </w:r>
            <w:proofErr w:type="spellEnd"/>
            <w:r w:rsidRPr="00804C30">
              <w:rPr>
                <w:rFonts w:ascii="Calibri" w:hAnsi="Calibri"/>
                <w:color w:val="000000"/>
                <w:szCs w:val="22"/>
              </w:rPr>
              <w:t xml:space="preserve"> + </w:t>
            </w:r>
            <w:proofErr w:type="spellStart"/>
            <w:r w:rsidRPr="00804C30">
              <w:rPr>
                <w:rFonts w:ascii="Calibri" w:hAnsi="Calibri"/>
                <w:color w:val="000000"/>
                <w:szCs w:val="22"/>
              </w:rPr>
              <w:t>chrQpOffset</w:t>
            </w:r>
            <w:proofErr w:type="spellEnd"/>
          </w:p>
        </w:tc>
        <w:tc>
          <w:tcPr>
            <w:tcW w:w="769" w:type="dxa"/>
            <w:tcBorders>
              <w:top w:val="nil"/>
              <w:left w:val="nil"/>
              <w:bottom w:val="nil"/>
              <w:right w:val="nil"/>
            </w:tcBorders>
            <w:shd w:val="clear" w:color="auto" w:fill="auto"/>
            <w:noWrap/>
            <w:vAlign w:val="bottom"/>
            <w:hideMark/>
          </w:tcPr>
          <w:p w14:paraId="1D40FB86"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-1.3%</w:t>
            </w:r>
          </w:p>
        </w:tc>
        <w:tc>
          <w:tcPr>
            <w:tcW w:w="835" w:type="dxa"/>
            <w:tcBorders>
              <w:top w:val="nil"/>
              <w:left w:val="nil"/>
              <w:bottom w:val="nil"/>
              <w:right w:val="single" w:sz="4" w:space="0" w:color="auto"/>
            </w:tcBorders>
            <w:shd w:val="clear" w:color="auto" w:fill="auto"/>
            <w:noWrap/>
            <w:vAlign w:val="bottom"/>
            <w:hideMark/>
          </w:tcPr>
          <w:p w14:paraId="60FE0D7B"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-2.6%</w:t>
            </w:r>
          </w:p>
        </w:tc>
        <w:tc>
          <w:tcPr>
            <w:tcW w:w="861" w:type="dxa"/>
            <w:tcBorders>
              <w:top w:val="nil"/>
              <w:left w:val="nil"/>
              <w:bottom w:val="nil"/>
              <w:right w:val="nil"/>
            </w:tcBorders>
            <w:shd w:val="clear" w:color="auto" w:fill="auto"/>
            <w:noWrap/>
            <w:vAlign w:val="bottom"/>
            <w:hideMark/>
          </w:tcPr>
          <w:p w14:paraId="0D5824AB"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-2.0%</w:t>
            </w:r>
          </w:p>
        </w:tc>
        <w:tc>
          <w:tcPr>
            <w:tcW w:w="874" w:type="dxa"/>
            <w:tcBorders>
              <w:top w:val="nil"/>
              <w:left w:val="nil"/>
              <w:bottom w:val="nil"/>
              <w:right w:val="nil"/>
            </w:tcBorders>
            <w:shd w:val="clear" w:color="auto" w:fill="auto"/>
            <w:noWrap/>
            <w:vAlign w:val="bottom"/>
            <w:hideMark/>
          </w:tcPr>
          <w:p w14:paraId="098366B4"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0.0%</w:t>
            </w:r>
          </w:p>
        </w:tc>
        <w:tc>
          <w:tcPr>
            <w:tcW w:w="861" w:type="dxa"/>
            <w:tcBorders>
              <w:top w:val="nil"/>
              <w:left w:val="nil"/>
              <w:bottom w:val="nil"/>
              <w:right w:val="single" w:sz="4" w:space="0" w:color="auto"/>
            </w:tcBorders>
            <w:shd w:val="clear" w:color="auto" w:fill="auto"/>
            <w:noWrap/>
            <w:vAlign w:val="bottom"/>
            <w:hideMark/>
          </w:tcPr>
          <w:p w14:paraId="1107ABCF"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-0.1%</w:t>
            </w:r>
          </w:p>
        </w:tc>
      </w:tr>
      <w:tr w:rsidR="00EC51DF" w:rsidRPr="00804C30" w14:paraId="0A51B764" w14:textId="77777777" w:rsidTr="005843C5">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16350728"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CE12-6.2</w:t>
            </w:r>
          </w:p>
        </w:tc>
        <w:tc>
          <w:tcPr>
            <w:tcW w:w="3240" w:type="dxa"/>
            <w:tcBorders>
              <w:top w:val="nil"/>
              <w:left w:val="nil"/>
              <w:bottom w:val="nil"/>
              <w:right w:val="single" w:sz="4" w:space="0" w:color="auto"/>
            </w:tcBorders>
            <w:shd w:val="clear" w:color="auto" w:fill="auto"/>
            <w:noWrap/>
            <w:vAlign w:val="center"/>
            <w:hideMark/>
          </w:tcPr>
          <w:p w14:paraId="0B60592F"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804C30">
              <w:rPr>
                <w:rFonts w:ascii="Calibri" w:hAnsi="Calibri"/>
                <w:color w:val="000000"/>
                <w:szCs w:val="22"/>
              </w:rPr>
              <w:t>Reshap</w:t>
            </w:r>
            <w:proofErr w:type="spellEnd"/>
            <w:r w:rsidRPr="00804C30">
              <w:rPr>
                <w:rFonts w:ascii="Calibri" w:hAnsi="Calibri"/>
                <w:color w:val="000000"/>
                <w:szCs w:val="22"/>
              </w:rPr>
              <w:t xml:space="preserve"> + </w:t>
            </w:r>
            <w:proofErr w:type="spellStart"/>
            <w:r w:rsidRPr="00804C30">
              <w:rPr>
                <w:rFonts w:ascii="Calibri" w:hAnsi="Calibri"/>
                <w:color w:val="000000"/>
                <w:szCs w:val="22"/>
              </w:rPr>
              <w:t>chrScaling</w:t>
            </w:r>
            <w:proofErr w:type="spellEnd"/>
          </w:p>
        </w:tc>
        <w:tc>
          <w:tcPr>
            <w:tcW w:w="769" w:type="dxa"/>
            <w:tcBorders>
              <w:top w:val="nil"/>
              <w:left w:val="nil"/>
              <w:bottom w:val="nil"/>
              <w:right w:val="nil"/>
            </w:tcBorders>
            <w:shd w:val="clear" w:color="auto" w:fill="auto"/>
            <w:noWrap/>
            <w:vAlign w:val="bottom"/>
            <w:hideMark/>
          </w:tcPr>
          <w:p w14:paraId="0A4A16C7"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2.0%</w:t>
            </w:r>
          </w:p>
        </w:tc>
        <w:tc>
          <w:tcPr>
            <w:tcW w:w="835" w:type="dxa"/>
            <w:tcBorders>
              <w:top w:val="nil"/>
              <w:left w:val="nil"/>
              <w:bottom w:val="nil"/>
              <w:right w:val="single" w:sz="4" w:space="0" w:color="auto"/>
            </w:tcBorders>
            <w:shd w:val="clear" w:color="auto" w:fill="auto"/>
            <w:noWrap/>
            <w:vAlign w:val="bottom"/>
            <w:hideMark/>
          </w:tcPr>
          <w:p w14:paraId="57587455"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-2.6%</w:t>
            </w:r>
          </w:p>
        </w:tc>
        <w:tc>
          <w:tcPr>
            <w:tcW w:w="861" w:type="dxa"/>
            <w:tcBorders>
              <w:top w:val="nil"/>
              <w:left w:val="nil"/>
              <w:bottom w:val="nil"/>
              <w:right w:val="nil"/>
            </w:tcBorders>
            <w:shd w:val="clear" w:color="auto" w:fill="auto"/>
            <w:noWrap/>
            <w:vAlign w:val="bottom"/>
            <w:hideMark/>
          </w:tcPr>
          <w:p w14:paraId="7773C8E0"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-2.0%</w:t>
            </w:r>
          </w:p>
        </w:tc>
        <w:tc>
          <w:tcPr>
            <w:tcW w:w="874" w:type="dxa"/>
            <w:tcBorders>
              <w:top w:val="nil"/>
              <w:left w:val="nil"/>
              <w:bottom w:val="nil"/>
              <w:right w:val="nil"/>
            </w:tcBorders>
            <w:shd w:val="clear" w:color="000000" w:fill="FFC7CE"/>
            <w:noWrap/>
            <w:vAlign w:val="bottom"/>
            <w:hideMark/>
          </w:tcPr>
          <w:p w14:paraId="2FEE3E13"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5.9%</w:t>
            </w:r>
          </w:p>
        </w:tc>
        <w:tc>
          <w:tcPr>
            <w:tcW w:w="861" w:type="dxa"/>
            <w:tcBorders>
              <w:top w:val="nil"/>
              <w:left w:val="nil"/>
              <w:bottom w:val="nil"/>
              <w:right w:val="single" w:sz="4" w:space="0" w:color="auto"/>
            </w:tcBorders>
            <w:shd w:val="clear" w:color="000000" w:fill="FFC7CE"/>
            <w:noWrap/>
            <w:vAlign w:val="bottom"/>
            <w:hideMark/>
          </w:tcPr>
          <w:p w14:paraId="61D02CC0"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04C30">
              <w:rPr>
                <w:rFonts w:ascii="Arial" w:hAnsi="Arial" w:cs="Arial"/>
                <w:sz w:val="18"/>
                <w:szCs w:val="18"/>
              </w:rPr>
              <w:t>8.9%</w:t>
            </w:r>
          </w:p>
        </w:tc>
      </w:tr>
      <w:tr w:rsidR="00EC51DF" w:rsidRPr="00804C30" w14:paraId="75C50D61" w14:textId="77777777" w:rsidTr="005843C5">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7BF5318B"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CE12-7.1</w:t>
            </w:r>
          </w:p>
        </w:tc>
        <w:tc>
          <w:tcPr>
            <w:tcW w:w="3240" w:type="dxa"/>
            <w:tcBorders>
              <w:top w:val="nil"/>
              <w:left w:val="nil"/>
              <w:bottom w:val="nil"/>
              <w:right w:val="single" w:sz="4" w:space="0" w:color="auto"/>
            </w:tcBorders>
            <w:shd w:val="clear" w:color="auto" w:fill="auto"/>
            <w:noWrap/>
            <w:vAlign w:val="center"/>
            <w:hideMark/>
          </w:tcPr>
          <w:p w14:paraId="087AA6DF"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804C30">
              <w:rPr>
                <w:rFonts w:ascii="Calibri" w:hAnsi="Calibri"/>
                <w:color w:val="000000"/>
                <w:szCs w:val="22"/>
              </w:rPr>
              <w:t>Reshap</w:t>
            </w:r>
            <w:proofErr w:type="spellEnd"/>
            <w:r w:rsidRPr="00804C30">
              <w:rPr>
                <w:rFonts w:ascii="Calibri" w:hAnsi="Calibri"/>
                <w:color w:val="000000"/>
                <w:szCs w:val="22"/>
              </w:rPr>
              <w:t xml:space="preserve"> + </w:t>
            </w:r>
            <w:proofErr w:type="spellStart"/>
            <w:r w:rsidRPr="00804C30">
              <w:rPr>
                <w:rFonts w:ascii="Calibri" w:hAnsi="Calibri"/>
                <w:color w:val="000000"/>
                <w:szCs w:val="22"/>
              </w:rPr>
              <w:t>LF_intraOrig_interOrig</w:t>
            </w:r>
            <w:proofErr w:type="spellEnd"/>
          </w:p>
        </w:tc>
        <w:tc>
          <w:tcPr>
            <w:tcW w:w="769" w:type="dxa"/>
            <w:tcBorders>
              <w:top w:val="nil"/>
              <w:left w:val="nil"/>
              <w:bottom w:val="nil"/>
              <w:right w:val="nil"/>
            </w:tcBorders>
            <w:shd w:val="clear" w:color="auto" w:fill="auto"/>
            <w:noWrap/>
            <w:vAlign w:val="bottom"/>
            <w:hideMark/>
          </w:tcPr>
          <w:p w14:paraId="646078C6"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-1.1%</w:t>
            </w:r>
          </w:p>
        </w:tc>
        <w:tc>
          <w:tcPr>
            <w:tcW w:w="835" w:type="dxa"/>
            <w:tcBorders>
              <w:top w:val="nil"/>
              <w:left w:val="nil"/>
              <w:bottom w:val="nil"/>
              <w:right w:val="single" w:sz="4" w:space="0" w:color="auto"/>
            </w:tcBorders>
            <w:shd w:val="clear" w:color="auto" w:fill="auto"/>
            <w:noWrap/>
            <w:vAlign w:val="bottom"/>
            <w:hideMark/>
          </w:tcPr>
          <w:p w14:paraId="640633DF"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-1.7%</w:t>
            </w:r>
          </w:p>
        </w:tc>
        <w:tc>
          <w:tcPr>
            <w:tcW w:w="861" w:type="dxa"/>
            <w:tcBorders>
              <w:top w:val="nil"/>
              <w:left w:val="nil"/>
              <w:bottom w:val="nil"/>
              <w:right w:val="nil"/>
            </w:tcBorders>
            <w:shd w:val="clear" w:color="auto" w:fill="auto"/>
            <w:noWrap/>
            <w:vAlign w:val="bottom"/>
            <w:hideMark/>
          </w:tcPr>
          <w:p w14:paraId="5D00DA16"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-1.3%</w:t>
            </w:r>
          </w:p>
        </w:tc>
        <w:tc>
          <w:tcPr>
            <w:tcW w:w="874" w:type="dxa"/>
            <w:tcBorders>
              <w:top w:val="nil"/>
              <w:left w:val="nil"/>
              <w:bottom w:val="nil"/>
              <w:right w:val="nil"/>
            </w:tcBorders>
            <w:shd w:val="clear" w:color="auto" w:fill="auto"/>
            <w:noWrap/>
            <w:vAlign w:val="bottom"/>
            <w:hideMark/>
          </w:tcPr>
          <w:p w14:paraId="04BB634D"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0.1%</w:t>
            </w:r>
          </w:p>
        </w:tc>
        <w:tc>
          <w:tcPr>
            <w:tcW w:w="861" w:type="dxa"/>
            <w:tcBorders>
              <w:top w:val="nil"/>
              <w:left w:val="nil"/>
              <w:bottom w:val="nil"/>
              <w:right w:val="single" w:sz="4" w:space="0" w:color="auto"/>
            </w:tcBorders>
            <w:shd w:val="clear" w:color="auto" w:fill="auto"/>
            <w:noWrap/>
            <w:vAlign w:val="bottom"/>
            <w:hideMark/>
          </w:tcPr>
          <w:p w14:paraId="23DD2444"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0.0%</w:t>
            </w:r>
          </w:p>
        </w:tc>
      </w:tr>
      <w:tr w:rsidR="00EC51DF" w:rsidRPr="00804C30" w14:paraId="74195229" w14:textId="77777777" w:rsidTr="005843C5">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239F49C9"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CE12-7.2</w:t>
            </w:r>
          </w:p>
        </w:tc>
        <w:tc>
          <w:tcPr>
            <w:tcW w:w="3240" w:type="dxa"/>
            <w:tcBorders>
              <w:top w:val="nil"/>
              <w:left w:val="nil"/>
              <w:bottom w:val="nil"/>
              <w:right w:val="single" w:sz="4" w:space="0" w:color="auto"/>
            </w:tcBorders>
            <w:shd w:val="clear" w:color="auto" w:fill="auto"/>
            <w:noWrap/>
            <w:vAlign w:val="center"/>
            <w:hideMark/>
          </w:tcPr>
          <w:p w14:paraId="30DE6E20"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804C30">
              <w:rPr>
                <w:rFonts w:ascii="Calibri" w:hAnsi="Calibri"/>
                <w:color w:val="000000"/>
                <w:szCs w:val="22"/>
              </w:rPr>
              <w:t>Reshap</w:t>
            </w:r>
            <w:proofErr w:type="spellEnd"/>
            <w:r w:rsidRPr="00804C30">
              <w:rPr>
                <w:rFonts w:ascii="Calibri" w:hAnsi="Calibri"/>
                <w:color w:val="000000"/>
                <w:szCs w:val="22"/>
              </w:rPr>
              <w:t xml:space="preserve"> + </w:t>
            </w:r>
            <w:proofErr w:type="spellStart"/>
            <w:r w:rsidRPr="00804C30">
              <w:rPr>
                <w:rFonts w:ascii="Calibri" w:hAnsi="Calibri"/>
                <w:color w:val="000000"/>
                <w:szCs w:val="22"/>
              </w:rPr>
              <w:t>LF_intraResh_interOrig</w:t>
            </w:r>
            <w:proofErr w:type="spellEnd"/>
          </w:p>
        </w:tc>
        <w:tc>
          <w:tcPr>
            <w:tcW w:w="769" w:type="dxa"/>
            <w:tcBorders>
              <w:top w:val="nil"/>
              <w:left w:val="nil"/>
              <w:bottom w:val="nil"/>
              <w:right w:val="nil"/>
            </w:tcBorders>
            <w:shd w:val="clear" w:color="auto" w:fill="auto"/>
            <w:noWrap/>
            <w:vAlign w:val="bottom"/>
            <w:hideMark/>
          </w:tcPr>
          <w:p w14:paraId="60338DC0"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-1.4%</w:t>
            </w:r>
          </w:p>
        </w:tc>
        <w:tc>
          <w:tcPr>
            <w:tcW w:w="835" w:type="dxa"/>
            <w:tcBorders>
              <w:top w:val="nil"/>
              <w:left w:val="nil"/>
              <w:bottom w:val="nil"/>
              <w:right w:val="single" w:sz="4" w:space="0" w:color="auto"/>
            </w:tcBorders>
            <w:shd w:val="clear" w:color="auto" w:fill="auto"/>
            <w:noWrap/>
            <w:vAlign w:val="bottom"/>
            <w:hideMark/>
          </w:tcPr>
          <w:p w14:paraId="34D1ED92"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-2.4%</w:t>
            </w:r>
          </w:p>
        </w:tc>
        <w:tc>
          <w:tcPr>
            <w:tcW w:w="861" w:type="dxa"/>
            <w:tcBorders>
              <w:top w:val="nil"/>
              <w:left w:val="nil"/>
              <w:bottom w:val="nil"/>
              <w:right w:val="nil"/>
            </w:tcBorders>
            <w:shd w:val="clear" w:color="auto" w:fill="auto"/>
            <w:noWrap/>
            <w:vAlign w:val="bottom"/>
            <w:hideMark/>
          </w:tcPr>
          <w:p w14:paraId="7493C650"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-1.8%</w:t>
            </w:r>
          </w:p>
        </w:tc>
        <w:tc>
          <w:tcPr>
            <w:tcW w:w="874" w:type="dxa"/>
            <w:tcBorders>
              <w:top w:val="nil"/>
              <w:left w:val="nil"/>
              <w:bottom w:val="nil"/>
              <w:right w:val="nil"/>
            </w:tcBorders>
            <w:shd w:val="clear" w:color="auto" w:fill="auto"/>
            <w:noWrap/>
            <w:vAlign w:val="bottom"/>
            <w:hideMark/>
          </w:tcPr>
          <w:p w14:paraId="642BE7D1"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-0.1%</w:t>
            </w:r>
          </w:p>
        </w:tc>
        <w:tc>
          <w:tcPr>
            <w:tcW w:w="861" w:type="dxa"/>
            <w:tcBorders>
              <w:top w:val="nil"/>
              <w:left w:val="nil"/>
              <w:bottom w:val="nil"/>
              <w:right w:val="single" w:sz="4" w:space="0" w:color="auto"/>
            </w:tcBorders>
            <w:shd w:val="clear" w:color="auto" w:fill="auto"/>
            <w:noWrap/>
            <w:vAlign w:val="bottom"/>
            <w:hideMark/>
          </w:tcPr>
          <w:p w14:paraId="03692767"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-0.1%</w:t>
            </w:r>
          </w:p>
        </w:tc>
      </w:tr>
      <w:tr w:rsidR="00EC51DF" w:rsidRPr="00804C30" w14:paraId="030EE43A" w14:textId="77777777" w:rsidTr="005843C5">
        <w:trPr>
          <w:trHeight w:val="300"/>
        </w:trPr>
        <w:tc>
          <w:tcPr>
            <w:tcW w:w="1180" w:type="dxa"/>
            <w:tcBorders>
              <w:top w:val="nil"/>
              <w:left w:val="single" w:sz="4" w:space="0" w:color="auto"/>
              <w:bottom w:val="nil"/>
              <w:right w:val="single" w:sz="4" w:space="0" w:color="auto"/>
            </w:tcBorders>
            <w:shd w:val="clear" w:color="auto" w:fill="auto"/>
            <w:noWrap/>
            <w:vAlign w:val="bottom"/>
            <w:hideMark/>
          </w:tcPr>
          <w:p w14:paraId="0A71F47F"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CE12-7.3</w:t>
            </w:r>
          </w:p>
        </w:tc>
        <w:tc>
          <w:tcPr>
            <w:tcW w:w="3240" w:type="dxa"/>
            <w:tcBorders>
              <w:top w:val="nil"/>
              <w:left w:val="nil"/>
              <w:bottom w:val="nil"/>
              <w:right w:val="single" w:sz="4" w:space="0" w:color="auto"/>
            </w:tcBorders>
            <w:shd w:val="clear" w:color="auto" w:fill="auto"/>
            <w:noWrap/>
            <w:vAlign w:val="center"/>
            <w:hideMark/>
          </w:tcPr>
          <w:p w14:paraId="50BD5A84"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804C30">
              <w:rPr>
                <w:rFonts w:ascii="Calibri" w:hAnsi="Calibri"/>
                <w:color w:val="000000"/>
                <w:szCs w:val="22"/>
              </w:rPr>
              <w:t>Reshap</w:t>
            </w:r>
            <w:proofErr w:type="spellEnd"/>
            <w:r w:rsidRPr="00804C30">
              <w:rPr>
                <w:rFonts w:ascii="Calibri" w:hAnsi="Calibri"/>
                <w:color w:val="000000"/>
                <w:szCs w:val="22"/>
              </w:rPr>
              <w:t xml:space="preserve"> + </w:t>
            </w:r>
            <w:proofErr w:type="spellStart"/>
            <w:r w:rsidRPr="00804C30">
              <w:rPr>
                <w:rFonts w:ascii="Calibri" w:hAnsi="Calibri"/>
                <w:color w:val="000000"/>
                <w:szCs w:val="22"/>
              </w:rPr>
              <w:t>LF_intraResh_interResh</w:t>
            </w:r>
            <w:proofErr w:type="spellEnd"/>
          </w:p>
        </w:tc>
        <w:tc>
          <w:tcPr>
            <w:tcW w:w="769" w:type="dxa"/>
            <w:tcBorders>
              <w:top w:val="nil"/>
              <w:left w:val="nil"/>
              <w:bottom w:val="nil"/>
              <w:right w:val="nil"/>
            </w:tcBorders>
            <w:shd w:val="clear" w:color="auto" w:fill="auto"/>
            <w:noWrap/>
            <w:vAlign w:val="bottom"/>
            <w:hideMark/>
          </w:tcPr>
          <w:p w14:paraId="0B466481"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-1.3%</w:t>
            </w:r>
          </w:p>
        </w:tc>
        <w:tc>
          <w:tcPr>
            <w:tcW w:w="835" w:type="dxa"/>
            <w:tcBorders>
              <w:top w:val="nil"/>
              <w:left w:val="nil"/>
              <w:bottom w:val="nil"/>
              <w:right w:val="single" w:sz="4" w:space="0" w:color="auto"/>
            </w:tcBorders>
            <w:shd w:val="clear" w:color="auto" w:fill="auto"/>
            <w:noWrap/>
            <w:vAlign w:val="bottom"/>
            <w:hideMark/>
          </w:tcPr>
          <w:p w14:paraId="268A6795"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-2.6%</w:t>
            </w:r>
          </w:p>
        </w:tc>
        <w:tc>
          <w:tcPr>
            <w:tcW w:w="861" w:type="dxa"/>
            <w:tcBorders>
              <w:top w:val="nil"/>
              <w:left w:val="nil"/>
              <w:bottom w:val="nil"/>
              <w:right w:val="nil"/>
            </w:tcBorders>
            <w:shd w:val="clear" w:color="auto" w:fill="auto"/>
            <w:noWrap/>
            <w:vAlign w:val="bottom"/>
            <w:hideMark/>
          </w:tcPr>
          <w:p w14:paraId="26B473E1"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-2.0%</w:t>
            </w:r>
          </w:p>
        </w:tc>
        <w:tc>
          <w:tcPr>
            <w:tcW w:w="874" w:type="dxa"/>
            <w:tcBorders>
              <w:top w:val="nil"/>
              <w:left w:val="nil"/>
              <w:bottom w:val="nil"/>
              <w:right w:val="nil"/>
            </w:tcBorders>
            <w:shd w:val="clear" w:color="auto" w:fill="auto"/>
            <w:noWrap/>
            <w:vAlign w:val="bottom"/>
            <w:hideMark/>
          </w:tcPr>
          <w:p w14:paraId="73CE53C7"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0.0%</w:t>
            </w:r>
          </w:p>
        </w:tc>
        <w:tc>
          <w:tcPr>
            <w:tcW w:w="861" w:type="dxa"/>
            <w:tcBorders>
              <w:top w:val="nil"/>
              <w:left w:val="nil"/>
              <w:bottom w:val="nil"/>
              <w:right w:val="single" w:sz="4" w:space="0" w:color="auto"/>
            </w:tcBorders>
            <w:shd w:val="clear" w:color="auto" w:fill="auto"/>
            <w:noWrap/>
            <w:vAlign w:val="bottom"/>
            <w:hideMark/>
          </w:tcPr>
          <w:p w14:paraId="4D70FFB7"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-0.1%</w:t>
            </w:r>
          </w:p>
        </w:tc>
      </w:tr>
      <w:tr w:rsidR="00EC51DF" w:rsidRPr="00804C30" w14:paraId="54BFE305" w14:textId="77777777" w:rsidTr="005843C5">
        <w:trPr>
          <w:trHeight w:val="300"/>
        </w:trPr>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D564941"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804C30">
              <w:rPr>
                <w:rFonts w:ascii="Calibri" w:hAnsi="Calibri"/>
                <w:color w:val="000000"/>
                <w:szCs w:val="22"/>
              </w:rPr>
              <w:t>CE12-8</w:t>
            </w:r>
          </w:p>
        </w:tc>
        <w:tc>
          <w:tcPr>
            <w:tcW w:w="3240" w:type="dxa"/>
            <w:tcBorders>
              <w:top w:val="nil"/>
              <w:left w:val="nil"/>
              <w:bottom w:val="single" w:sz="4" w:space="0" w:color="auto"/>
              <w:right w:val="single" w:sz="4" w:space="0" w:color="auto"/>
            </w:tcBorders>
            <w:shd w:val="clear" w:color="auto" w:fill="auto"/>
            <w:noWrap/>
            <w:vAlign w:val="center"/>
            <w:hideMark/>
          </w:tcPr>
          <w:p w14:paraId="224527B2"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roofErr w:type="spellStart"/>
            <w:r w:rsidRPr="00804C30">
              <w:rPr>
                <w:rFonts w:ascii="Calibri" w:hAnsi="Calibri"/>
                <w:color w:val="000000"/>
                <w:szCs w:val="22"/>
              </w:rPr>
              <w:t>Reshap</w:t>
            </w:r>
            <w:proofErr w:type="spellEnd"/>
            <w:r w:rsidRPr="00804C30">
              <w:rPr>
                <w:rFonts w:ascii="Calibri" w:hAnsi="Calibri"/>
                <w:color w:val="000000"/>
                <w:szCs w:val="22"/>
              </w:rPr>
              <w:t xml:space="preserve"> + ROI</w:t>
            </w:r>
          </w:p>
        </w:tc>
        <w:tc>
          <w:tcPr>
            <w:tcW w:w="769" w:type="dxa"/>
            <w:tcBorders>
              <w:top w:val="nil"/>
              <w:left w:val="nil"/>
              <w:bottom w:val="single" w:sz="4" w:space="0" w:color="auto"/>
              <w:right w:val="nil"/>
            </w:tcBorders>
            <w:shd w:val="clear" w:color="auto" w:fill="auto"/>
            <w:noWrap/>
            <w:vAlign w:val="bottom"/>
            <w:hideMark/>
          </w:tcPr>
          <w:p w14:paraId="5210A36A"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-1.2%</w:t>
            </w:r>
          </w:p>
        </w:tc>
        <w:tc>
          <w:tcPr>
            <w:tcW w:w="835" w:type="dxa"/>
            <w:tcBorders>
              <w:top w:val="nil"/>
              <w:left w:val="nil"/>
              <w:bottom w:val="single" w:sz="4" w:space="0" w:color="auto"/>
              <w:right w:val="single" w:sz="4" w:space="0" w:color="auto"/>
            </w:tcBorders>
            <w:shd w:val="clear" w:color="auto" w:fill="auto"/>
            <w:noWrap/>
            <w:vAlign w:val="bottom"/>
            <w:hideMark/>
          </w:tcPr>
          <w:p w14:paraId="635A0BD9"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-2.2%</w:t>
            </w:r>
          </w:p>
        </w:tc>
        <w:tc>
          <w:tcPr>
            <w:tcW w:w="861" w:type="dxa"/>
            <w:tcBorders>
              <w:top w:val="nil"/>
              <w:left w:val="nil"/>
              <w:bottom w:val="single" w:sz="4" w:space="0" w:color="auto"/>
              <w:right w:val="nil"/>
            </w:tcBorders>
            <w:shd w:val="clear" w:color="auto" w:fill="auto"/>
            <w:noWrap/>
            <w:vAlign w:val="bottom"/>
            <w:hideMark/>
          </w:tcPr>
          <w:p w14:paraId="108564B8"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-1.7%</w:t>
            </w:r>
          </w:p>
        </w:tc>
        <w:tc>
          <w:tcPr>
            <w:tcW w:w="874" w:type="dxa"/>
            <w:tcBorders>
              <w:top w:val="nil"/>
              <w:left w:val="nil"/>
              <w:bottom w:val="single" w:sz="4" w:space="0" w:color="auto"/>
              <w:right w:val="nil"/>
            </w:tcBorders>
            <w:shd w:val="clear" w:color="auto" w:fill="auto"/>
            <w:noWrap/>
            <w:vAlign w:val="bottom"/>
            <w:hideMark/>
          </w:tcPr>
          <w:p w14:paraId="687594FF"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0.1%</w:t>
            </w:r>
          </w:p>
        </w:tc>
        <w:tc>
          <w:tcPr>
            <w:tcW w:w="861" w:type="dxa"/>
            <w:tcBorders>
              <w:top w:val="nil"/>
              <w:left w:val="nil"/>
              <w:bottom w:val="single" w:sz="4" w:space="0" w:color="auto"/>
              <w:right w:val="single" w:sz="4" w:space="0" w:color="auto"/>
            </w:tcBorders>
            <w:shd w:val="clear" w:color="auto" w:fill="auto"/>
            <w:noWrap/>
            <w:vAlign w:val="bottom"/>
            <w:hideMark/>
          </w:tcPr>
          <w:p w14:paraId="01E1F6A6" w14:textId="77777777" w:rsidR="00EC51DF" w:rsidRPr="00804C30" w:rsidRDefault="00EC51DF" w:rsidP="005843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04C30">
              <w:rPr>
                <w:rFonts w:ascii="Arial" w:hAnsi="Arial" w:cs="Arial"/>
                <w:color w:val="000000"/>
                <w:sz w:val="18"/>
                <w:szCs w:val="18"/>
              </w:rPr>
              <w:t>-0.1%</w:t>
            </w:r>
          </w:p>
        </w:tc>
      </w:tr>
    </w:tbl>
    <w:p w14:paraId="607510CE" w14:textId="77777777" w:rsidR="00EC51DF" w:rsidRPr="00804C30" w:rsidRDefault="00EC51DF" w:rsidP="00EC51DF">
      <w:pPr>
        <w:rPr>
          <w:i/>
          <w:lang w:val="en-CA"/>
        </w:rPr>
      </w:pPr>
      <w:r w:rsidRPr="002D2B40">
        <w:rPr>
          <w:i/>
          <w:lang w:val="en-CA"/>
        </w:rPr>
        <w:t xml:space="preserve"> </w:t>
      </w:r>
      <w:r w:rsidRPr="00804C30">
        <w:rPr>
          <w:i/>
          <w:lang w:val="en-CA"/>
        </w:rPr>
        <w:t>Note: CE12-6.1</w:t>
      </w:r>
      <w:r>
        <w:rPr>
          <w:i/>
          <w:lang w:val="en-CA"/>
        </w:rPr>
        <w:t xml:space="preserve"> and</w:t>
      </w:r>
      <w:r w:rsidRPr="00804C30">
        <w:rPr>
          <w:i/>
          <w:lang w:val="en-CA"/>
        </w:rPr>
        <w:t xml:space="preserve"> </w:t>
      </w:r>
      <w:r>
        <w:rPr>
          <w:i/>
          <w:lang w:val="en-CA"/>
        </w:rPr>
        <w:t>CE12-</w:t>
      </w:r>
      <w:r w:rsidRPr="00804C30">
        <w:rPr>
          <w:i/>
          <w:lang w:val="en-CA"/>
        </w:rPr>
        <w:t>7.3 are identical</w:t>
      </w:r>
      <w:r>
        <w:rPr>
          <w:i/>
          <w:lang w:val="en-CA"/>
        </w:rPr>
        <w:t xml:space="preserve"> in RA configuration</w:t>
      </w:r>
      <w:r w:rsidRPr="00804C30">
        <w:rPr>
          <w:i/>
          <w:lang w:val="en-CA"/>
        </w:rPr>
        <w:t>.</w:t>
      </w:r>
    </w:p>
    <w:p w14:paraId="3680DD1D" w14:textId="7A679E13" w:rsidR="00EC51DF" w:rsidRDefault="00EC51DF" w:rsidP="00341AD0"/>
    <w:p w14:paraId="1701405B" w14:textId="77777777" w:rsidR="002316BF" w:rsidRPr="002316BF" w:rsidRDefault="002316BF" w:rsidP="003411F4">
      <w:pPr>
        <w:rPr>
          <w:b/>
          <w:lang w:val="en-CA"/>
        </w:rPr>
      </w:pPr>
      <w:r w:rsidRPr="002316BF">
        <w:rPr>
          <w:b/>
          <w:lang w:val="en-CA"/>
        </w:rPr>
        <w:t>Discussion</w:t>
      </w:r>
    </w:p>
    <w:p w14:paraId="12D2CA01" w14:textId="7FB431FE" w:rsidR="002316BF" w:rsidRDefault="002316BF" w:rsidP="003411F4">
      <w:pPr>
        <w:rPr>
          <w:lang w:val="en-CA"/>
        </w:rPr>
      </w:pPr>
      <w:r>
        <w:rPr>
          <w:lang w:val="en-CA"/>
        </w:rPr>
        <w:t>Benefits from mapping w</w:t>
      </w:r>
      <w:r w:rsidR="00653F27">
        <w:rPr>
          <w:lang w:val="en-CA"/>
        </w:rPr>
        <w:t>ere</w:t>
      </w:r>
      <w:r>
        <w:rPr>
          <w:lang w:val="en-CA"/>
        </w:rPr>
        <w:t xml:space="preserve"> observed in both </w:t>
      </w:r>
      <w:r w:rsidR="00653F27">
        <w:rPr>
          <w:lang w:val="en-CA"/>
        </w:rPr>
        <w:t xml:space="preserve">out-of-loop and in-loop </w:t>
      </w:r>
      <w:r>
        <w:rPr>
          <w:lang w:val="en-CA"/>
        </w:rPr>
        <w:t xml:space="preserve">approaches. </w:t>
      </w:r>
    </w:p>
    <w:p w14:paraId="0880F474" w14:textId="6E37C420" w:rsidR="00675D24" w:rsidRDefault="00675D24" w:rsidP="00675D24">
      <w:pPr>
        <w:rPr>
          <w:lang w:val="en-CA"/>
        </w:rPr>
      </w:pPr>
      <w:r w:rsidRPr="003411F4">
        <w:rPr>
          <w:lang w:val="en-CA"/>
        </w:rPr>
        <w:t>Recommendations</w:t>
      </w:r>
      <w:r>
        <w:rPr>
          <w:lang w:val="en-CA"/>
        </w:rPr>
        <w:t xml:space="preserve"> from proponents of CE12 was to</w:t>
      </w:r>
      <w:r w:rsidRPr="003411F4">
        <w:rPr>
          <w:lang w:val="en-CA"/>
        </w:rPr>
        <w:t xml:space="preserve"> adopt </w:t>
      </w:r>
      <w:r>
        <w:rPr>
          <w:lang w:val="en-CA"/>
        </w:rPr>
        <w:t>a</w:t>
      </w:r>
      <w:r w:rsidRPr="003411F4">
        <w:rPr>
          <w:lang w:val="en-CA"/>
        </w:rPr>
        <w:t xml:space="preserve"> mapping solution</w:t>
      </w:r>
      <w:r>
        <w:rPr>
          <w:lang w:val="en-CA"/>
        </w:rPr>
        <w:t>.</w:t>
      </w:r>
    </w:p>
    <w:p w14:paraId="4AF9B42A" w14:textId="58974B7F" w:rsidR="00CB50C8" w:rsidRDefault="00CB50C8" w:rsidP="002316BF">
      <w:pPr>
        <w:rPr>
          <w:lang w:val="en-CA"/>
        </w:rPr>
      </w:pPr>
      <w:r>
        <w:rPr>
          <w:lang w:val="en-CA"/>
        </w:rPr>
        <w:t xml:space="preserve">It was observed that different luma/chroma allocation was used in the reported tests for these two approaches. </w:t>
      </w:r>
    </w:p>
    <w:p w14:paraId="73C497DF" w14:textId="7DC001A7" w:rsidR="002316BF" w:rsidRDefault="00675D24" w:rsidP="002316BF">
      <w:pPr>
        <w:rPr>
          <w:szCs w:val="22"/>
          <w:lang w:val="en-CA"/>
        </w:rPr>
      </w:pPr>
      <w:r>
        <w:rPr>
          <w:lang w:val="en-CA"/>
        </w:rPr>
        <w:t>It was</w:t>
      </w:r>
      <w:r w:rsidR="003411F4">
        <w:rPr>
          <w:lang w:val="en-CA"/>
        </w:rPr>
        <w:t xml:space="preserve"> </w:t>
      </w:r>
      <w:r w:rsidR="00CB50C8">
        <w:rPr>
          <w:lang w:val="en-CA"/>
        </w:rPr>
        <w:t xml:space="preserve">also </w:t>
      </w:r>
      <w:r w:rsidR="003411F4">
        <w:rPr>
          <w:lang w:val="en-CA"/>
        </w:rPr>
        <w:t>commented that</w:t>
      </w:r>
      <w:r w:rsidR="002316BF">
        <w:rPr>
          <w:lang w:val="en-CA"/>
        </w:rPr>
        <w:t xml:space="preserve">, as said in </w:t>
      </w:r>
      <w:r w:rsidR="003411F4">
        <w:rPr>
          <w:lang w:val="en-CA"/>
        </w:rPr>
        <w:t>CE</w:t>
      </w:r>
      <w:r w:rsidR="002316BF">
        <w:rPr>
          <w:lang w:val="en-CA"/>
        </w:rPr>
        <w:t xml:space="preserve"> report</w:t>
      </w:r>
      <w:r w:rsidR="003411F4">
        <w:rPr>
          <w:lang w:val="en-CA"/>
        </w:rPr>
        <w:t xml:space="preserve"> recommend</w:t>
      </w:r>
      <w:r w:rsidR="002316BF">
        <w:rPr>
          <w:lang w:val="en-CA"/>
        </w:rPr>
        <w:t>ation</w:t>
      </w:r>
      <w:r w:rsidR="00175EDA">
        <w:rPr>
          <w:lang w:val="en-CA"/>
        </w:rPr>
        <w:t>s</w:t>
      </w:r>
      <w:r w:rsidR="002316BF">
        <w:rPr>
          <w:lang w:val="en-CA"/>
        </w:rPr>
        <w:t>, it is needed to</w:t>
      </w:r>
      <w:r w:rsidR="003411F4">
        <w:rPr>
          <w:lang w:val="en-CA"/>
        </w:rPr>
        <w:t xml:space="preserve"> </w:t>
      </w:r>
      <w:r w:rsidR="003411F4">
        <w:rPr>
          <w:szCs w:val="22"/>
          <w:lang w:val="en-CA"/>
        </w:rPr>
        <w:t>further investigate in-loop or out-of-loop mapping</w:t>
      </w:r>
      <w:r w:rsidR="002316BF">
        <w:rPr>
          <w:szCs w:val="22"/>
          <w:lang w:val="en-CA"/>
        </w:rPr>
        <w:t xml:space="preserve"> before adoption. </w:t>
      </w:r>
    </w:p>
    <w:p w14:paraId="5BCA7405" w14:textId="18F003BC" w:rsidR="00A56CE5" w:rsidRPr="00175EDA" w:rsidRDefault="00A56CE5" w:rsidP="002316BF">
      <w:pPr>
        <w:rPr>
          <w:szCs w:val="22"/>
          <w:highlight w:val="yellow"/>
          <w:lang w:val="en-CA"/>
        </w:rPr>
      </w:pPr>
      <w:r w:rsidRPr="00175EDA">
        <w:rPr>
          <w:szCs w:val="22"/>
          <w:highlight w:val="yellow"/>
          <w:lang w:val="en-CA"/>
        </w:rPr>
        <w:t xml:space="preserve">The </w:t>
      </w:r>
      <w:proofErr w:type="spellStart"/>
      <w:r w:rsidRPr="00175EDA">
        <w:rPr>
          <w:szCs w:val="22"/>
          <w:highlight w:val="yellow"/>
          <w:lang w:val="en-CA"/>
        </w:rPr>
        <w:t>BoG</w:t>
      </w:r>
      <w:proofErr w:type="spellEnd"/>
      <w:r w:rsidRPr="00175EDA">
        <w:rPr>
          <w:szCs w:val="22"/>
          <w:highlight w:val="yellow"/>
          <w:lang w:val="en-CA"/>
        </w:rPr>
        <w:t xml:space="preserve"> recommends to reconduct the CE on HDR map</w:t>
      </w:r>
      <w:r w:rsidR="00D705AB" w:rsidRPr="00175EDA">
        <w:rPr>
          <w:szCs w:val="22"/>
          <w:highlight w:val="yellow"/>
          <w:lang w:val="en-CA"/>
        </w:rPr>
        <w:t>p</w:t>
      </w:r>
      <w:r w:rsidRPr="00175EDA">
        <w:rPr>
          <w:szCs w:val="22"/>
          <w:highlight w:val="yellow"/>
          <w:lang w:val="en-CA"/>
        </w:rPr>
        <w:t>ing</w:t>
      </w:r>
      <w:r w:rsidR="00175EDA" w:rsidRPr="00175EDA">
        <w:rPr>
          <w:szCs w:val="22"/>
          <w:highlight w:val="yellow"/>
          <w:lang w:val="en-CA"/>
        </w:rPr>
        <w:t>, with the following topics to consider:</w:t>
      </w:r>
    </w:p>
    <w:p w14:paraId="08E66369" w14:textId="0FFD2221" w:rsidR="002316BF" w:rsidRPr="00175EDA" w:rsidRDefault="002316BF" w:rsidP="002316BF">
      <w:pPr>
        <w:numPr>
          <w:ilvl w:val="0"/>
          <w:numId w:val="18"/>
        </w:numPr>
        <w:rPr>
          <w:szCs w:val="22"/>
          <w:highlight w:val="yellow"/>
          <w:lang w:val="en-CA"/>
        </w:rPr>
      </w:pPr>
      <w:r w:rsidRPr="00175EDA">
        <w:rPr>
          <w:szCs w:val="22"/>
          <w:highlight w:val="yellow"/>
          <w:lang w:val="en-CA"/>
        </w:rPr>
        <w:t>Investig</w:t>
      </w:r>
      <w:r w:rsidR="00653F27" w:rsidRPr="00175EDA">
        <w:rPr>
          <w:szCs w:val="22"/>
          <w:highlight w:val="yellow"/>
          <w:lang w:val="en-CA"/>
        </w:rPr>
        <w:t>ate</w:t>
      </w:r>
      <w:r w:rsidRPr="00175EDA">
        <w:rPr>
          <w:szCs w:val="22"/>
          <w:highlight w:val="yellow"/>
          <w:lang w:val="en-CA"/>
        </w:rPr>
        <w:t xml:space="preserve"> </w:t>
      </w:r>
      <w:r w:rsidR="003411F4" w:rsidRPr="00175EDA">
        <w:rPr>
          <w:szCs w:val="22"/>
          <w:highlight w:val="yellow"/>
          <w:lang w:val="en-CA"/>
        </w:rPr>
        <w:t>luma/chroma rate allocation and balance</w:t>
      </w:r>
    </w:p>
    <w:p w14:paraId="7AFC236B" w14:textId="5BDF7569" w:rsidR="002316BF" w:rsidRPr="00175EDA" w:rsidRDefault="00175EDA" w:rsidP="002316BF">
      <w:pPr>
        <w:numPr>
          <w:ilvl w:val="0"/>
          <w:numId w:val="18"/>
        </w:numPr>
        <w:rPr>
          <w:szCs w:val="22"/>
          <w:highlight w:val="yellow"/>
          <w:lang w:val="en-CA"/>
        </w:rPr>
      </w:pPr>
      <w:r>
        <w:rPr>
          <w:szCs w:val="22"/>
          <w:highlight w:val="yellow"/>
          <w:lang w:val="en-CA"/>
        </w:rPr>
        <w:t>F</w:t>
      </w:r>
      <w:r w:rsidR="002316BF" w:rsidRPr="00175EDA">
        <w:rPr>
          <w:szCs w:val="22"/>
          <w:highlight w:val="yellow"/>
          <w:lang w:val="en-CA"/>
        </w:rPr>
        <w:t xml:space="preserve">urther investigate </w:t>
      </w:r>
      <w:r w:rsidR="00653F27" w:rsidRPr="00175EDA">
        <w:rPr>
          <w:szCs w:val="22"/>
          <w:highlight w:val="yellow"/>
          <w:lang w:val="en-CA"/>
        </w:rPr>
        <w:t xml:space="preserve">and </w:t>
      </w:r>
      <w:r w:rsidR="002316BF" w:rsidRPr="00175EDA">
        <w:rPr>
          <w:szCs w:val="22"/>
          <w:highlight w:val="yellow"/>
          <w:lang w:val="en-CA"/>
        </w:rPr>
        <w:t>differentiate pros and cons of out-of-loop and in-loop mapping</w:t>
      </w:r>
    </w:p>
    <w:p w14:paraId="119AC46F" w14:textId="77777777" w:rsidR="003411F4" w:rsidRDefault="003411F4" w:rsidP="00341AD0"/>
    <w:p w14:paraId="6DA30A12" w14:textId="22C63739" w:rsidR="00DF0078" w:rsidRDefault="00DF0078" w:rsidP="005369F3">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szCs w:val="22"/>
          <w:lang w:val="en-CA"/>
        </w:rPr>
      </w:pPr>
      <w:r>
        <w:rPr>
          <w:szCs w:val="22"/>
          <w:lang w:val="en-CA"/>
        </w:rPr>
        <w:t>CE contributions</w:t>
      </w:r>
    </w:p>
    <w:p w14:paraId="11C35B59" w14:textId="21EC878B" w:rsidR="00DF0078" w:rsidRPr="00D30765" w:rsidRDefault="0003405E" w:rsidP="00DF0078">
      <w:pPr>
        <w:pStyle w:val="Heading9"/>
      </w:pPr>
      <w:hyperlink r:id="rId12" w:history="1">
        <w:r w:rsidR="00DF0078">
          <w:rPr>
            <w:rStyle w:val="Hyperlink"/>
          </w:rPr>
          <w:t>JVET-K0298</w:t>
        </w:r>
      </w:hyperlink>
      <w:r w:rsidR="00DF0078" w:rsidRPr="003B166B">
        <w:rPr>
          <w:szCs w:val="24"/>
          <w:lang w:val="en-CA" w:eastAsia="de-DE"/>
        </w:rPr>
        <w:t xml:space="preserve"> </w:t>
      </w:r>
      <w:r w:rsidR="00DF0078">
        <w:t>CE12: report of dynamic range adaptation (DRA) and DRA refinement</w:t>
      </w:r>
      <w:r w:rsidR="00DF0078" w:rsidRPr="00D30765">
        <w:t xml:space="preserve"> [</w:t>
      </w:r>
      <w:hyperlink r:id="rId13" w:history="1">
        <w:r w:rsidR="00DF0078" w:rsidRPr="00D30765">
          <w:t>E. Francois (Technicolor)</w:t>
        </w:r>
      </w:hyperlink>
      <w:r w:rsidR="00DF0078">
        <w:t xml:space="preserve">, </w:t>
      </w:r>
      <w:hyperlink r:id="rId14" w:history="1">
        <w:r w:rsidR="00DF0078" w:rsidRPr="00D30765">
          <w:t>D. Rusanovskyy (Qualcomm)</w:t>
        </w:r>
      </w:hyperlink>
      <w:r w:rsidR="00DF0078" w:rsidRPr="00D30765">
        <w:t>]</w:t>
      </w:r>
    </w:p>
    <w:p w14:paraId="6055FA6A" w14:textId="77777777" w:rsidR="00477446" w:rsidRPr="007E46D1" w:rsidRDefault="00477446" w:rsidP="00477446">
      <w:pPr>
        <w:rPr>
          <w:szCs w:val="24"/>
          <w:lang w:eastAsia="de-DE"/>
        </w:rPr>
      </w:pPr>
      <w:r w:rsidRPr="007E46D1">
        <w:rPr>
          <w:szCs w:val="24"/>
          <w:lang w:eastAsia="de-DE"/>
        </w:rPr>
        <w:t xml:space="preserve">Discussed as part of the CE review. </w:t>
      </w:r>
    </w:p>
    <w:p w14:paraId="24867E76" w14:textId="77777777" w:rsidR="00B3794A" w:rsidRDefault="00B3794A" w:rsidP="00DF0078">
      <w:pPr>
        <w:rPr>
          <w:lang w:val="en-CA"/>
        </w:rPr>
      </w:pPr>
    </w:p>
    <w:p w14:paraId="2F52C9BD" w14:textId="574D9787" w:rsidR="00DF0078" w:rsidRPr="00D30765" w:rsidRDefault="0003405E" w:rsidP="00DF0078">
      <w:pPr>
        <w:pStyle w:val="Heading9"/>
      </w:pPr>
      <w:hyperlink r:id="rId15" w:history="1">
        <w:r w:rsidR="00DF0078">
          <w:rPr>
            <w:rStyle w:val="Hyperlink"/>
          </w:rPr>
          <w:t>JVET-K0308</w:t>
        </w:r>
      </w:hyperlink>
      <w:r w:rsidR="00DF0078" w:rsidRPr="003B166B">
        <w:rPr>
          <w:szCs w:val="24"/>
          <w:lang w:val="en-CA" w:eastAsia="de-DE"/>
        </w:rPr>
        <w:t xml:space="preserve"> </w:t>
      </w:r>
      <w:r w:rsidR="00DF0078">
        <w:t xml:space="preserve">CE12: HDR In-loop Reshaping (CE12-5, 12-6, 12-7 and 12-8) </w:t>
      </w:r>
      <w:r w:rsidR="00DF0078" w:rsidRPr="00D30765">
        <w:t>[</w:t>
      </w:r>
      <w:hyperlink r:id="rId16" w:history="1">
        <w:r w:rsidR="00DF0078" w:rsidRPr="00D30765">
          <w:t>. Lu</w:t>
        </w:r>
      </w:hyperlink>
      <w:r w:rsidR="00DF0078">
        <w:t xml:space="preserve">, F. Pu, </w:t>
      </w:r>
      <w:hyperlink r:id="rId17" w:history="1">
        <w:r w:rsidR="00DF0078" w:rsidRPr="00D30765">
          <w:t>P. Yin</w:t>
        </w:r>
      </w:hyperlink>
      <w:r w:rsidR="00DF0078">
        <w:t>, W. Husak, S. McCarthy, T. Chen</w:t>
      </w:r>
      <w:r w:rsidR="00D30765">
        <w:t xml:space="preserve"> </w:t>
      </w:r>
      <w:r w:rsidR="00DF0078">
        <w:t>(Dolby)</w:t>
      </w:r>
      <w:r w:rsidR="00DF0078" w:rsidRPr="00D30765">
        <w:t>]</w:t>
      </w:r>
    </w:p>
    <w:p w14:paraId="5D749FBB" w14:textId="77777777" w:rsidR="00477446" w:rsidRPr="007E46D1" w:rsidRDefault="00477446" w:rsidP="00477446">
      <w:pPr>
        <w:rPr>
          <w:szCs w:val="24"/>
          <w:lang w:eastAsia="de-DE"/>
        </w:rPr>
      </w:pPr>
      <w:r w:rsidRPr="007E46D1">
        <w:rPr>
          <w:szCs w:val="24"/>
          <w:lang w:eastAsia="de-DE"/>
        </w:rPr>
        <w:t xml:space="preserve">Discussed as part of the CE review. </w:t>
      </w:r>
    </w:p>
    <w:p w14:paraId="2175628F" w14:textId="0203446F" w:rsidR="00DF0078" w:rsidRDefault="00DF0078" w:rsidP="00DF0078">
      <w:pPr>
        <w:rPr>
          <w:lang w:val="en-CA"/>
        </w:rPr>
      </w:pPr>
    </w:p>
    <w:p w14:paraId="0AF07B3C" w14:textId="7E5516A7" w:rsidR="00D30765" w:rsidRPr="00D30765" w:rsidRDefault="0003405E" w:rsidP="00D30765">
      <w:pPr>
        <w:pStyle w:val="Heading9"/>
      </w:pPr>
      <w:hyperlink r:id="rId18" w:history="1">
        <w:r w:rsidR="00D30765" w:rsidRPr="00D30765">
          <w:rPr>
            <w:rStyle w:val="Hyperlink"/>
          </w:rPr>
          <w:t>JVET-K0392</w:t>
        </w:r>
      </w:hyperlink>
      <w:r w:rsidR="00D30765" w:rsidRPr="003B166B">
        <w:rPr>
          <w:szCs w:val="24"/>
          <w:lang w:val="en-CA" w:eastAsia="de-DE"/>
        </w:rPr>
        <w:t xml:space="preserve"> </w:t>
      </w:r>
      <w:r w:rsidR="00D30765" w:rsidRPr="00D30765">
        <w:t>Cross-check for CE12.6.1 and CE12.6.2</w:t>
      </w:r>
      <w:r w:rsidR="00D30765">
        <w:t xml:space="preserve"> </w:t>
      </w:r>
      <w:r w:rsidR="00D30765" w:rsidRPr="00D30765">
        <w:t>[</w:t>
      </w:r>
      <w:hyperlink r:id="rId19" w:history="1">
        <w:r w:rsidR="00D30765" w:rsidRPr="00D30765">
          <w:t>J. Zhao, K. Misra (Sharp)</w:t>
        </w:r>
      </w:hyperlink>
      <w:r w:rsidR="00D30765" w:rsidRPr="00D30765">
        <w:t>]</w:t>
      </w:r>
    </w:p>
    <w:p w14:paraId="46B461FF" w14:textId="77777777" w:rsidR="00D30765" w:rsidRPr="007E46D1" w:rsidRDefault="00D30765" w:rsidP="00D30765">
      <w:pPr>
        <w:rPr>
          <w:szCs w:val="24"/>
          <w:lang w:eastAsia="de-DE"/>
        </w:rPr>
      </w:pPr>
      <w:r w:rsidRPr="007E46D1">
        <w:rPr>
          <w:szCs w:val="24"/>
          <w:lang w:eastAsia="de-DE"/>
        </w:rPr>
        <w:t xml:space="preserve">Discussed as part of the CE review. </w:t>
      </w:r>
    </w:p>
    <w:p w14:paraId="2D096BC5" w14:textId="275545CE" w:rsidR="00D30765" w:rsidRDefault="00D30765" w:rsidP="00D30765">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szCs w:val="22"/>
          <w:lang w:val="en-CA"/>
        </w:rPr>
      </w:pPr>
      <w:r>
        <w:rPr>
          <w:szCs w:val="22"/>
          <w:lang w:val="en-CA"/>
        </w:rPr>
        <w:t>CE-related contributions</w:t>
      </w:r>
    </w:p>
    <w:p w14:paraId="1E0BF86D" w14:textId="2692582E" w:rsidR="00D30765" w:rsidRPr="00D30765" w:rsidRDefault="00D30765" w:rsidP="00D30765">
      <w:pPr>
        <w:pStyle w:val="Heading9"/>
      </w:pPr>
      <w:r w:rsidRPr="00D30765">
        <w:rPr>
          <w:rStyle w:val="Hyperlink"/>
        </w:rPr>
        <w:t>JVET-K0309</w:t>
      </w:r>
      <w:r w:rsidRPr="003B166B">
        <w:rPr>
          <w:szCs w:val="24"/>
          <w:lang w:val="en-CA" w:eastAsia="de-DE"/>
        </w:rPr>
        <w:t xml:space="preserve"> </w:t>
      </w:r>
      <w:r w:rsidRPr="00D30765">
        <w:t>In-loop Reshaping for SDR Video</w:t>
      </w:r>
      <w:r>
        <w:t xml:space="preserve"> </w:t>
      </w:r>
      <w:r w:rsidRPr="00D30765">
        <w:t>[F. Pu, T. Lu, P. Yin, W. Husak, S. McCarthy, T. Chen</w:t>
      </w:r>
      <w:r>
        <w:t xml:space="preserve"> </w:t>
      </w:r>
      <w:r w:rsidRPr="00D30765">
        <w:t>(Dolby)]</w:t>
      </w:r>
    </w:p>
    <w:p w14:paraId="00E654FA" w14:textId="2F8DC4E7" w:rsidR="00ED264E" w:rsidRDefault="00ED264E" w:rsidP="00ED264E">
      <w:pPr>
        <w:rPr>
          <w:szCs w:val="22"/>
          <w:lang w:val="en-CA"/>
        </w:rPr>
      </w:pPr>
      <w:bookmarkStart w:id="0" w:name="OLE_LINK200"/>
      <w:r>
        <w:rPr>
          <w:szCs w:val="22"/>
          <w:lang w:val="en-CA"/>
        </w:rPr>
        <w:t xml:space="preserve">In-loop reshaping is proposed for HDR video in JVET-J0015 and is further tested in JVET-K00xx for CE12: Mapping for HDR content. This contribution proposes to use the same in-loop reshaping coding tool for SDR video. </w:t>
      </w:r>
      <w:bookmarkStart w:id="1" w:name="OLE_LINK230"/>
      <w:bookmarkStart w:id="2" w:name="OLE_LINK347"/>
      <w:r>
        <w:rPr>
          <w:szCs w:val="22"/>
          <w:lang w:val="en-CA"/>
        </w:rPr>
        <w:t>Compared to VTM SDR Anchor, the contribution shows the following BD-rate for UHD and HD clips under CTC:</w:t>
      </w:r>
    </w:p>
    <w:p w14:paraId="1F56B39E" w14:textId="77777777" w:rsidR="00ED264E" w:rsidRDefault="00ED264E" w:rsidP="00ED264E">
      <w:pPr>
        <w:pStyle w:val="ListParagraph"/>
        <w:numPr>
          <w:ilvl w:val="0"/>
          <w:numId w:val="19"/>
        </w:numPr>
        <w:rPr>
          <w:szCs w:val="22"/>
          <w:lang w:val="en-CA"/>
        </w:rPr>
      </w:pPr>
      <w:r>
        <w:rPr>
          <w:szCs w:val="22"/>
          <w:lang w:val="en-CA"/>
        </w:rPr>
        <w:t xml:space="preserve">AI </w:t>
      </w:r>
      <w:bookmarkStart w:id="3" w:name="OLE_LINK345"/>
      <w:r>
        <w:rPr>
          <w:szCs w:val="22"/>
          <w:lang w:val="en-CA"/>
        </w:rPr>
        <w:t>{</w:t>
      </w:r>
      <w:bookmarkStart w:id="4" w:name="OLE_LINK27"/>
      <w:r>
        <w:rPr>
          <w:szCs w:val="22"/>
          <w:lang w:val="en-CA"/>
        </w:rPr>
        <w:t xml:space="preserve">Y, U, V}: </w:t>
      </w:r>
    </w:p>
    <w:p w14:paraId="6F98282A" w14:textId="28B5DD7E" w:rsidR="00BE69C3" w:rsidRDefault="00ED264E" w:rsidP="00ED264E">
      <w:pPr>
        <w:pStyle w:val="ListParagraph"/>
        <w:rPr>
          <w:szCs w:val="22"/>
          <w:lang w:val="en-CA"/>
        </w:rPr>
      </w:pPr>
      <w:bookmarkStart w:id="5" w:name="OLE_LINK56"/>
      <w:r>
        <w:rPr>
          <w:szCs w:val="22"/>
          <w:lang w:val="en-CA"/>
        </w:rPr>
        <w:t xml:space="preserve">Class </w:t>
      </w:r>
      <w:bookmarkEnd w:id="5"/>
      <w:r>
        <w:rPr>
          <w:szCs w:val="22"/>
          <w:lang w:val="en-CA"/>
        </w:rPr>
        <w:t>A1:</w:t>
      </w:r>
      <w:r w:rsidR="00BE69C3">
        <w:rPr>
          <w:szCs w:val="22"/>
          <w:lang w:val="en-CA"/>
        </w:rPr>
        <w:tab/>
      </w:r>
      <w:r>
        <w:rPr>
          <w:szCs w:val="22"/>
          <w:lang w:val="en-CA"/>
        </w:rPr>
        <w:t xml:space="preserve">{-1.50%, 0.56%, 0.43%}; </w:t>
      </w:r>
    </w:p>
    <w:p w14:paraId="1B1C9DCA" w14:textId="63FEE644" w:rsidR="00BE69C3" w:rsidRDefault="00ED264E" w:rsidP="00ED264E">
      <w:pPr>
        <w:pStyle w:val="ListParagraph"/>
        <w:rPr>
          <w:szCs w:val="22"/>
          <w:lang w:val="en-CA"/>
        </w:rPr>
      </w:pPr>
      <w:r>
        <w:rPr>
          <w:szCs w:val="22"/>
          <w:lang w:val="en-CA"/>
        </w:rPr>
        <w:t>Class A2:</w:t>
      </w:r>
      <w:r w:rsidR="00BE69C3">
        <w:rPr>
          <w:szCs w:val="22"/>
          <w:lang w:val="en-CA"/>
        </w:rPr>
        <w:tab/>
      </w:r>
      <w:r>
        <w:rPr>
          <w:szCs w:val="22"/>
          <w:lang w:val="en-CA"/>
        </w:rPr>
        <w:t xml:space="preserve">{-1.37%, 3.14%, 3.43%}; </w:t>
      </w:r>
    </w:p>
    <w:p w14:paraId="5C358219" w14:textId="44D4A116" w:rsidR="00ED264E" w:rsidRDefault="00ED264E" w:rsidP="00ED264E">
      <w:pPr>
        <w:pStyle w:val="ListParagraph"/>
        <w:rPr>
          <w:szCs w:val="22"/>
          <w:lang w:val="en-CA"/>
        </w:rPr>
      </w:pPr>
      <w:r>
        <w:rPr>
          <w:szCs w:val="22"/>
          <w:lang w:val="en-CA"/>
        </w:rPr>
        <w:t>Class B:</w:t>
      </w:r>
      <w:r w:rsidR="00BE69C3">
        <w:rPr>
          <w:szCs w:val="22"/>
          <w:lang w:val="en-CA"/>
        </w:rPr>
        <w:tab/>
      </w:r>
      <w:r>
        <w:rPr>
          <w:szCs w:val="22"/>
          <w:lang w:val="en-CA"/>
        </w:rPr>
        <w:t>{-0.76%, 0.83%, 0.04%}</w:t>
      </w:r>
      <w:r>
        <w:rPr>
          <w:szCs w:val="22"/>
          <w:lang w:val="en-CA"/>
        </w:rPr>
        <w:tab/>
      </w:r>
    </w:p>
    <w:bookmarkEnd w:id="4"/>
    <w:p w14:paraId="0BCCEC4A" w14:textId="77777777" w:rsidR="00ED264E" w:rsidRDefault="00ED264E" w:rsidP="00ED264E">
      <w:pPr>
        <w:pStyle w:val="ListParagraph"/>
        <w:rPr>
          <w:szCs w:val="22"/>
          <w:lang w:val="en-CA"/>
        </w:rPr>
      </w:pPr>
      <w:r>
        <w:rPr>
          <w:szCs w:val="22"/>
          <w:lang w:val="en-CA"/>
        </w:rPr>
        <w:t>Enc time: 105%, Dec time: 104%</w:t>
      </w:r>
    </w:p>
    <w:bookmarkEnd w:id="3"/>
    <w:p w14:paraId="4F917D97" w14:textId="77777777" w:rsidR="00ED264E" w:rsidRDefault="00ED264E" w:rsidP="00ED264E">
      <w:pPr>
        <w:pStyle w:val="ListParagraph"/>
        <w:numPr>
          <w:ilvl w:val="0"/>
          <w:numId w:val="19"/>
        </w:numPr>
        <w:rPr>
          <w:szCs w:val="22"/>
          <w:lang w:val="en-CA"/>
        </w:rPr>
      </w:pPr>
      <w:r>
        <w:rPr>
          <w:szCs w:val="22"/>
          <w:lang w:val="en-CA"/>
        </w:rPr>
        <w:t xml:space="preserve">RA {Y, U, V}:  </w:t>
      </w:r>
    </w:p>
    <w:p w14:paraId="6702C634" w14:textId="2C348F6D" w:rsidR="00BE69C3" w:rsidRDefault="00ED264E" w:rsidP="00ED264E">
      <w:pPr>
        <w:pStyle w:val="ListParagraph"/>
        <w:rPr>
          <w:szCs w:val="22"/>
          <w:lang w:val="en-CA"/>
        </w:rPr>
      </w:pPr>
      <w:r>
        <w:rPr>
          <w:szCs w:val="22"/>
          <w:lang w:val="en-CA"/>
        </w:rPr>
        <w:t>Class A1:</w:t>
      </w:r>
      <w:r w:rsidR="00BE69C3">
        <w:rPr>
          <w:szCs w:val="22"/>
          <w:lang w:val="en-CA"/>
        </w:rPr>
        <w:tab/>
      </w:r>
      <w:r>
        <w:rPr>
          <w:szCs w:val="22"/>
          <w:lang w:val="en-CA"/>
        </w:rPr>
        <w:t xml:space="preserve">{-1.58%, 2.49%, 2.49%}; </w:t>
      </w:r>
    </w:p>
    <w:p w14:paraId="2D301582" w14:textId="2DC4AD65" w:rsidR="00BE69C3" w:rsidRDefault="00ED264E" w:rsidP="00ED264E">
      <w:pPr>
        <w:pStyle w:val="ListParagraph"/>
        <w:rPr>
          <w:szCs w:val="22"/>
          <w:lang w:val="en-CA"/>
        </w:rPr>
      </w:pPr>
      <w:r>
        <w:rPr>
          <w:szCs w:val="22"/>
          <w:lang w:val="en-CA"/>
        </w:rPr>
        <w:t>Class A2</w:t>
      </w:r>
      <w:r w:rsidR="00BE69C3">
        <w:rPr>
          <w:szCs w:val="22"/>
          <w:lang w:val="en-CA"/>
        </w:rPr>
        <w:t>:</w:t>
      </w:r>
      <w:r w:rsidR="00BE69C3">
        <w:rPr>
          <w:szCs w:val="22"/>
          <w:lang w:val="en-CA"/>
        </w:rPr>
        <w:tab/>
      </w:r>
      <w:r>
        <w:rPr>
          <w:szCs w:val="22"/>
          <w:lang w:val="en-CA"/>
        </w:rPr>
        <w:t xml:space="preserve">{-1.28%, 2.47%, 2.57%}; </w:t>
      </w:r>
    </w:p>
    <w:p w14:paraId="1B8BF83A" w14:textId="7C0D856D" w:rsidR="00ED264E" w:rsidRDefault="00ED264E" w:rsidP="00ED264E">
      <w:pPr>
        <w:pStyle w:val="ListParagraph"/>
        <w:rPr>
          <w:szCs w:val="22"/>
          <w:lang w:val="en-CA"/>
        </w:rPr>
      </w:pPr>
      <w:r>
        <w:rPr>
          <w:szCs w:val="22"/>
          <w:lang w:val="en-CA"/>
        </w:rPr>
        <w:t>Class B:</w:t>
      </w:r>
      <w:r w:rsidR="00BE69C3">
        <w:rPr>
          <w:szCs w:val="22"/>
          <w:lang w:val="en-CA"/>
        </w:rPr>
        <w:tab/>
      </w:r>
      <w:r>
        <w:rPr>
          <w:szCs w:val="22"/>
          <w:lang w:val="en-CA"/>
        </w:rPr>
        <w:t>{-1.09%, 0.89%, -0.27%}</w:t>
      </w:r>
    </w:p>
    <w:p w14:paraId="63BE91E6" w14:textId="77777777" w:rsidR="00ED264E" w:rsidRDefault="00ED264E" w:rsidP="00ED264E">
      <w:pPr>
        <w:pStyle w:val="ListParagraph"/>
        <w:rPr>
          <w:szCs w:val="22"/>
          <w:lang w:val="en-CA"/>
        </w:rPr>
      </w:pPr>
      <w:r>
        <w:rPr>
          <w:szCs w:val="22"/>
          <w:lang w:val="en-CA"/>
        </w:rPr>
        <w:t>Enc time: 110%, Dec time: 103%</w:t>
      </w:r>
      <w:bookmarkEnd w:id="0"/>
      <w:bookmarkEnd w:id="1"/>
      <w:bookmarkEnd w:id="2"/>
    </w:p>
    <w:p w14:paraId="0DFF41D5" w14:textId="77777777" w:rsidR="00615D0A" w:rsidRPr="00615D0A" w:rsidRDefault="00615D0A" w:rsidP="00DF0078">
      <w:pPr>
        <w:rPr>
          <w:b/>
          <w:lang w:val="en-CA"/>
        </w:rPr>
      </w:pPr>
      <w:r w:rsidRPr="00615D0A">
        <w:rPr>
          <w:b/>
          <w:lang w:val="en-CA"/>
        </w:rPr>
        <w:t>Discussion</w:t>
      </w:r>
    </w:p>
    <w:p w14:paraId="21E473A5" w14:textId="468BEC01" w:rsidR="00477446" w:rsidRDefault="00FB3CAC" w:rsidP="00DF0078">
      <w:pPr>
        <w:rPr>
          <w:lang w:val="en-CA"/>
        </w:rPr>
      </w:pPr>
      <w:r>
        <w:rPr>
          <w:lang w:val="en-CA"/>
        </w:rPr>
        <w:t>Reshaping function is computed for the first intra picture, based on the analysis of the pixel variance (computed within 5x5 window).</w:t>
      </w:r>
      <w:r w:rsidR="00180A42">
        <w:rPr>
          <w:lang w:val="en-CA"/>
        </w:rPr>
        <w:t xml:space="preserve"> </w:t>
      </w:r>
      <w:r w:rsidR="00CB50C8">
        <w:rPr>
          <w:lang w:val="en-CA"/>
        </w:rPr>
        <w:t>The proposed syntax allows t</w:t>
      </w:r>
      <w:r w:rsidR="00180A42">
        <w:rPr>
          <w:lang w:val="en-CA"/>
        </w:rPr>
        <w:t xml:space="preserve">he encoder </w:t>
      </w:r>
      <w:r w:rsidR="00CB50C8">
        <w:rPr>
          <w:lang w:val="en-CA"/>
        </w:rPr>
        <w:t>to</w:t>
      </w:r>
      <w:r w:rsidR="00180A42">
        <w:rPr>
          <w:lang w:val="en-CA"/>
        </w:rPr>
        <w:t xml:space="preserve"> select at CTU level the activation of the mapping.</w:t>
      </w:r>
      <w:r w:rsidR="00FC7DDA">
        <w:rPr>
          <w:lang w:val="en-CA"/>
        </w:rPr>
        <w:t xml:space="preserve"> </w:t>
      </w:r>
    </w:p>
    <w:p w14:paraId="10677EC5" w14:textId="677DC85A" w:rsidR="00615D0A" w:rsidRDefault="00615D0A" w:rsidP="00DF0078">
      <w:pPr>
        <w:rPr>
          <w:lang w:val="en-CA"/>
        </w:rPr>
      </w:pPr>
      <w:r>
        <w:rPr>
          <w:lang w:val="en-CA"/>
        </w:rPr>
        <w:t>It was commented that for HDR, mapping was so far only considered at slice level, while in this proposal the mapping is theoretically (considering the proposed syntax) applicable at CTU-level. But in actual reported tests, the mapping activation was done at the slice level.</w:t>
      </w:r>
      <w:r w:rsidR="00F06EE9">
        <w:rPr>
          <w:lang w:val="en-CA"/>
        </w:rPr>
        <w:t xml:space="preserve"> </w:t>
      </w:r>
      <w:r w:rsidR="00CB50C8">
        <w:rPr>
          <w:lang w:val="en-CA"/>
        </w:rPr>
        <w:t xml:space="preserve">More investigations for justifying the need of CTU-level adaptation seem to be needed. </w:t>
      </w:r>
    </w:p>
    <w:p w14:paraId="3416FFD7" w14:textId="26AAD9C7" w:rsidR="00615D0A" w:rsidRDefault="00615D0A" w:rsidP="00DF0078">
      <w:pPr>
        <w:rPr>
          <w:lang w:val="en-CA"/>
        </w:rPr>
      </w:pPr>
      <w:r>
        <w:rPr>
          <w:lang w:val="en-CA"/>
        </w:rPr>
        <w:t xml:space="preserve">It was </w:t>
      </w:r>
      <w:r w:rsidR="00675D24">
        <w:rPr>
          <w:lang w:val="en-CA"/>
        </w:rPr>
        <w:t>commented that</w:t>
      </w:r>
      <w:r>
        <w:rPr>
          <w:lang w:val="en-CA"/>
        </w:rPr>
        <w:t xml:space="preserve"> testing the approach </w:t>
      </w:r>
      <w:r w:rsidR="00CB50C8">
        <w:rPr>
          <w:lang w:val="en-CA"/>
        </w:rPr>
        <w:t xml:space="preserve">also </w:t>
      </w:r>
      <w:r>
        <w:rPr>
          <w:lang w:val="en-CA"/>
        </w:rPr>
        <w:t>for HLG content would be interesting.</w:t>
      </w:r>
      <w:r w:rsidR="00F06EE9">
        <w:rPr>
          <w:lang w:val="en-CA"/>
        </w:rPr>
        <w:t xml:space="preserve"> </w:t>
      </w:r>
      <w:r w:rsidR="00CB50C8">
        <w:rPr>
          <w:lang w:val="en-CA"/>
        </w:rPr>
        <w:t xml:space="preserve">In that case, the proponent suggests to only use </w:t>
      </w:r>
      <w:r w:rsidR="00CB50C8">
        <w:rPr>
          <w:lang w:val="en-CA"/>
        </w:rPr>
        <w:t xml:space="preserve">YUV-PSNR </w:t>
      </w:r>
      <w:r w:rsidR="00F06EE9">
        <w:rPr>
          <w:lang w:val="en-CA"/>
        </w:rPr>
        <w:t xml:space="preserve">for HLG, </w:t>
      </w:r>
      <w:r w:rsidR="00CB50C8">
        <w:rPr>
          <w:lang w:val="en-CA"/>
        </w:rPr>
        <w:t>and not consider the other HDR-related metrics</w:t>
      </w:r>
      <w:r w:rsidR="00F06EE9">
        <w:rPr>
          <w:lang w:val="en-CA"/>
        </w:rPr>
        <w:t>.</w:t>
      </w:r>
      <w:r>
        <w:rPr>
          <w:lang w:val="en-CA"/>
        </w:rPr>
        <w:t xml:space="preserve">  </w:t>
      </w:r>
    </w:p>
    <w:p w14:paraId="3B6ABAC4" w14:textId="22C2EAF1" w:rsidR="000F09D2" w:rsidRDefault="000F09D2" w:rsidP="00DF0078">
      <w:pPr>
        <w:rPr>
          <w:lang w:val="en-CA"/>
        </w:rPr>
      </w:pPr>
      <w:r>
        <w:rPr>
          <w:lang w:val="en-CA"/>
        </w:rPr>
        <w:t>The proponent suggests to also investigate mapping for SDR content in a CE.</w:t>
      </w:r>
    </w:p>
    <w:p w14:paraId="2ABBDC8B" w14:textId="6CB6EC8E" w:rsidR="00F06EE9" w:rsidRDefault="00F06EE9" w:rsidP="00DF0078">
      <w:pPr>
        <w:rPr>
          <w:lang w:val="en-CA"/>
        </w:rPr>
      </w:pPr>
      <w:r w:rsidRPr="00A24E66">
        <w:rPr>
          <w:highlight w:val="yellow"/>
          <w:lang w:val="en-CA"/>
        </w:rPr>
        <w:t xml:space="preserve">The </w:t>
      </w:r>
      <w:proofErr w:type="spellStart"/>
      <w:r w:rsidRPr="00A24E66">
        <w:rPr>
          <w:highlight w:val="yellow"/>
          <w:lang w:val="en-CA"/>
        </w:rPr>
        <w:t>BoG</w:t>
      </w:r>
      <w:proofErr w:type="spellEnd"/>
      <w:r w:rsidRPr="00A24E66">
        <w:rPr>
          <w:highlight w:val="yellow"/>
          <w:lang w:val="en-CA"/>
        </w:rPr>
        <w:t xml:space="preserve"> recommends creating a CE for investigating mapping for SDR content.</w:t>
      </w:r>
    </w:p>
    <w:p w14:paraId="2E14D859" w14:textId="77777777" w:rsidR="002F51D5" w:rsidRDefault="002F51D5" w:rsidP="00DF0078">
      <w:pPr>
        <w:rPr>
          <w:lang w:val="en-CA"/>
        </w:rPr>
      </w:pPr>
    </w:p>
    <w:p w14:paraId="7E718BF0" w14:textId="45AE3BC8" w:rsidR="00D30765" w:rsidRPr="00D30765" w:rsidRDefault="00D30765" w:rsidP="00D30765">
      <w:pPr>
        <w:pStyle w:val="Heading9"/>
      </w:pPr>
      <w:r w:rsidRPr="00D30765">
        <w:rPr>
          <w:rStyle w:val="Hyperlink"/>
        </w:rPr>
        <w:t>JVET-K0468</w:t>
      </w:r>
      <w:r w:rsidRPr="003B166B">
        <w:rPr>
          <w:szCs w:val="24"/>
          <w:lang w:val="en-CA" w:eastAsia="de-DE"/>
        </w:rPr>
        <w:t xml:space="preserve"> </w:t>
      </w:r>
      <w:r w:rsidRPr="00F926CA">
        <w:t>CE12-related: In-loop chroma refinement</w:t>
      </w:r>
      <w:r w:rsidRPr="00D30765">
        <w:t xml:space="preserve"> [E. François, C. Chevance, F. Hiron (Technicolor)]</w:t>
      </w:r>
    </w:p>
    <w:p w14:paraId="4D2EE7B4" w14:textId="77777777" w:rsidR="00175EDA" w:rsidRDefault="00175EDA" w:rsidP="00175EDA">
      <w:pPr>
        <w:rPr>
          <w:szCs w:val="22"/>
          <w:lang w:val="en-CA"/>
        </w:rPr>
      </w:pPr>
      <w:r>
        <w:rPr>
          <w:szCs w:val="22"/>
          <w:lang w:val="en-CA"/>
        </w:rPr>
        <w:t xml:space="preserve">Out-of-loop mapping function refinement was proposed for HDR video in </w:t>
      </w:r>
      <w:r>
        <w:rPr>
          <w:lang w:val="en-CA"/>
        </w:rPr>
        <w:t>JVET-J0022 and JVET-K0298</w:t>
      </w:r>
      <w:r>
        <w:rPr>
          <w:szCs w:val="22"/>
          <w:lang w:val="en-CA"/>
        </w:rPr>
        <w:t xml:space="preserve">. In this contribution, the technology is evaluated for chroma components when applied in-loop. The reported BD-rate variations in VTM1.0 for RA configuration are as follows. For HLG content, </w:t>
      </w:r>
      <w:r w:rsidRPr="00CE3932">
        <w:rPr>
          <w:szCs w:val="22"/>
          <w:lang w:val="en-CA"/>
        </w:rPr>
        <w:t>-4.26%</w:t>
      </w:r>
      <w:r>
        <w:rPr>
          <w:szCs w:val="22"/>
          <w:lang w:val="en-CA"/>
        </w:rPr>
        <w:t xml:space="preserve"> for DE100, </w:t>
      </w:r>
      <w:r w:rsidRPr="00CE3932">
        <w:rPr>
          <w:szCs w:val="22"/>
          <w:lang w:val="en-CA"/>
        </w:rPr>
        <w:t>0.06%</w:t>
      </w:r>
      <w:r>
        <w:rPr>
          <w:szCs w:val="22"/>
          <w:lang w:val="en-CA"/>
        </w:rPr>
        <w:t xml:space="preserve"> for PSNRL100, </w:t>
      </w:r>
      <w:r w:rsidRPr="00CE3932">
        <w:rPr>
          <w:szCs w:val="22"/>
          <w:lang w:val="en-CA"/>
        </w:rPr>
        <w:t>0.06%</w:t>
      </w:r>
      <w:r>
        <w:rPr>
          <w:szCs w:val="22"/>
          <w:lang w:val="en-CA"/>
        </w:rPr>
        <w:t xml:space="preserve">, </w:t>
      </w:r>
      <w:r w:rsidRPr="00CE3932">
        <w:rPr>
          <w:szCs w:val="22"/>
          <w:lang w:val="en-CA"/>
        </w:rPr>
        <w:t>-7.49%</w:t>
      </w:r>
      <w:r>
        <w:rPr>
          <w:szCs w:val="22"/>
          <w:lang w:val="en-CA"/>
        </w:rPr>
        <w:t xml:space="preserve"> and </w:t>
      </w:r>
      <w:r w:rsidRPr="00CE3932">
        <w:rPr>
          <w:szCs w:val="22"/>
          <w:lang w:val="en-CA"/>
        </w:rPr>
        <w:t>-9.90%</w:t>
      </w:r>
      <w:r>
        <w:rPr>
          <w:szCs w:val="22"/>
          <w:lang w:val="en-CA"/>
        </w:rPr>
        <w:t xml:space="preserve"> for </w:t>
      </w:r>
      <w:proofErr w:type="spellStart"/>
      <w:r>
        <w:rPr>
          <w:szCs w:val="22"/>
          <w:lang w:val="en-CA"/>
        </w:rPr>
        <w:t>wPSNR</w:t>
      </w:r>
      <w:proofErr w:type="spellEnd"/>
      <w:r>
        <w:rPr>
          <w:szCs w:val="22"/>
          <w:lang w:val="en-CA"/>
        </w:rPr>
        <w:t xml:space="preserve">-Y, U and V. For PQ content, </w:t>
      </w:r>
      <w:r w:rsidRPr="00CE3932">
        <w:rPr>
          <w:szCs w:val="22"/>
          <w:lang w:val="en-CA"/>
        </w:rPr>
        <w:t>-1.61%</w:t>
      </w:r>
      <w:r>
        <w:rPr>
          <w:szCs w:val="22"/>
          <w:lang w:val="en-CA"/>
        </w:rPr>
        <w:t xml:space="preserve"> for DE100, </w:t>
      </w:r>
      <w:r w:rsidRPr="00CE3932">
        <w:rPr>
          <w:szCs w:val="22"/>
          <w:lang w:val="en-CA"/>
        </w:rPr>
        <w:t>0.0</w:t>
      </w:r>
      <w:r>
        <w:rPr>
          <w:szCs w:val="22"/>
          <w:lang w:val="en-CA"/>
        </w:rPr>
        <w:t>5</w:t>
      </w:r>
      <w:r w:rsidRPr="00CE3932">
        <w:rPr>
          <w:szCs w:val="22"/>
          <w:lang w:val="en-CA"/>
        </w:rPr>
        <w:t>%</w:t>
      </w:r>
      <w:r>
        <w:rPr>
          <w:szCs w:val="22"/>
          <w:lang w:val="en-CA"/>
        </w:rPr>
        <w:t xml:space="preserve"> for PSNRL100, </w:t>
      </w:r>
      <w:r w:rsidRPr="00CE3932">
        <w:rPr>
          <w:szCs w:val="22"/>
          <w:lang w:val="en-CA"/>
        </w:rPr>
        <w:t>0.0</w:t>
      </w:r>
      <w:r>
        <w:rPr>
          <w:szCs w:val="22"/>
          <w:lang w:val="en-CA"/>
        </w:rPr>
        <w:t>5</w:t>
      </w:r>
      <w:r w:rsidRPr="00CE3932">
        <w:rPr>
          <w:szCs w:val="22"/>
          <w:lang w:val="en-CA"/>
        </w:rPr>
        <w:t>%</w:t>
      </w:r>
      <w:r>
        <w:rPr>
          <w:szCs w:val="22"/>
          <w:lang w:val="en-CA"/>
        </w:rPr>
        <w:t xml:space="preserve">, </w:t>
      </w:r>
      <w:r w:rsidRPr="00CE3932">
        <w:rPr>
          <w:szCs w:val="22"/>
          <w:lang w:val="en-CA"/>
        </w:rPr>
        <w:t>-6.94%</w:t>
      </w:r>
      <w:r>
        <w:rPr>
          <w:szCs w:val="22"/>
          <w:lang w:val="en-CA"/>
        </w:rPr>
        <w:t xml:space="preserve"> and </w:t>
      </w:r>
      <w:r w:rsidRPr="00CE3932">
        <w:rPr>
          <w:szCs w:val="22"/>
          <w:lang w:val="en-CA"/>
        </w:rPr>
        <w:t>-9.89%</w:t>
      </w:r>
      <w:r>
        <w:rPr>
          <w:szCs w:val="22"/>
          <w:lang w:val="en-CA"/>
        </w:rPr>
        <w:t xml:space="preserve"> for </w:t>
      </w:r>
      <w:proofErr w:type="spellStart"/>
      <w:r>
        <w:rPr>
          <w:szCs w:val="22"/>
          <w:lang w:val="en-CA"/>
        </w:rPr>
        <w:t>wPSNR</w:t>
      </w:r>
      <w:proofErr w:type="spellEnd"/>
      <w:r>
        <w:rPr>
          <w:szCs w:val="22"/>
          <w:lang w:val="en-CA"/>
        </w:rPr>
        <w:t>-Y, U and V. Encoder and decoder runtimes are both evaluated at 101% of the VTM1.0</w:t>
      </w:r>
      <w:r w:rsidRPr="001E3A27">
        <w:rPr>
          <w:szCs w:val="22"/>
          <w:lang w:val="en-CA"/>
        </w:rPr>
        <w:t xml:space="preserve"> </w:t>
      </w:r>
      <w:r>
        <w:rPr>
          <w:szCs w:val="22"/>
          <w:lang w:val="en-CA"/>
        </w:rPr>
        <w:t>runtimes.</w:t>
      </w:r>
    </w:p>
    <w:p w14:paraId="50EE0AD0" w14:textId="77777777" w:rsidR="007B166C" w:rsidRPr="002316BF" w:rsidRDefault="007B166C" w:rsidP="007B166C">
      <w:pPr>
        <w:rPr>
          <w:b/>
          <w:lang w:val="en-CA"/>
        </w:rPr>
      </w:pPr>
      <w:r w:rsidRPr="002316BF">
        <w:rPr>
          <w:b/>
          <w:lang w:val="en-CA"/>
        </w:rPr>
        <w:t>Discussion</w:t>
      </w:r>
    </w:p>
    <w:p w14:paraId="1D1EE489" w14:textId="321762F3" w:rsidR="007B166C" w:rsidRPr="007B166C" w:rsidRDefault="007B166C" w:rsidP="00A24E66">
      <w:pPr>
        <w:rPr>
          <w:lang w:val="en-CA"/>
        </w:rPr>
      </w:pPr>
      <w:r w:rsidRPr="007B166C">
        <w:rPr>
          <w:lang w:val="en-CA"/>
        </w:rPr>
        <w:t xml:space="preserve">It was suggested to also consider this technology in CE </w:t>
      </w:r>
      <w:r w:rsidR="00CB50C8">
        <w:rPr>
          <w:lang w:val="en-CA"/>
        </w:rPr>
        <w:t xml:space="preserve">for </w:t>
      </w:r>
      <w:r w:rsidRPr="007B166C">
        <w:rPr>
          <w:lang w:val="en-CA"/>
        </w:rPr>
        <w:t xml:space="preserve">HDR and SDR </w:t>
      </w:r>
      <w:r w:rsidR="00CB50C8">
        <w:rPr>
          <w:lang w:val="en-CA"/>
        </w:rPr>
        <w:t>content</w:t>
      </w:r>
      <w:r w:rsidRPr="007B166C">
        <w:rPr>
          <w:lang w:val="en-CA"/>
        </w:rPr>
        <w:t>.</w:t>
      </w:r>
    </w:p>
    <w:p w14:paraId="06184AD8" w14:textId="7C80BC8E" w:rsidR="00A24E66" w:rsidRDefault="00A24E66" w:rsidP="00A24E66">
      <w:pPr>
        <w:rPr>
          <w:lang w:val="en-CA"/>
        </w:rPr>
      </w:pPr>
      <w:r w:rsidRPr="00FD3A65">
        <w:rPr>
          <w:highlight w:val="yellow"/>
          <w:lang w:val="en-CA"/>
        </w:rPr>
        <w:t xml:space="preserve">The </w:t>
      </w:r>
      <w:proofErr w:type="spellStart"/>
      <w:r w:rsidRPr="00FD3A65">
        <w:rPr>
          <w:highlight w:val="yellow"/>
          <w:lang w:val="en-CA"/>
        </w:rPr>
        <w:t>BoG</w:t>
      </w:r>
      <w:proofErr w:type="spellEnd"/>
      <w:r w:rsidRPr="00FD3A65">
        <w:rPr>
          <w:highlight w:val="yellow"/>
          <w:lang w:val="en-CA"/>
        </w:rPr>
        <w:t xml:space="preserve"> recommends </w:t>
      </w:r>
      <w:r w:rsidR="00FD3A65" w:rsidRPr="00FD3A65">
        <w:rPr>
          <w:highlight w:val="yellow"/>
          <w:lang w:val="en-CA"/>
        </w:rPr>
        <w:t>investigating</w:t>
      </w:r>
      <w:r w:rsidRPr="00FD3A65">
        <w:rPr>
          <w:highlight w:val="yellow"/>
          <w:lang w:val="en-CA"/>
        </w:rPr>
        <w:t xml:space="preserve"> </w:t>
      </w:r>
      <w:r w:rsidR="00FD3A65" w:rsidRPr="00FD3A65">
        <w:rPr>
          <w:highlight w:val="yellow"/>
          <w:lang w:val="en-CA"/>
        </w:rPr>
        <w:t>the i</w:t>
      </w:r>
      <w:r w:rsidR="00FD3A65" w:rsidRPr="00FD3A65">
        <w:rPr>
          <w:highlight w:val="yellow"/>
        </w:rPr>
        <w:t xml:space="preserve">n-loop chroma refinement </w:t>
      </w:r>
      <w:r w:rsidR="00FD3A65">
        <w:rPr>
          <w:highlight w:val="yellow"/>
        </w:rPr>
        <w:t>(</w:t>
      </w:r>
      <w:r w:rsidR="00FD3A65" w:rsidRPr="00FD3A65">
        <w:rPr>
          <w:highlight w:val="yellow"/>
        </w:rPr>
        <w:t>JVET-K0468</w:t>
      </w:r>
      <w:r w:rsidR="00FD3A65">
        <w:rPr>
          <w:highlight w:val="yellow"/>
        </w:rPr>
        <w:t>)</w:t>
      </w:r>
      <w:r w:rsidRPr="00FD3A65">
        <w:rPr>
          <w:highlight w:val="yellow"/>
          <w:lang w:val="en-CA"/>
        </w:rPr>
        <w:t xml:space="preserve"> </w:t>
      </w:r>
      <w:r w:rsidR="00FD3A65">
        <w:rPr>
          <w:highlight w:val="yellow"/>
          <w:lang w:val="en-CA"/>
        </w:rPr>
        <w:t>in</w:t>
      </w:r>
      <w:r w:rsidR="00A57E29" w:rsidRPr="00FD3A65">
        <w:rPr>
          <w:highlight w:val="yellow"/>
          <w:lang w:val="en-CA"/>
        </w:rPr>
        <w:t xml:space="preserve"> CE </w:t>
      </w:r>
      <w:bookmarkStart w:id="6" w:name="_GoBack"/>
      <w:bookmarkEnd w:id="6"/>
      <w:r w:rsidR="00A57E29" w:rsidRPr="00FD3A65">
        <w:rPr>
          <w:highlight w:val="yellow"/>
          <w:lang w:val="en-CA"/>
        </w:rPr>
        <w:t xml:space="preserve">on HDR mapping, and </w:t>
      </w:r>
      <w:r w:rsidRPr="00FD3A65">
        <w:rPr>
          <w:highlight w:val="yellow"/>
          <w:lang w:val="en-CA"/>
        </w:rPr>
        <w:t>in the (potential) CE related to mapping for SDR content.</w:t>
      </w:r>
    </w:p>
    <w:p w14:paraId="78F4C996" w14:textId="61E67341" w:rsidR="00D30765" w:rsidRDefault="00D30765" w:rsidP="00DF0078">
      <w:pPr>
        <w:rPr>
          <w:lang w:val="en-CA"/>
        </w:rPr>
      </w:pPr>
    </w:p>
    <w:p w14:paraId="35F1324F" w14:textId="688C5F53" w:rsidR="00D30765" w:rsidRDefault="00D30765" w:rsidP="005843C5">
      <w:pPr>
        <w:pStyle w:val="Heading1"/>
        <w:rPr>
          <w:lang w:val="en-CA"/>
        </w:rPr>
      </w:pPr>
      <w:r>
        <w:rPr>
          <w:lang w:val="en-CA"/>
        </w:rPr>
        <w:t xml:space="preserve">HDR CTC – </w:t>
      </w:r>
      <w:r w:rsidRPr="00D30765">
        <w:rPr>
          <w:lang w:val="en-CA"/>
        </w:rPr>
        <w:t>HLG sequences length reduction</w:t>
      </w:r>
    </w:p>
    <w:p w14:paraId="6C31EFAE" w14:textId="651180EA" w:rsidR="00E624C7" w:rsidRPr="00E624C7" w:rsidRDefault="00E624C7" w:rsidP="00E624C7">
      <w:pPr>
        <w:rPr>
          <w:lang w:val="en-CA"/>
        </w:rPr>
      </w:pPr>
      <w:r>
        <w:rPr>
          <w:lang w:val="en-CA"/>
        </w:rPr>
        <w:t xml:space="preserve">After </w:t>
      </w:r>
      <w:proofErr w:type="spellStart"/>
      <w:r>
        <w:rPr>
          <w:lang w:val="en-CA"/>
        </w:rPr>
        <w:t>AhG</w:t>
      </w:r>
      <w:proofErr w:type="spellEnd"/>
      <w:r>
        <w:rPr>
          <w:lang w:val="en-CA"/>
        </w:rPr>
        <w:t xml:space="preserve"> discussions, </w:t>
      </w:r>
      <w:proofErr w:type="gramStart"/>
      <w:r>
        <w:rPr>
          <w:lang w:val="en-CA"/>
        </w:rPr>
        <w:t>The</w:t>
      </w:r>
      <w:proofErr w:type="gramEnd"/>
      <w:r>
        <w:rPr>
          <w:lang w:val="en-CA"/>
        </w:rPr>
        <w:t xml:space="preserve"> group had the mandate to study and evaluate available HDR test content, with one goal being the reduction of the number of frames used for testing in the HLG sequences.</w:t>
      </w:r>
    </w:p>
    <w:p w14:paraId="3090E31B" w14:textId="40DB1B95" w:rsidR="003048AE" w:rsidRDefault="00E624C7" w:rsidP="00DF0078">
      <w:pPr>
        <w:rPr>
          <w:lang w:val="en-CA"/>
        </w:rPr>
      </w:pPr>
      <w:r>
        <w:rPr>
          <w:lang w:val="en-CA"/>
        </w:rPr>
        <w:t xml:space="preserve">In </w:t>
      </w:r>
      <w:proofErr w:type="spellStart"/>
      <w:r>
        <w:rPr>
          <w:lang w:val="en-CA"/>
        </w:rPr>
        <w:t>AhG</w:t>
      </w:r>
      <w:proofErr w:type="spellEnd"/>
      <w:r>
        <w:rPr>
          <w:lang w:val="en-CA"/>
        </w:rPr>
        <w:t xml:space="preserve"> 7 discussions prior to the JVET meeting, the </w:t>
      </w:r>
      <w:proofErr w:type="spellStart"/>
      <w:r>
        <w:rPr>
          <w:lang w:val="en-CA"/>
        </w:rPr>
        <w:t>adhoc</w:t>
      </w:r>
      <w:proofErr w:type="spellEnd"/>
      <w:r>
        <w:rPr>
          <w:lang w:val="en-CA"/>
        </w:rPr>
        <w:t xml:space="preserve"> group had tentatively made the decision to reduce the length of HLG sequences to 300 frames.</w:t>
      </w:r>
      <w:r w:rsidR="003048AE">
        <w:rPr>
          <w:lang w:val="en-CA"/>
        </w:rPr>
        <w:t xml:space="preserve"> However, for the SDR case, the group tends to consider that 10s sequences are required for properly perform visual tests.</w:t>
      </w:r>
    </w:p>
    <w:p w14:paraId="190EB433" w14:textId="1BDB0FCD" w:rsidR="00477446" w:rsidRDefault="00310333" w:rsidP="00DF0078">
      <w:pPr>
        <w:rPr>
          <w:lang w:val="en-CA"/>
        </w:rPr>
      </w:pPr>
      <w:proofErr w:type="spellStart"/>
      <w:r w:rsidRPr="00345F71">
        <w:rPr>
          <w:highlight w:val="yellow"/>
          <w:lang w:val="en-CA"/>
        </w:rPr>
        <w:t>BoG</w:t>
      </w:r>
      <w:proofErr w:type="spellEnd"/>
      <w:r w:rsidRPr="00345F71">
        <w:rPr>
          <w:highlight w:val="yellow"/>
          <w:lang w:val="en-CA"/>
        </w:rPr>
        <w:t xml:space="preserve"> </w:t>
      </w:r>
      <w:r w:rsidR="003048AE" w:rsidRPr="00345F71">
        <w:rPr>
          <w:highlight w:val="yellow"/>
          <w:lang w:val="en-CA"/>
        </w:rPr>
        <w:t>suggest</w:t>
      </w:r>
      <w:r w:rsidRPr="00345F71">
        <w:rPr>
          <w:highlight w:val="yellow"/>
          <w:lang w:val="en-CA"/>
        </w:rPr>
        <w:t xml:space="preserve">s </w:t>
      </w:r>
      <w:r w:rsidR="00315883" w:rsidRPr="00345F71">
        <w:rPr>
          <w:highlight w:val="yellow"/>
          <w:lang w:val="en-CA"/>
        </w:rPr>
        <w:t>updating</w:t>
      </w:r>
      <w:r w:rsidR="00E624C7" w:rsidRPr="00345F71">
        <w:rPr>
          <w:highlight w:val="yellow"/>
          <w:lang w:val="en-CA"/>
        </w:rPr>
        <w:t xml:space="preserve"> the HDR CTC by </w:t>
      </w:r>
      <w:r w:rsidR="003048AE" w:rsidRPr="00345F71">
        <w:rPr>
          <w:highlight w:val="yellow"/>
          <w:lang w:val="en-CA"/>
        </w:rPr>
        <w:t>consider</w:t>
      </w:r>
      <w:r w:rsidR="00E624C7" w:rsidRPr="00345F71">
        <w:rPr>
          <w:highlight w:val="yellow"/>
          <w:lang w:val="en-CA"/>
        </w:rPr>
        <w:t>ing</w:t>
      </w:r>
      <w:r w:rsidR="003048AE" w:rsidRPr="00345F71">
        <w:rPr>
          <w:highlight w:val="yellow"/>
          <w:lang w:val="en-CA"/>
        </w:rPr>
        <w:t xml:space="preserve"> 2 cases:</w:t>
      </w:r>
    </w:p>
    <w:p w14:paraId="0F3046AA" w14:textId="030D5319" w:rsidR="003048AE" w:rsidRDefault="003048AE" w:rsidP="003048AE">
      <w:pPr>
        <w:numPr>
          <w:ilvl w:val="0"/>
          <w:numId w:val="20"/>
        </w:numPr>
        <w:rPr>
          <w:lang w:val="en-CA"/>
        </w:rPr>
      </w:pPr>
      <w:r>
        <w:rPr>
          <w:lang w:val="en-CA"/>
        </w:rPr>
        <w:t>For tests not requiring visual assessment</w:t>
      </w:r>
      <w:r w:rsidR="00E624C7">
        <w:rPr>
          <w:lang w:val="en-CA"/>
        </w:rPr>
        <w:t xml:space="preserve"> (fixed QP case)</w:t>
      </w:r>
      <w:r>
        <w:rPr>
          <w:lang w:val="en-CA"/>
        </w:rPr>
        <w:t xml:space="preserve">, consider </w:t>
      </w:r>
      <w:r w:rsidR="00FC63B0">
        <w:rPr>
          <w:lang w:val="en-CA"/>
        </w:rPr>
        <w:t xml:space="preserve">the first </w:t>
      </w:r>
      <w:r>
        <w:rPr>
          <w:lang w:val="en-CA"/>
        </w:rPr>
        <w:t xml:space="preserve">300-frames </w:t>
      </w:r>
      <w:r w:rsidR="00FC63B0">
        <w:rPr>
          <w:lang w:val="en-CA"/>
        </w:rPr>
        <w:t xml:space="preserve">of the following </w:t>
      </w:r>
      <w:r>
        <w:rPr>
          <w:lang w:val="en-CA"/>
        </w:rPr>
        <w:t>HLG content</w:t>
      </w:r>
    </w:p>
    <w:p w14:paraId="2518CAA9" w14:textId="2B317391" w:rsidR="00310333" w:rsidRDefault="00310333" w:rsidP="001A0571">
      <w:pPr>
        <w:numPr>
          <w:ilvl w:val="1"/>
          <w:numId w:val="20"/>
        </w:numPr>
        <w:rPr>
          <w:lang w:val="en-CA"/>
        </w:rPr>
      </w:pPr>
      <w:proofErr w:type="spellStart"/>
      <w:r w:rsidRPr="00310333">
        <w:rPr>
          <w:lang w:val="en-CA"/>
        </w:rPr>
        <w:t>DayStreet</w:t>
      </w:r>
      <w:proofErr w:type="spellEnd"/>
      <w:r w:rsidRPr="00310333">
        <w:rPr>
          <w:lang w:val="en-CA"/>
        </w:rPr>
        <w:t xml:space="preserve">, </w:t>
      </w:r>
      <w:proofErr w:type="spellStart"/>
      <w:r w:rsidRPr="00310333">
        <w:rPr>
          <w:lang w:val="en-CA"/>
        </w:rPr>
        <w:t>PeopleInShoppingCenter</w:t>
      </w:r>
      <w:proofErr w:type="spellEnd"/>
      <w:r w:rsidRPr="00310333">
        <w:rPr>
          <w:lang w:val="en-CA"/>
        </w:rPr>
        <w:t xml:space="preserve">, </w:t>
      </w:r>
      <w:proofErr w:type="spellStart"/>
      <w:r w:rsidRPr="00310333">
        <w:rPr>
          <w:lang w:val="en-CA"/>
        </w:rPr>
        <w:t>SunsetBeach</w:t>
      </w:r>
      <w:proofErr w:type="spellEnd"/>
      <w:r>
        <w:rPr>
          <w:lang w:val="en-CA"/>
        </w:rPr>
        <w:t>, first 300 frames</w:t>
      </w:r>
    </w:p>
    <w:p w14:paraId="02A3900C" w14:textId="58A2129B" w:rsidR="00310333" w:rsidRPr="00310333" w:rsidRDefault="00FC63B0" w:rsidP="001A0571">
      <w:pPr>
        <w:numPr>
          <w:ilvl w:val="1"/>
          <w:numId w:val="20"/>
        </w:numPr>
        <w:rPr>
          <w:lang w:val="en-CA"/>
        </w:rPr>
      </w:pPr>
      <w:r>
        <w:rPr>
          <w:lang w:val="en-CA"/>
        </w:rPr>
        <w:t xml:space="preserve">The initial version of </w:t>
      </w:r>
      <w:proofErr w:type="spellStart"/>
      <w:r w:rsidR="00310333">
        <w:rPr>
          <w:lang w:val="en-CA"/>
        </w:rPr>
        <w:t>FlyingBirds</w:t>
      </w:r>
      <w:proofErr w:type="spellEnd"/>
      <w:r w:rsidR="00310333">
        <w:rPr>
          <w:lang w:val="en-CA"/>
        </w:rPr>
        <w:t xml:space="preserve"> sequence</w:t>
      </w:r>
      <w:r w:rsidR="003B114A" w:rsidRPr="003B114A">
        <w:rPr>
          <w:lang w:val="en-CA"/>
        </w:rPr>
        <w:t xml:space="preserve"> </w:t>
      </w:r>
      <w:r w:rsidR="003B114A">
        <w:rPr>
          <w:lang w:val="en-CA"/>
        </w:rPr>
        <w:t>provided by NHK</w:t>
      </w:r>
      <w:r w:rsidR="008E7F03">
        <w:rPr>
          <w:lang w:val="en-CA"/>
        </w:rPr>
        <w:t>, which was 300-frames length,</w:t>
      </w:r>
      <w:r w:rsidR="008E7F03" w:rsidRPr="00EA08BD">
        <w:rPr>
          <w:lang w:val="en-CA"/>
        </w:rPr>
        <w:t xml:space="preserve"> and </w:t>
      </w:r>
      <w:r w:rsidR="003B114A" w:rsidRPr="00EA08BD">
        <w:rPr>
          <w:lang w:val="en-CA"/>
        </w:rPr>
        <w:t>had</w:t>
      </w:r>
      <w:r w:rsidR="008E7F03" w:rsidRPr="00EA08BD">
        <w:rPr>
          <w:lang w:val="en-CA"/>
        </w:rPr>
        <w:t xml:space="preserve"> </w:t>
      </w:r>
      <w:r w:rsidRPr="00EA08BD">
        <w:rPr>
          <w:lang w:val="en-CA"/>
        </w:rPr>
        <w:t>less</w:t>
      </w:r>
      <w:r w:rsidR="008E7F03" w:rsidRPr="00EA08BD">
        <w:rPr>
          <w:lang w:val="en-CA"/>
        </w:rPr>
        <w:t xml:space="preserve"> blurring</w:t>
      </w:r>
      <w:r w:rsidRPr="00EA08BD">
        <w:rPr>
          <w:lang w:val="en-CA"/>
        </w:rPr>
        <w:t xml:space="preserve"> issues than the 600-frames one</w:t>
      </w:r>
      <w:r w:rsidR="008E7F03">
        <w:rPr>
          <w:lang w:val="en-CA"/>
        </w:rPr>
        <w:t xml:space="preserve">, </w:t>
      </w:r>
      <w:r w:rsidR="00310333">
        <w:rPr>
          <w:lang w:val="en-CA"/>
        </w:rPr>
        <w:t>is recommended to be used</w:t>
      </w:r>
    </w:p>
    <w:p w14:paraId="6D3A53E1" w14:textId="31368707" w:rsidR="003048AE" w:rsidRDefault="003048AE" w:rsidP="003048AE">
      <w:pPr>
        <w:numPr>
          <w:ilvl w:val="0"/>
          <w:numId w:val="20"/>
        </w:numPr>
        <w:rPr>
          <w:lang w:val="en-CA"/>
        </w:rPr>
      </w:pPr>
      <w:r>
        <w:rPr>
          <w:lang w:val="en-CA"/>
        </w:rPr>
        <w:t>For tests requiring visual assessment</w:t>
      </w:r>
      <w:r w:rsidR="00E624C7">
        <w:rPr>
          <w:lang w:val="en-CA"/>
        </w:rPr>
        <w:t xml:space="preserve"> (fixed bitrate case)</w:t>
      </w:r>
      <w:r>
        <w:rPr>
          <w:lang w:val="en-CA"/>
        </w:rPr>
        <w:t>, consider 600-frames length HLG content</w:t>
      </w:r>
    </w:p>
    <w:p w14:paraId="16C88C71" w14:textId="3C6B8C54" w:rsidR="00310333" w:rsidRDefault="00310333" w:rsidP="00310333">
      <w:pPr>
        <w:numPr>
          <w:ilvl w:val="1"/>
          <w:numId w:val="20"/>
        </w:numPr>
        <w:rPr>
          <w:lang w:val="en-CA"/>
        </w:rPr>
      </w:pPr>
      <w:proofErr w:type="spellStart"/>
      <w:r w:rsidRPr="00310333">
        <w:rPr>
          <w:lang w:val="en-CA"/>
        </w:rPr>
        <w:t>DayStreet</w:t>
      </w:r>
      <w:proofErr w:type="spellEnd"/>
      <w:r w:rsidRPr="00310333">
        <w:rPr>
          <w:lang w:val="en-CA"/>
        </w:rPr>
        <w:t xml:space="preserve">, </w:t>
      </w:r>
      <w:proofErr w:type="spellStart"/>
      <w:r w:rsidRPr="00310333">
        <w:rPr>
          <w:lang w:val="en-CA"/>
        </w:rPr>
        <w:t>PeopleInShoppingCenter</w:t>
      </w:r>
      <w:proofErr w:type="spellEnd"/>
      <w:r w:rsidRPr="00310333">
        <w:rPr>
          <w:lang w:val="en-CA"/>
        </w:rPr>
        <w:t xml:space="preserve">, </w:t>
      </w:r>
      <w:proofErr w:type="spellStart"/>
      <w:r w:rsidRPr="00310333">
        <w:rPr>
          <w:lang w:val="en-CA"/>
        </w:rPr>
        <w:t>SunsetBeach</w:t>
      </w:r>
      <w:proofErr w:type="spellEnd"/>
    </w:p>
    <w:p w14:paraId="6B41781A" w14:textId="77777777" w:rsidR="0057060C" w:rsidRDefault="0057060C" w:rsidP="00DF0078">
      <w:pPr>
        <w:rPr>
          <w:lang w:val="en-CA"/>
        </w:rPr>
      </w:pPr>
    </w:p>
    <w:p w14:paraId="7AE08907" w14:textId="3F890075" w:rsidR="00477446" w:rsidRDefault="0057060C" w:rsidP="00DF0078">
      <w:pPr>
        <w:rPr>
          <w:lang w:val="en-CA"/>
        </w:rPr>
      </w:pPr>
      <w:proofErr w:type="spellStart"/>
      <w:r w:rsidRPr="0057060C">
        <w:rPr>
          <w:highlight w:val="yellow"/>
          <w:lang w:val="en-CA"/>
        </w:rPr>
        <w:t>BoG</w:t>
      </w:r>
      <w:proofErr w:type="spellEnd"/>
      <w:r w:rsidRPr="0057060C">
        <w:rPr>
          <w:highlight w:val="yellow"/>
          <w:lang w:val="en-CA"/>
        </w:rPr>
        <w:t xml:space="preserve"> recommends </w:t>
      </w:r>
      <w:r w:rsidR="001F02FA" w:rsidRPr="0057060C">
        <w:rPr>
          <w:highlight w:val="yellow"/>
          <w:lang w:val="en-CA"/>
        </w:rPr>
        <w:t>reporting</w:t>
      </w:r>
      <w:r w:rsidRPr="0057060C">
        <w:rPr>
          <w:highlight w:val="yellow"/>
          <w:lang w:val="en-CA"/>
        </w:rPr>
        <w:t xml:space="preserve"> performance comparisons of VTM and BMS against the HM for HDR content</w:t>
      </w:r>
      <w:r w:rsidR="00EA08BD">
        <w:rPr>
          <w:highlight w:val="yellow"/>
          <w:lang w:val="en-CA"/>
        </w:rPr>
        <w:t>, as done for the SDR case</w:t>
      </w:r>
      <w:r w:rsidR="00E71A45">
        <w:rPr>
          <w:highlight w:val="yellow"/>
          <w:lang w:val="en-CA"/>
        </w:rPr>
        <w:t>.</w:t>
      </w:r>
    </w:p>
    <w:p w14:paraId="38AA22FD" w14:textId="77777777" w:rsidR="005F03F5" w:rsidRDefault="005F03F5" w:rsidP="005F03F5">
      <w:pPr>
        <w:rPr>
          <w:highlight w:val="yellow"/>
          <w:lang w:val="en-CA"/>
        </w:rPr>
      </w:pPr>
      <w:proofErr w:type="spellStart"/>
      <w:r w:rsidRPr="0057060C">
        <w:rPr>
          <w:highlight w:val="yellow"/>
          <w:lang w:val="en-CA"/>
        </w:rPr>
        <w:t>BoG</w:t>
      </w:r>
      <w:proofErr w:type="spellEnd"/>
      <w:r w:rsidRPr="0057060C">
        <w:rPr>
          <w:highlight w:val="yellow"/>
          <w:lang w:val="en-CA"/>
        </w:rPr>
        <w:t xml:space="preserve"> recommends the </w:t>
      </w:r>
      <w:r>
        <w:rPr>
          <w:highlight w:val="yellow"/>
          <w:lang w:val="en-CA"/>
        </w:rPr>
        <w:t xml:space="preserve">clearly specify in the CTCs that the reported HDR metrics including </w:t>
      </w:r>
      <w:proofErr w:type="spellStart"/>
      <w:r>
        <w:rPr>
          <w:highlight w:val="yellow"/>
          <w:lang w:val="en-CA"/>
        </w:rPr>
        <w:t>wPSNR</w:t>
      </w:r>
      <w:proofErr w:type="spellEnd"/>
      <w:r>
        <w:rPr>
          <w:highlight w:val="yellow"/>
          <w:lang w:val="en-CA"/>
        </w:rPr>
        <w:t xml:space="preserve"> shall be derived from </w:t>
      </w:r>
      <w:proofErr w:type="spellStart"/>
      <w:r>
        <w:rPr>
          <w:highlight w:val="yellow"/>
          <w:lang w:val="en-CA"/>
        </w:rPr>
        <w:t>HDRMetrics</w:t>
      </w:r>
      <w:proofErr w:type="spellEnd"/>
      <w:r>
        <w:rPr>
          <w:highlight w:val="yellow"/>
          <w:lang w:val="en-CA"/>
        </w:rPr>
        <w:t>.</w:t>
      </w:r>
    </w:p>
    <w:sectPr w:rsidR="005F03F5"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94317" w14:textId="77777777" w:rsidR="0003405E" w:rsidRDefault="0003405E">
      <w:r>
        <w:separator/>
      </w:r>
    </w:p>
  </w:endnote>
  <w:endnote w:type="continuationSeparator" w:id="0">
    <w:p w14:paraId="56EF4FC6" w14:textId="77777777" w:rsidR="0003405E" w:rsidRDefault="00034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2309028" w:rsidR="005843C5" w:rsidRPr="00C00DDE" w:rsidRDefault="005843C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54FA0">
      <w:rPr>
        <w:rStyle w:val="PageNumber"/>
        <w:noProof/>
      </w:rPr>
      <w:t>2018-07-15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17339" w14:textId="77777777" w:rsidR="0003405E" w:rsidRDefault="0003405E">
      <w:r>
        <w:separator/>
      </w:r>
    </w:p>
  </w:footnote>
  <w:footnote w:type="continuationSeparator" w:id="0">
    <w:p w14:paraId="68E6B72B" w14:textId="77777777" w:rsidR="0003405E" w:rsidRDefault="000340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57E89"/>
    <w:multiLevelType w:val="hybridMultilevel"/>
    <w:tmpl w:val="5B58A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7BD29B6"/>
    <w:multiLevelType w:val="hybridMultilevel"/>
    <w:tmpl w:val="B5CE2472"/>
    <w:lvl w:ilvl="0" w:tplc="73BC89C0">
      <w:start w:val="1"/>
      <w:numFmt w:val="bullet"/>
      <w:lvlText w:val="•"/>
      <w:lvlJc w:val="left"/>
      <w:pPr>
        <w:tabs>
          <w:tab w:val="num" w:pos="720"/>
        </w:tabs>
        <w:ind w:left="720" w:hanging="360"/>
      </w:pPr>
      <w:rPr>
        <w:rFonts w:ascii="Arial" w:hAnsi="Arial" w:hint="default"/>
      </w:rPr>
    </w:lvl>
    <w:lvl w:ilvl="1" w:tplc="2612042C">
      <w:start w:val="39"/>
      <w:numFmt w:val="bullet"/>
      <w:lvlText w:val="•"/>
      <w:lvlJc w:val="left"/>
      <w:pPr>
        <w:tabs>
          <w:tab w:val="num" w:pos="1440"/>
        </w:tabs>
        <w:ind w:left="1440" w:hanging="360"/>
      </w:pPr>
      <w:rPr>
        <w:rFonts w:ascii="Arial" w:hAnsi="Arial" w:hint="default"/>
      </w:rPr>
    </w:lvl>
    <w:lvl w:ilvl="2" w:tplc="5EBAA0A0" w:tentative="1">
      <w:start w:val="1"/>
      <w:numFmt w:val="bullet"/>
      <w:lvlText w:val="•"/>
      <w:lvlJc w:val="left"/>
      <w:pPr>
        <w:tabs>
          <w:tab w:val="num" w:pos="2160"/>
        </w:tabs>
        <w:ind w:left="2160" w:hanging="360"/>
      </w:pPr>
      <w:rPr>
        <w:rFonts w:ascii="Arial" w:hAnsi="Arial" w:hint="default"/>
      </w:rPr>
    </w:lvl>
    <w:lvl w:ilvl="3" w:tplc="A412E682" w:tentative="1">
      <w:start w:val="1"/>
      <w:numFmt w:val="bullet"/>
      <w:lvlText w:val="•"/>
      <w:lvlJc w:val="left"/>
      <w:pPr>
        <w:tabs>
          <w:tab w:val="num" w:pos="2880"/>
        </w:tabs>
        <w:ind w:left="2880" w:hanging="360"/>
      </w:pPr>
      <w:rPr>
        <w:rFonts w:ascii="Arial" w:hAnsi="Arial" w:hint="default"/>
      </w:rPr>
    </w:lvl>
    <w:lvl w:ilvl="4" w:tplc="B0727D28" w:tentative="1">
      <w:start w:val="1"/>
      <w:numFmt w:val="bullet"/>
      <w:lvlText w:val="•"/>
      <w:lvlJc w:val="left"/>
      <w:pPr>
        <w:tabs>
          <w:tab w:val="num" w:pos="3600"/>
        </w:tabs>
        <w:ind w:left="3600" w:hanging="360"/>
      </w:pPr>
      <w:rPr>
        <w:rFonts w:ascii="Arial" w:hAnsi="Arial" w:hint="default"/>
      </w:rPr>
    </w:lvl>
    <w:lvl w:ilvl="5" w:tplc="DCECC312" w:tentative="1">
      <w:start w:val="1"/>
      <w:numFmt w:val="bullet"/>
      <w:lvlText w:val="•"/>
      <w:lvlJc w:val="left"/>
      <w:pPr>
        <w:tabs>
          <w:tab w:val="num" w:pos="4320"/>
        </w:tabs>
        <w:ind w:left="4320" w:hanging="360"/>
      </w:pPr>
      <w:rPr>
        <w:rFonts w:ascii="Arial" w:hAnsi="Arial" w:hint="default"/>
      </w:rPr>
    </w:lvl>
    <w:lvl w:ilvl="6" w:tplc="078CD542" w:tentative="1">
      <w:start w:val="1"/>
      <w:numFmt w:val="bullet"/>
      <w:lvlText w:val="•"/>
      <w:lvlJc w:val="left"/>
      <w:pPr>
        <w:tabs>
          <w:tab w:val="num" w:pos="5040"/>
        </w:tabs>
        <w:ind w:left="5040" w:hanging="360"/>
      </w:pPr>
      <w:rPr>
        <w:rFonts w:ascii="Arial" w:hAnsi="Arial" w:hint="default"/>
      </w:rPr>
    </w:lvl>
    <w:lvl w:ilvl="7" w:tplc="0004E0C6" w:tentative="1">
      <w:start w:val="1"/>
      <w:numFmt w:val="bullet"/>
      <w:lvlText w:val="•"/>
      <w:lvlJc w:val="left"/>
      <w:pPr>
        <w:tabs>
          <w:tab w:val="num" w:pos="5760"/>
        </w:tabs>
        <w:ind w:left="5760" w:hanging="360"/>
      </w:pPr>
      <w:rPr>
        <w:rFonts w:ascii="Arial" w:hAnsi="Arial" w:hint="default"/>
      </w:rPr>
    </w:lvl>
    <w:lvl w:ilvl="8" w:tplc="9D40507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911935"/>
    <w:multiLevelType w:val="hybridMultilevel"/>
    <w:tmpl w:val="8278C08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2DEB5888"/>
    <w:multiLevelType w:val="hybridMultilevel"/>
    <w:tmpl w:val="260E5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0F7009"/>
    <w:multiLevelType w:val="hybridMultilevel"/>
    <w:tmpl w:val="2C88B492"/>
    <w:lvl w:ilvl="0" w:tplc="D82ED7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36846"/>
    <w:multiLevelType w:val="hybridMultilevel"/>
    <w:tmpl w:val="37284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861F71"/>
    <w:multiLevelType w:val="hybridMultilevel"/>
    <w:tmpl w:val="C694C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4843C64"/>
    <w:multiLevelType w:val="hybridMultilevel"/>
    <w:tmpl w:val="F2BCB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5"/>
  </w:num>
  <w:num w:numId="7">
    <w:abstractNumId w:val="9"/>
  </w:num>
  <w:num w:numId="8">
    <w:abstractNumId w:val="5"/>
  </w:num>
  <w:num w:numId="9">
    <w:abstractNumId w:val="1"/>
  </w:num>
  <w:num w:numId="10">
    <w:abstractNumId w:val="4"/>
  </w:num>
  <w:num w:numId="11">
    <w:abstractNumId w:val="3"/>
  </w:num>
  <w:num w:numId="12">
    <w:abstractNumId w:val="15"/>
  </w:num>
  <w:num w:numId="13">
    <w:abstractNumId w:val="18"/>
  </w:num>
  <w:num w:numId="14">
    <w:abstractNumId w:val="2"/>
  </w:num>
  <w:num w:numId="15">
    <w:abstractNumId w:val="11"/>
  </w:num>
  <w:num w:numId="16">
    <w:abstractNumId w:val="7"/>
  </w:num>
  <w:num w:numId="17">
    <w:abstractNumId w:val="6"/>
  </w:num>
  <w:num w:numId="18">
    <w:abstractNumId w:val="16"/>
  </w:num>
  <w:num w:numId="19">
    <w:abstractNumId w:val="8"/>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29DD"/>
    <w:rsid w:val="00017E3E"/>
    <w:rsid w:val="000308A3"/>
    <w:rsid w:val="00033EB1"/>
    <w:rsid w:val="0003405E"/>
    <w:rsid w:val="000361A1"/>
    <w:rsid w:val="000458BC"/>
    <w:rsid w:val="00045C41"/>
    <w:rsid w:val="00046C03"/>
    <w:rsid w:val="000519AC"/>
    <w:rsid w:val="00065039"/>
    <w:rsid w:val="0007614F"/>
    <w:rsid w:val="00090804"/>
    <w:rsid w:val="00095F73"/>
    <w:rsid w:val="000A1A8B"/>
    <w:rsid w:val="000B0C0F"/>
    <w:rsid w:val="000B1C6B"/>
    <w:rsid w:val="000B4FF9"/>
    <w:rsid w:val="000C09AC"/>
    <w:rsid w:val="000E00F3"/>
    <w:rsid w:val="000E2390"/>
    <w:rsid w:val="000F09D2"/>
    <w:rsid w:val="000F158C"/>
    <w:rsid w:val="00102F3D"/>
    <w:rsid w:val="00104C72"/>
    <w:rsid w:val="00124E38"/>
    <w:rsid w:val="0012580B"/>
    <w:rsid w:val="00131F90"/>
    <w:rsid w:val="0013458C"/>
    <w:rsid w:val="0013526E"/>
    <w:rsid w:val="00146152"/>
    <w:rsid w:val="001535CE"/>
    <w:rsid w:val="00155526"/>
    <w:rsid w:val="00171371"/>
    <w:rsid w:val="00175A24"/>
    <w:rsid w:val="00175EDA"/>
    <w:rsid w:val="00180A42"/>
    <w:rsid w:val="00187E58"/>
    <w:rsid w:val="001A297E"/>
    <w:rsid w:val="001A35F4"/>
    <w:rsid w:val="001A368E"/>
    <w:rsid w:val="001A7329"/>
    <w:rsid w:val="001A792F"/>
    <w:rsid w:val="001B4E28"/>
    <w:rsid w:val="001C3525"/>
    <w:rsid w:val="001C3AFB"/>
    <w:rsid w:val="001D1BD2"/>
    <w:rsid w:val="001E0248"/>
    <w:rsid w:val="001E02BE"/>
    <w:rsid w:val="001E3B37"/>
    <w:rsid w:val="001E65B9"/>
    <w:rsid w:val="001F02FA"/>
    <w:rsid w:val="001F2594"/>
    <w:rsid w:val="001F4830"/>
    <w:rsid w:val="002055A6"/>
    <w:rsid w:val="00206460"/>
    <w:rsid w:val="002069B4"/>
    <w:rsid w:val="002106D9"/>
    <w:rsid w:val="00215DFC"/>
    <w:rsid w:val="002212DF"/>
    <w:rsid w:val="00222CD4"/>
    <w:rsid w:val="00225016"/>
    <w:rsid w:val="002264A6"/>
    <w:rsid w:val="00227709"/>
    <w:rsid w:val="00227BA7"/>
    <w:rsid w:val="0023011C"/>
    <w:rsid w:val="002316BF"/>
    <w:rsid w:val="00233348"/>
    <w:rsid w:val="002375C1"/>
    <w:rsid w:val="00263398"/>
    <w:rsid w:val="00266F06"/>
    <w:rsid w:val="00274765"/>
    <w:rsid w:val="00275BCF"/>
    <w:rsid w:val="00291E36"/>
    <w:rsid w:val="00292257"/>
    <w:rsid w:val="00292490"/>
    <w:rsid w:val="002A54E0"/>
    <w:rsid w:val="002B1595"/>
    <w:rsid w:val="002B191D"/>
    <w:rsid w:val="002B4E24"/>
    <w:rsid w:val="002D0AF6"/>
    <w:rsid w:val="002F164D"/>
    <w:rsid w:val="002F51D5"/>
    <w:rsid w:val="00301338"/>
    <w:rsid w:val="003021BC"/>
    <w:rsid w:val="003048AE"/>
    <w:rsid w:val="00306206"/>
    <w:rsid w:val="00310333"/>
    <w:rsid w:val="00310893"/>
    <w:rsid w:val="00315883"/>
    <w:rsid w:val="00317D85"/>
    <w:rsid w:val="00320C4F"/>
    <w:rsid w:val="003237BD"/>
    <w:rsid w:val="00327C56"/>
    <w:rsid w:val="003315A1"/>
    <w:rsid w:val="003340FF"/>
    <w:rsid w:val="003373EC"/>
    <w:rsid w:val="003405FA"/>
    <w:rsid w:val="003411F4"/>
    <w:rsid w:val="00341AD0"/>
    <w:rsid w:val="00342FF4"/>
    <w:rsid w:val="00345F71"/>
    <w:rsid w:val="00346148"/>
    <w:rsid w:val="003669EA"/>
    <w:rsid w:val="003706CC"/>
    <w:rsid w:val="00376084"/>
    <w:rsid w:val="00377710"/>
    <w:rsid w:val="003A2D8E"/>
    <w:rsid w:val="003A5078"/>
    <w:rsid w:val="003A7CE6"/>
    <w:rsid w:val="003B114A"/>
    <w:rsid w:val="003C20E4"/>
    <w:rsid w:val="003D6342"/>
    <w:rsid w:val="003E110F"/>
    <w:rsid w:val="003E6F90"/>
    <w:rsid w:val="003E73ED"/>
    <w:rsid w:val="003F5D0F"/>
    <w:rsid w:val="00414101"/>
    <w:rsid w:val="004219CF"/>
    <w:rsid w:val="004234F0"/>
    <w:rsid w:val="00433DDB"/>
    <w:rsid w:val="00434C23"/>
    <w:rsid w:val="00435A29"/>
    <w:rsid w:val="00437619"/>
    <w:rsid w:val="004557EC"/>
    <w:rsid w:val="0045585E"/>
    <w:rsid w:val="00465A1E"/>
    <w:rsid w:val="00477446"/>
    <w:rsid w:val="004A2A63"/>
    <w:rsid w:val="004B210C"/>
    <w:rsid w:val="004B3D9C"/>
    <w:rsid w:val="004B71FE"/>
    <w:rsid w:val="004D405F"/>
    <w:rsid w:val="004E4F4F"/>
    <w:rsid w:val="004E6789"/>
    <w:rsid w:val="004F1E42"/>
    <w:rsid w:val="004F61E3"/>
    <w:rsid w:val="00502E10"/>
    <w:rsid w:val="00503405"/>
    <w:rsid w:val="0051015C"/>
    <w:rsid w:val="00515620"/>
    <w:rsid w:val="005166B5"/>
    <w:rsid w:val="00516CF1"/>
    <w:rsid w:val="00531AE9"/>
    <w:rsid w:val="005369F3"/>
    <w:rsid w:val="00541FE7"/>
    <w:rsid w:val="00550A66"/>
    <w:rsid w:val="005576C5"/>
    <w:rsid w:val="00562FCB"/>
    <w:rsid w:val="005633DF"/>
    <w:rsid w:val="00567EC7"/>
    <w:rsid w:val="00570013"/>
    <w:rsid w:val="0057060C"/>
    <w:rsid w:val="005801A2"/>
    <w:rsid w:val="005843C5"/>
    <w:rsid w:val="005952A5"/>
    <w:rsid w:val="005A33A1"/>
    <w:rsid w:val="005B217D"/>
    <w:rsid w:val="005C385F"/>
    <w:rsid w:val="005E1AC6"/>
    <w:rsid w:val="005E3B2B"/>
    <w:rsid w:val="005F03F5"/>
    <w:rsid w:val="005F6F1B"/>
    <w:rsid w:val="00615995"/>
    <w:rsid w:val="00615D0A"/>
    <w:rsid w:val="00616155"/>
    <w:rsid w:val="006223BF"/>
    <w:rsid w:val="00623F9A"/>
    <w:rsid w:val="00624B33"/>
    <w:rsid w:val="00625929"/>
    <w:rsid w:val="0063041A"/>
    <w:rsid w:val="00630AA2"/>
    <w:rsid w:val="00646707"/>
    <w:rsid w:val="00653F27"/>
    <w:rsid w:val="00657F7E"/>
    <w:rsid w:val="00662E58"/>
    <w:rsid w:val="006637F2"/>
    <w:rsid w:val="006642A5"/>
    <w:rsid w:val="00664DCF"/>
    <w:rsid w:val="00670CE2"/>
    <w:rsid w:val="00675D24"/>
    <w:rsid w:val="006A13FF"/>
    <w:rsid w:val="006B39AE"/>
    <w:rsid w:val="006C5D39"/>
    <w:rsid w:val="006D6D9B"/>
    <w:rsid w:val="006E2810"/>
    <w:rsid w:val="006E5417"/>
    <w:rsid w:val="006F0794"/>
    <w:rsid w:val="006F4C56"/>
    <w:rsid w:val="007023DE"/>
    <w:rsid w:val="00712F60"/>
    <w:rsid w:val="00720E3B"/>
    <w:rsid w:val="0074393F"/>
    <w:rsid w:val="00745F6B"/>
    <w:rsid w:val="0075585E"/>
    <w:rsid w:val="00764427"/>
    <w:rsid w:val="00770571"/>
    <w:rsid w:val="007768FF"/>
    <w:rsid w:val="007824D3"/>
    <w:rsid w:val="00796EE3"/>
    <w:rsid w:val="007A6F6D"/>
    <w:rsid w:val="007A7D29"/>
    <w:rsid w:val="007B166C"/>
    <w:rsid w:val="007B4AB8"/>
    <w:rsid w:val="007D0120"/>
    <w:rsid w:val="007D1181"/>
    <w:rsid w:val="007D1270"/>
    <w:rsid w:val="007D4690"/>
    <w:rsid w:val="007E01A3"/>
    <w:rsid w:val="007E46D1"/>
    <w:rsid w:val="007F1F8B"/>
    <w:rsid w:val="007F67A1"/>
    <w:rsid w:val="00810F30"/>
    <w:rsid w:val="00811C05"/>
    <w:rsid w:val="0081693D"/>
    <w:rsid w:val="0082016B"/>
    <w:rsid w:val="008206C8"/>
    <w:rsid w:val="00833354"/>
    <w:rsid w:val="00846DA2"/>
    <w:rsid w:val="00854FA0"/>
    <w:rsid w:val="0086387C"/>
    <w:rsid w:val="00866054"/>
    <w:rsid w:val="0087289E"/>
    <w:rsid w:val="00874A6C"/>
    <w:rsid w:val="00876C65"/>
    <w:rsid w:val="008A4B4C"/>
    <w:rsid w:val="008C239F"/>
    <w:rsid w:val="008C7282"/>
    <w:rsid w:val="008D686C"/>
    <w:rsid w:val="008E480C"/>
    <w:rsid w:val="008E7F03"/>
    <w:rsid w:val="00907757"/>
    <w:rsid w:val="0091649B"/>
    <w:rsid w:val="009212B0"/>
    <w:rsid w:val="00921FA1"/>
    <w:rsid w:val="009234A5"/>
    <w:rsid w:val="00933453"/>
    <w:rsid w:val="009336F7"/>
    <w:rsid w:val="0093636C"/>
    <w:rsid w:val="009374A7"/>
    <w:rsid w:val="00955F6D"/>
    <w:rsid w:val="00977C16"/>
    <w:rsid w:val="00983D4C"/>
    <w:rsid w:val="0098551D"/>
    <w:rsid w:val="00986FB3"/>
    <w:rsid w:val="0099518F"/>
    <w:rsid w:val="009A423D"/>
    <w:rsid w:val="009A523D"/>
    <w:rsid w:val="009B02A1"/>
    <w:rsid w:val="009D7CE6"/>
    <w:rsid w:val="009E7CFE"/>
    <w:rsid w:val="009F496B"/>
    <w:rsid w:val="00A01439"/>
    <w:rsid w:val="00A02B20"/>
    <w:rsid w:val="00A02E61"/>
    <w:rsid w:val="00A05CFF"/>
    <w:rsid w:val="00A13048"/>
    <w:rsid w:val="00A24E66"/>
    <w:rsid w:val="00A46843"/>
    <w:rsid w:val="00A56B97"/>
    <w:rsid w:val="00A56CE5"/>
    <w:rsid w:val="00A57E29"/>
    <w:rsid w:val="00A6093D"/>
    <w:rsid w:val="00A767DC"/>
    <w:rsid w:val="00A76A6D"/>
    <w:rsid w:val="00A83253"/>
    <w:rsid w:val="00AA6E84"/>
    <w:rsid w:val="00AB1A1C"/>
    <w:rsid w:val="00AC51A4"/>
    <w:rsid w:val="00AD05A8"/>
    <w:rsid w:val="00AD1742"/>
    <w:rsid w:val="00AD7FF5"/>
    <w:rsid w:val="00AE2C5A"/>
    <w:rsid w:val="00AE341B"/>
    <w:rsid w:val="00B01905"/>
    <w:rsid w:val="00B07CA7"/>
    <w:rsid w:val="00B1279A"/>
    <w:rsid w:val="00B16B78"/>
    <w:rsid w:val="00B2487F"/>
    <w:rsid w:val="00B3794A"/>
    <w:rsid w:val="00B4194A"/>
    <w:rsid w:val="00B437E8"/>
    <w:rsid w:val="00B4705D"/>
    <w:rsid w:val="00B5222E"/>
    <w:rsid w:val="00B53179"/>
    <w:rsid w:val="00B57A23"/>
    <w:rsid w:val="00B600CD"/>
    <w:rsid w:val="00B61C96"/>
    <w:rsid w:val="00B73A2A"/>
    <w:rsid w:val="00B75A51"/>
    <w:rsid w:val="00B80DBD"/>
    <w:rsid w:val="00B827C6"/>
    <w:rsid w:val="00B92F56"/>
    <w:rsid w:val="00B94B06"/>
    <w:rsid w:val="00B94C28"/>
    <w:rsid w:val="00BC10BA"/>
    <w:rsid w:val="00BC384E"/>
    <w:rsid w:val="00BC5AFD"/>
    <w:rsid w:val="00BD03CF"/>
    <w:rsid w:val="00BE69C3"/>
    <w:rsid w:val="00C00DDE"/>
    <w:rsid w:val="00C04F43"/>
    <w:rsid w:val="00C0609D"/>
    <w:rsid w:val="00C115AB"/>
    <w:rsid w:val="00C26CCB"/>
    <w:rsid w:val="00C30249"/>
    <w:rsid w:val="00C36A7A"/>
    <w:rsid w:val="00C3723B"/>
    <w:rsid w:val="00C42466"/>
    <w:rsid w:val="00C606C9"/>
    <w:rsid w:val="00C622BC"/>
    <w:rsid w:val="00C733D1"/>
    <w:rsid w:val="00C80288"/>
    <w:rsid w:val="00C84003"/>
    <w:rsid w:val="00C90650"/>
    <w:rsid w:val="00C97D78"/>
    <w:rsid w:val="00CB50C8"/>
    <w:rsid w:val="00CB74B2"/>
    <w:rsid w:val="00CC2AAE"/>
    <w:rsid w:val="00CC5A42"/>
    <w:rsid w:val="00CD0EAB"/>
    <w:rsid w:val="00CE5E02"/>
    <w:rsid w:val="00CF34DB"/>
    <w:rsid w:val="00CF558F"/>
    <w:rsid w:val="00D010C0"/>
    <w:rsid w:val="00D073E2"/>
    <w:rsid w:val="00D235AB"/>
    <w:rsid w:val="00D30765"/>
    <w:rsid w:val="00D446EC"/>
    <w:rsid w:val="00D51BF0"/>
    <w:rsid w:val="00D531DB"/>
    <w:rsid w:val="00D55942"/>
    <w:rsid w:val="00D705AB"/>
    <w:rsid w:val="00D807BF"/>
    <w:rsid w:val="00D82FCC"/>
    <w:rsid w:val="00D8665E"/>
    <w:rsid w:val="00DA17FC"/>
    <w:rsid w:val="00DA1CF8"/>
    <w:rsid w:val="00DA7887"/>
    <w:rsid w:val="00DB2C26"/>
    <w:rsid w:val="00DB55D9"/>
    <w:rsid w:val="00DC69A1"/>
    <w:rsid w:val="00DD02F4"/>
    <w:rsid w:val="00DD6622"/>
    <w:rsid w:val="00DE1C7C"/>
    <w:rsid w:val="00DE6B43"/>
    <w:rsid w:val="00DF0078"/>
    <w:rsid w:val="00DF2017"/>
    <w:rsid w:val="00DF3DA6"/>
    <w:rsid w:val="00E11923"/>
    <w:rsid w:val="00E262D4"/>
    <w:rsid w:val="00E36250"/>
    <w:rsid w:val="00E40DB1"/>
    <w:rsid w:val="00E47F2D"/>
    <w:rsid w:val="00E54511"/>
    <w:rsid w:val="00E557A3"/>
    <w:rsid w:val="00E61DAC"/>
    <w:rsid w:val="00E624C7"/>
    <w:rsid w:val="00E71A45"/>
    <w:rsid w:val="00E72B80"/>
    <w:rsid w:val="00E75FE3"/>
    <w:rsid w:val="00E86C4C"/>
    <w:rsid w:val="00E907A3"/>
    <w:rsid w:val="00E97AD6"/>
    <w:rsid w:val="00EA08BD"/>
    <w:rsid w:val="00EA5AE0"/>
    <w:rsid w:val="00EA7F76"/>
    <w:rsid w:val="00EB56E1"/>
    <w:rsid w:val="00EB7AB1"/>
    <w:rsid w:val="00EC51DF"/>
    <w:rsid w:val="00ED264E"/>
    <w:rsid w:val="00EE7CD8"/>
    <w:rsid w:val="00EF48CC"/>
    <w:rsid w:val="00F00801"/>
    <w:rsid w:val="00F00FEC"/>
    <w:rsid w:val="00F06EE9"/>
    <w:rsid w:val="00F10035"/>
    <w:rsid w:val="00F21F85"/>
    <w:rsid w:val="00F2488D"/>
    <w:rsid w:val="00F33A0A"/>
    <w:rsid w:val="00F601A0"/>
    <w:rsid w:val="00F61CD6"/>
    <w:rsid w:val="00F712E9"/>
    <w:rsid w:val="00F73032"/>
    <w:rsid w:val="00F848FC"/>
    <w:rsid w:val="00F906F6"/>
    <w:rsid w:val="00F926CA"/>
    <w:rsid w:val="00F9282A"/>
    <w:rsid w:val="00F9526E"/>
    <w:rsid w:val="00F96BAD"/>
    <w:rsid w:val="00FA139D"/>
    <w:rsid w:val="00FB0E84"/>
    <w:rsid w:val="00FB3CAC"/>
    <w:rsid w:val="00FC2405"/>
    <w:rsid w:val="00FC3E0E"/>
    <w:rsid w:val="00FC63B0"/>
    <w:rsid w:val="00FC7DDA"/>
    <w:rsid w:val="00FD01C2"/>
    <w:rsid w:val="00FD3A65"/>
    <w:rsid w:val="00FE148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0E2390"/>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link w:val="BodyText"/>
    <w:rsid w:val="000E2390"/>
    <w:rPr>
      <w:rFonts w:eastAsia="SimSun"/>
      <w:sz w:val="22"/>
      <w:lang w:val="en-CA"/>
    </w:rPr>
  </w:style>
  <w:style w:type="character" w:styleId="CommentReference">
    <w:name w:val="annotation reference"/>
    <w:rsid w:val="00B80DBD"/>
    <w:rPr>
      <w:sz w:val="16"/>
      <w:szCs w:val="16"/>
    </w:rPr>
  </w:style>
  <w:style w:type="paragraph" w:styleId="CommentText">
    <w:name w:val="annotation text"/>
    <w:basedOn w:val="Normal"/>
    <w:link w:val="CommentTextChar"/>
    <w:rsid w:val="00B80DBD"/>
    <w:rPr>
      <w:rFonts w:eastAsia="PMingLiU"/>
      <w:sz w:val="20"/>
    </w:rPr>
  </w:style>
  <w:style w:type="character" w:customStyle="1" w:styleId="CommentTextChar">
    <w:name w:val="Comment Text Char"/>
    <w:link w:val="CommentText"/>
    <w:rsid w:val="00B80DBD"/>
    <w:rPr>
      <w:rFonts w:eastAsia="PMingLiU"/>
    </w:rPr>
  </w:style>
  <w:style w:type="table" w:styleId="TableGrid">
    <w:name w:val="Table Grid"/>
    <w:basedOn w:val="TableNormal"/>
    <w:rsid w:val="00AD174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D264E"/>
    <w:pPr>
      <w:ind w:left="720"/>
      <w:contextualSpacing/>
      <w:textAlignment w:val="auto"/>
    </w:pPr>
  </w:style>
  <w:style w:type="character" w:styleId="UnresolvedMention">
    <w:name w:val="Unresolved Mention"/>
    <w:uiPriority w:val="99"/>
    <w:semiHidden/>
    <w:unhideWhenUsed/>
    <w:rsid w:val="006223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341593">
      <w:bodyDiv w:val="1"/>
      <w:marLeft w:val="0"/>
      <w:marRight w:val="0"/>
      <w:marTop w:val="0"/>
      <w:marBottom w:val="0"/>
      <w:divBdr>
        <w:top w:val="none" w:sz="0" w:space="0" w:color="auto"/>
        <w:left w:val="none" w:sz="0" w:space="0" w:color="auto"/>
        <w:bottom w:val="none" w:sz="0" w:space="0" w:color="auto"/>
        <w:right w:val="none" w:sz="0" w:space="0" w:color="auto"/>
      </w:divBdr>
    </w:div>
    <w:div w:id="312954994">
      <w:bodyDiv w:val="1"/>
      <w:marLeft w:val="0"/>
      <w:marRight w:val="0"/>
      <w:marTop w:val="0"/>
      <w:marBottom w:val="0"/>
      <w:divBdr>
        <w:top w:val="none" w:sz="0" w:space="0" w:color="auto"/>
        <w:left w:val="none" w:sz="0" w:space="0" w:color="auto"/>
        <w:bottom w:val="none" w:sz="0" w:space="0" w:color="auto"/>
        <w:right w:val="none" w:sz="0" w:space="0" w:color="auto"/>
      </w:divBdr>
    </w:div>
    <w:div w:id="419521586">
      <w:bodyDiv w:val="1"/>
      <w:marLeft w:val="0"/>
      <w:marRight w:val="0"/>
      <w:marTop w:val="0"/>
      <w:marBottom w:val="0"/>
      <w:divBdr>
        <w:top w:val="none" w:sz="0" w:space="0" w:color="auto"/>
        <w:left w:val="none" w:sz="0" w:space="0" w:color="auto"/>
        <w:bottom w:val="none" w:sz="0" w:space="0" w:color="auto"/>
        <w:right w:val="none" w:sz="0" w:space="0" w:color="auto"/>
      </w:divBdr>
    </w:div>
    <w:div w:id="1115488994">
      <w:bodyDiv w:val="1"/>
      <w:marLeft w:val="0"/>
      <w:marRight w:val="0"/>
      <w:marTop w:val="0"/>
      <w:marBottom w:val="0"/>
      <w:divBdr>
        <w:top w:val="none" w:sz="0" w:space="0" w:color="auto"/>
        <w:left w:val="none" w:sz="0" w:space="0" w:color="auto"/>
        <w:bottom w:val="none" w:sz="0" w:space="0" w:color="auto"/>
        <w:right w:val="none" w:sz="0" w:space="0" w:color="auto"/>
      </w:divBdr>
    </w:div>
    <w:div w:id="1306814871">
      <w:bodyDiv w:val="1"/>
      <w:marLeft w:val="0"/>
      <w:marRight w:val="0"/>
      <w:marTop w:val="0"/>
      <w:marBottom w:val="0"/>
      <w:divBdr>
        <w:top w:val="none" w:sz="0" w:space="0" w:color="auto"/>
        <w:left w:val="none" w:sz="0" w:space="0" w:color="auto"/>
        <w:bottom w:val="none" w:sz="0" w:space="0" w:color="auto"/>
        <w:right w:val="none" w:sz="0" w:space="0" w:color="auto"/>
      </w:divBdr>
    </w:div>
    <w:div w:id="1355841088">
      <w:bodyDiv w:val="1"/>
      <w:marLeft w:val="0"/>
      <w:marRight w:val="0"/>
      <w:marTop w:val="0"/>
      <w:marBottom w:val="0"/>
      <w:divBdr>
        <w:top w:val="none" w:sz="0" w:space="0" w:color="auto"/>
        <w:left w:val="none" w:sz="0" w:space="0" w:color="auto"/>
        <w:bottom w:val="none" w:sz="0" w:space="0" w:color="auto"/>
        <w:right w:val="none" w:sz="0" w:space="0" w:color="auto"/>
      </w:divBdr>
      <w:divsChild>
        <w:div w:id="544607963">
          <w:marLeft w:val="360"/>
          <w:marRight w:val="0"/>
          <w:marTop w:val="200"/>
          <w:marBottom w:val="0"/>
          <w:divBdr>
            <w:top w:val="none" w:sz="0" w:space="0" w:color="auto"/>
            <w:left w:val="none" w:sz="0" w:space="0" w:color="auto"/>
            <w:bottom w:val="none" w:sz="0" w:space="0" w:color="auto"/>
            <w:right w:val="none" w:sz="0" w:space="0" w:color="auto"/>
          </w:divBdr>
        </w:div>
        <w:div w:id="1318417548">
          <w:marLeft w:val="1080"/>
          <w:marRight w:val="0"/>
          <w:marTop w:val="100"/>
          <w:marBottom w:val="0"/>
          <w:divBdr>
            <w:top w:val="none" w:sz="0" w:space="0" w:color="auto"/>
            <w:left w:val="none" w:sz="0" w:space="0" w:color="auto"/>
            <w:bottom w:val="none" w:sz="0" w:space="0" w:color="auto"/>
            <w:right w:val="none" w:sz="0" w:space="0" w:color="auto"/>
          </w:divBdr>
        </w:div>
        <w:div w:id="9062991">
          <w:marLeft w:val="1080"/>
          <w:marRight w:val="0"/>
          <w:marTop w:val="100"/>
          <w:marBottom w:val="0"/>
          <w:divBdr>
            <w:top w:val="none" w:sz="0" w:space="0" w:color="auto"/>
            <w:left w:val="none" w:sz="0" w:space="0" w:color="auto"/>
            <w:bottom w:val="none" w:sz="0" w:space="0" w:color="auto"/>
            <w:right w:val="none" w:sz="0" w:space="0" w:color="auto"/>
          </w:divBdr>
        </w:div>
      </w:divsChild>
    </w:div>
    <w:div w:id="1398088873">
      <w:bodyDiv w:val="1"/>
      <w:marLeft w:val="0"/>
      <w:marRight w:val="0"/>
      <w:marTop w:val="0"/>
      <w:marBottom w:val="0"/>
      <w:divBdr>
        <w:top w:val="none" w:sz="0" w:space="0" w:color="auto"/>
        <w:left w:val="none" w:sz="0" w:space="0" w:color="auto"/>
        <w:bottom w:val="none" w:sz="0" w:space="0" w:color="auto"/>
        <w:right w:val="none" w:sz="0" w:space="0" w:color="auto"/>
      </w:divBdr>
    </w:div>
    <w:div w:id="1416439060">
      <w:bodyDiv w:val="1"/>
      <w:marLeft w:val="0"/>
      <w:marRight w:val="0"/>
      <w:marTop w:val="0"/>
      <w:marBottom w:val="0"/>
      <w:divBdr>
        <w:top w:val="none" w:sz="0" w:space="0" w:color="auto"/>
        <w:left w:val="none" w:sz="0" w:space="0" w:color="auto"/>
        <w:bottom w:val="none" w:sz="0" w:space="0" w:color="auto"/>
        <w:right w:val="none" w:sz="0" w:space="0" w:color="auto"/>
      </w:divBdr>
    </w:div>
    <w:div w:id="15927359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9468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ouard.francois@technicolor.com" TargetMode="External"/><Relationship Id="rId18" Type="http://schemas.openxmlformats.org/officeDocument/2006/relationships/hyperlink" Target="http://phenix.int-evry.fr/jvet/doc_end_user/current_document.php?id=391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phenix.int-evry.fr/jvet/doc_end_user/current_document.php?id=3812" TargetMode="External"/><Relationship Id="rId17" Type="http://schemas.openxmlformats.org/officeDocument/2006/relationships/hyperlink" Target="mailto:pyin@dolby.com" TargetMode="External"/><Relationship Id="rId2" Type="http://schemas.openxmlformats.org/officeDocument/2006/relationships/numbering" Target="numbering.xml"/><Relationship Id="rId16" Type="http://schemas.openxmlformats.org/officeDocument/2006/relationships/hyperlink" Target="mailto:tlu@dolby.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nt-evry.fr/jvet/doc_end_user/documents/11_Ljubljana/wg11/JVET-K0032-v2.zip" TargetMode="External"/><Relationship Id="rId5" Type="http://schemas.openxmlformats.org/officeDocument/2006/relationships/webSettings" Target="webSettings.xml"/><Relationship Id="rId15" Type="http://schemas.openxmlformats.org/officeDocument/2006/relationships/hyperlink" Target="http://phenix.int-evry.fr/jvet/doc_end_user/current_document.php?id=3822" TargetMode="External"/><Relationship Id="rId10" Type="http://schemas.openxmlformats.org/officeDocument/2006/relationships/hyperlink" Target="mailto:edouard.francois@technicolor.com" TargetMode="External"/><Relationship Id="rId19" Type="http://schemas.openxmlformats.org/officeDocument/2006/relationships/hyperlink" Target="mailto:misrak@sharplabs.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dmytror@qti.qualcomm.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19E00-045B-4871-8763-EF09ACD44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5</Pages>
  <Words>1747</Words>
  <Characters>9959</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11683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Francois Edouard</cp:lastModifiedBy>
  <cp:revision>56</cp:revision>
  <cp:lastPrinted>1900-01-01T08:00:00Z</cp:lastPrinted>
  <dcterms:created xsi:type="dcterms:W3CDTF">2018-07-14T19:46:00Z</dcterms:created>
  <dcterms:modified xsi:type="dcterms:W3CDTF">2018-07-15T10:53:00Z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60775ba4-0fcb-4642-9114-6ee1307eec71</vt:lpwstr>
  </property>
  <property fmtid="{D5CDD505-2E9C-101B-9397-08002B2CF9AE}" pid="3" name="CTP_TimeStamp">
    <vt:lpwstr>2018-07-13 21:12:25Z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