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DB6A9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17D1D0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02A73">
              <w:rPr>
                <w:lang w:val="en-CA"/>
              </w:rPr>
              <w:t>345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41A649" w:rsidR="00E61DAC" w:rsidRPr="005B217D" w:rsidRDefault="00DC75AB" w:rsidP="009D7CE6">
            <w:pPr>
              <w:spacing w:before="60" w:after="60"/>
              <w:rPr>
                <w:b/>
                <w:szCs w:val="22"/>
                <w:lang w:val="en-CA"/>
              </w:rPr>
            </w:pPr>
            <w:r>
              <w:rPr>
                <w:b/>
                <w:szCs w:val="22"/>
                <w:lang w:val="en-CA"/>
              </w:rPr>
              <w:t>CE10.2.2</w:t>
            </w:r>
            <w:r w:rsidR="009943ED">
              <w:rPr>
                <w:b/>
                <w:szCs w:val="22"/>
                <w:lang w:val="en-CA"/>
              </w:rPr>
              <w:t xml:space="preserve">: </w:t>
            </w:r>
            <w:r>
              <w:rPr>
                <w:b/>
                <w:szCs w:val="22"/>
                <w:lang w:val="en-CA"/>
              </w:rPr>
              <w:t>Complexity reduction for over-lapped block motion compensation (OBMC)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bookmarkStart w:id="0" w:name="_GoBack"/>
            <w:bookmarkEnd w:id="0"/>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DB6A96"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393FC" w14:textId="0C4B2222" w:rsidR="007C74FC" w:rsidRDefault="0068741C" w:rsidP="007C74FC">
      <w:pPr>
        <w:rPr>
          <w:lang w:val="en-CA"/>
        </w:rPr>
      </w:pPr>
      <w:r>
        <w:rPr>
          <w:lang w:val="en-CA"/>
        </w:rPr>
        <w:t xml:space="preserve">This </w:t>
      </w:r>
      <w:r w:rsidR="0067658F">
        <w:rPr>
          <w:lang w:val="en-CA"/>
        </w:rPr>
        <w:t>document</w:t>
      </w:r>
      <w:r>
        <w:rPr>
          <w:lang w:val="en-CA"/>
        </w:rPr>
        <w:t xml:space="preserve"> reports the results of Core Experiment (CE) </w:t>
      </w:r>
      <w:r w:rsidR="00DC75AB">
        <w:rPr>
          <w:lang w:val="en-CA"/>
        </w:rPr>
        <w:t>10.2.2</w:t>
      </w:r>
      <w:r w:rsidR="003332C8">
        <w:rPr>
          <w:lang w:val="en-CA"/>
        </w:rPr>
        <w:t xml:space="preserve"> on s</w:t>
      </w:r>
      <w:r w:rsidR="00DC75AB">
        <w:rPr>
          <w:lang w:val="en-CA"/>
        </w:rPr>
        <w:t>implifications on overlapped block motion compensation (OBMC)</w:t>
      </w:r>
      <w:r w:rsidR="003332C8">
        <w:rPr>
          <w:lang w:val="en-CA"/>
        </w:rPr>
        <w:t xml:space="preserve">. </w:t>
      </w:r>
      <w:r w:rsidR="00DC75AB">
        <w:rPr>
          <w:lang w:val="en-CA"/>
        </w:rPr>
        <w:t xml:space="preserve">In this CE test, the OBMC design in the joint exploration model (JEM)-7.0 is used as the base. Additionally, two simplifications are proposed to reduce its complexity: 1) </w:t>
      </w:r>
      <w:r w:rsidR="00DC75AB">
        <w:t>block grouping is applied in order toto reduce the number of motion compensations invoked during the OBMC; 2)</w:t>
      </w:r>
      <w:r w:rsidR="00DC75AB" w:rsidRPr="00DC75AB">
        <w:t xml:space="preserve"> </w:t>
      </w:r>
      <w:r w:rsidR="00DC75AB">
        <w:t xml:space="preserve">skip some motion compensation steps in the OBMC based on the difference between the MVs of the current block and those of its spatial neighbor. </w:t>
      </w:r>
      <w:r w:rsidR="00156221">
        <w:rPr>
          <w:lang w:val="en-CA"/>
        </w:rPr>
        <w:t xml:space="preserve">Compared to VTM-1.0, with the combination of </w:t>
      </w:r>
      <w:r w:rsidR="002C4151">
        <w:rPr>
          <w:lang w:val="en-CA"/>
        </w:rPr>
        <w:t xml:space="preserve">all </w:t>
      </w:r>
      <w:r w:rsidR="00156221">
        <w:rPr>
          <w:lang w:val="en-CA"/>
        </w:rPr>
        <w:t>the proposed simplifications, the average {Y, U, V} BD-rate savings are</w:t>
      </w:r>
      <w:r w:rsidR="007C74FC">
        <w:rPr>
          <w:lang w:val="en-CA"/>
        </w:rPr>
        <w:t xml:space="preserve"> {</w:t>
      </w:r>
      <w:r w:rsidR="00DC75AB">
        <w:rPr>
          <w:lang w:val="en-CA"/>
        </w:rPr>
        <w:t>0.96%, 1.91%, 1.98%}</w:t>
      </w:r>
      <w:r w:rsidR="007C74FC">
        <w:rPr>
          <w:lang w:val="en-CA"/>
        </w:rPr>
        <w:t xml:space="preserve"> for RA and {</w:t>
      </w:r>
      <w:r w:rsidR="00DC75AB">
        <w:rPr>
          <w:lang w:val="en-CA"/>
        </w:rPr>
        <w:t>1.37%, 1.80%, 1.90%</w:t>
      </w:r>
      <w:r w:rsidR="007C74FC">
        <w:rPr>
          <w:lang w:val="en-CA"/>
        </w:rPr>
        <w:t>} for LD, respectively. The average encoding and decoding time are 10</w:t>
      </w:r>
      <w:r w:rsidR="00DC75AB">
        <w:rPr>
          <w:lang w:val="en-CA"/>
        </w:rPr>
        <w:t>7</w:t>
      </w:r>
      <w:r w:rsidR="007C74FC">
        <w:rPr>
          <w:lang w:val="en-CA"/>
        </w:rPr>
        <w:t>% and 1</w:t>
      </w:r>
      <w:r w:rsidR="00DC75AB">
        <w:rPr>
          <w:lang w:val="en-CA"/>
        </w:rPr>
        <w:t>11</w:t>
      </w:r>
      <w:r w:rsidR="007C74FC">
        <w:rPr>
          <w:lang w:val="en-CA"/>
        </w:rPr>
        <w:t>% for RA, and 1</w:t>
      </w:r>
      <w:r w:rsidR="00DC75AB">
        <w:rPr>
          <w:lang w:val="en-CA"/>
        </w:rPr>
        <w:t>10</w:t>
      </w:r>
      <w:r w:rsidR="007C74FC">
        <w:rPr>
          <w:lang w:val="en-CA"/>
        </w:rPr>
        <w:t>% and 1</w:t>
      </w:r>
      <w:r w:rsidR="00DC75AB">
        <w:rPr>
          <w:lang w:val="en-CA"/>
        </w:rPr>
        <w:t>12</w:t>
      </w:r>
      <w:r w:rsidR="007C74FC">
        <w:rPr>
          <w:lang w:val="en-CA"/>
        </w:rPr>
        <w:t>% for LD.</w:t>
      </w:r>
    </w:p>
    <w:p w14:paraId="7D2AC1F0" w14:textId="25CC06F4" w:rsidR="00745F6B" w:rsidRPr="005B217D" w:rsidRDefault="00745F6B" w:rsidP="007C74F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3D12E659" w14:textId="2CF6753F" w:rsidR="003758D5" w:rsidRDefault="008F0484" w:rsidP="003758D5">
      <w:r>
        <w:rPr>
          <w:lang w:val="en-CA"/>
        </w:rPr>
        <w:t xml:space="preserve">Overlapped block motion compensation (OBMC) is one coding tool in joint exploration model (JEM)-7.0 </w:t>
      </w:r>
      <w:r>
        <w:rPr>
          <w:lang w:val="en-CA"/>
        </w:rPr>
        <w:fldChar w:fldCharType="begin"/>
      </w:r>
      <w:r>
        <w:rPr>
          <w:lang w:val="en-CA"/>
        </w:rPr>
        <w:instrText xml:space="preserve"> REF _Ref518314073 \r \h </w:instrText>
      </w:r>
      <w:r>
        <w:rPr>
          <w:lang w:val="en-CA"/>
        </w:rPr>
      </w:r>
      <w:r>
        <w:rPr>
          <w:lang w:val="en-CA"/>
        </w:rPr>
        <w:fldChar w:fldCharType="separate"/>
      </w:r>
      <w:r>
        <w:rPr>
          <w:lang w:val="en-CA"/>
        </w:rPr>
        <w:t>[1]</w:t>
      </w:r>
      <w:r>
        <w:rPr>
          <w:lang w:val="en-CA"/>
        </w:rPr>
        <w:fldChar w:fldCharType="end"/>
      </w:r>
      <w:r>
        <w:rPr>
          <w:lang w:val="en-CA"/>
        </w:rPr>
        <w:t>, which reduce the blocking artifacts at the motion compensation stage by combining multiple prediction signals</w:t>
      </w:r>
      <w:r w:rsidR="00D609E8">
        <w:rPr>
          <w:lang w:val="en-CA"/>
        </w:rPr>
        <w:t xml:space="preserve"> using the motion vectors (MVs) of spatial neighboring blocks of the current coding unit (CU).</w:t>
      </w:r>
      <w:r w:rsidR="003758D5">
        <w:rPr>
          <w:lang w:val="en-CA"/>
        </w:rPr>
        <w:t xml:space="preserve"> </w:t>
      </w:r>
      <w:r w:rsidR="003758D5">
        <w:rPr>
          <w:lang w:eastAsia="ko-KR"/>
        </w:rPr>
        <w:t xml:space="preserve">Although it can improve the coding efficiency, the OBMC also introduces complexity increase to both encoder and decoder </w:t>
      </w:r>
      <w:r w:rsidR="003758D5">
        <w:rPr>
          <w:lang w:val="en-CA"/>
        </w:rPr>
        <w:fldChar w:fldCharType="begin"/>
      </w:r>
      <w:r w:rsidR="003758D5">
        <w:rPr>
          <w:lang w:val="en-CA"/>
        </w:rPr>
        <w:instrText xml:space="preserve"> REF _Ref518314073 \r \h </w:instrText>
      </w:r>
      <w:r w:rsidR="003758D5">
        <w:rPr>
          <w:lang w:val="en-CA"/>
        </w:rPr>
      </w:r>
      <w:r w:rsidR="003758D5">
        <w:rPr>
          <w:lang w:val="en-CA"/>
        </w:rPr>
        <w:fldChar w:fldCharType="separate"/>
      </w:r>
      <w:r w:rsidR="003758D5">
        <w:rPr>
          <w:lang w:val="en-CA"/>
        </w:rPr>
        <w:t>[1]</w:t>
      </w:r>
      <w:r w:rsidR="003758D5">
        <w:rPr>
          <w:lang w:val="en-CA"/>
        </w:rPr>
        <w:fldChar w:fldCharType="end"/>
      </w:r>
      <w:r w:rsidR="003758D5">
        <w:rPr>
          <w:lang w:eastAsia="ko-KR"/>
        </w:rPr>
        <w:t xml:space="preserve">. </w:t>
      </w:r>
      <w:r w:rsidR="003758D5">
        <w:t xml:space="preserve">To reduce the OBMC complexity, two simplifications are proposed in </w:t>
      </w:r>
      <w:r w:rsidR="003758D5">
        <w:fldChar w:fldCharType="begin"/>
      </w:r>
      <w:r w:rsidR="003758D5">
        <w:instrText xml:space="preserve"> REF _Ref518294263 \r \h </w:instrText>
      </w:r>
      <w:r w:rsidR="003758D5">
        <w:fldChar w:fldCharType="separate"/>
      </w:r>
      <w:r w:rsidR="003758D5">
        <w:t>[2]</w:t>
      </w:r>
      <w:r w:rsidR="003758D5">
        <w:fldChar w:fldCharType="end"/>
      </w:r>
      <w:r w:rsidR="003758D5">
        <w:t>, which includes:</w:t>
      </w:r>
    </w:p>
    <w:p w14:paraId="7422258B" w14:textId="77777777" w:rsidR="003758D5" w:rsidRPr="003758D5" w:rsidRDefault="003758D5" w:rsidP="003758D5">
      <w:pPr>
        <w:numPr>
          <w:ilvl w:val="0"/>
          <w:numId w:val="13"/>
        </w:numPr>
        <w:rPr>
          <w:szCs w:val="22"/>
        </w:rPr>
      </w:pPr>
      <w:r w:rsidRPr="003758D5">
        <w:rPr>
          <w:szCs w:val="22"/>
        </w:rPr>
        <w:t>Block grouping is applied in order toto reduce the number of motion compensations invoked during the OBMC.</w:t>
      </w:r>
    </w:p>
    <w:p w14:paraId="5D073463" w14:textId="77777777" w:rsidR="003758D5" w:rsidRPr="003758D5" w:rsidRDefault="003758D5" w:rsidP="003758D5">
      <w:pPr>
        <w:numPr>
          <w:ilvl w:val="0"/>
          <w:numId w:val="13"/>
        </w:numPr>
        <w:rPr>
          <w:szCs w:val="22"/>
        </w:rPr>
      </w:pPr>
      <w:r w:rsidRPr="003758D5">
        <w:rPr>
          <w:szCs w:val="22"/>
        </w:rPr>
        <w:t>Skip some motion compensation steps in the OBMC based on the difference between the MVs of the current block and those of its spatial neighbor.</w:t>
      </w:r>
    </w:p>
    <w:p w14:paraId="46353687" w14:textId="36A7F975" w:rsidR="00C41E02" w:rsidRDefault="003758D5" w:rsidP="00DD4D2A">
      <w:pPr>
        <w:rPr>
          <w:szCs w:val="22"/>
          <w:lang w:val="en-CA"/>
        </w:rPr>
      </w:pPr>
      <w:r>
        <w:t xml:space="preserve">The methods were included in Core Experiment (CE) 10 as test 2.2 for further evaluation </w:t>
      </w:r>
      <w:r>
        <w:fldChar w:fldCharType="begin"/>
      </w:r>
      <w:r>
        <w:instrText xml:space="preserve"> REF _Ref518297034 \r \h </w:instrText>
      </w:r>
      <w:r>
        <w:fldChar w:fldCharType="separate"/>
      </w:r>
      <w:r>
        <w:t>[3]</w:t>
      </w:r>
      <w:r>
        <w:fldChar w:fldCharType="end"/>
      </w:r>
      <w:r>
        <w:t>. This document reports the simulation results of the CE test</w:t>
      </w:r>
    </w:p>
    <w:p w14:paraId="6519BBB1" w14:textId="77777777" w:rsidR="00DD4D2A" w:rsidRPr="000904B3" w:rsidRDefault="00DD4D2A" w:rsidP="00DD4D2A">
      <w:pPr>
        <w:rPr>
          <w:szCs w:val="22"/>
          <w:lang w:val="en-CA"/>
        </w:rPr>
      </w:pPr>
    </w:p>
    <w:p w14:paraId="33204F31" w14:textId="3CB98342" w:rsidR="00640FA0" w:rsidRPr="006F54C4" w:rsidRDefault="0067658F" w:rsidP="00640FA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Technical description</w:t>
      </w:r>
    </w:p>
    <w:p w14:paraId="4849E772" w14:textId="77777777" w:rsidR="00DD4D2A" w:rsidRPr="00DD4D2A" w:rsidRDefault="00DD4D2A" w:rsidP="00DD4D2A">
      <w:pPr>
        <w:pStyle w:val="Heading2"/>
        <w:ind w:left="720" w:hanging="720"/>
        <w:rPr>
          <w:lang w:val="en-CA"/>
        </w:rPr>
      </w:pPr>
      <w:r w:rsidRPr="00DD4D2A">
        <w:rPr>
          <w:lang w:val="en-CA"/>
        </w:rPr>
        <w:t xml:space="preserve">Block grouping in OBMC </w:t>
      </w:r>
    </w:p>
    <w:p w14:paraId="0EEE4E5D" w14:textId="5B71D345" w:rsidR="00DD4D2A" w:rsidRDefault="00DD4D2A" w:rsidP="00DD4D2A">
      <w:r>
        <w:t xml:space="preserve">Different from the OBMC in JEM-7.0 where the OBMC is applied to the 4×4 sub-blocks inside a CU in the raster scan order, the OBMC process in this response is performed in two steps. In the first step, referred to as “boundary OBMC,” the samples on the top/left boundaries of the current CU are adjusted using the MVs from its spatial neighboring CUs. If the CU is not coded in sub-block mode, the OBMC process ends after the first step. Otherwise (if the CU is coded in sub-block mode), the second step, referred as “internal OBMC,” is performed. In the second step, the samples on the top, left, bottom and right boundaries of each sub-block, except the samples on the CU boundaries that have already been adjusted in the first step, are adjusted using the MVs of its neighboring sub-blocks in the same CU. Note that due to the modified OBMC process, the order in which the boundary samples of the current CU are adjusted during the OBMC process is different from that in the JEM-7.0. Assuming the current CU is in the size of 16×4, </w:t>
      </w:r>
      <w:r>
        <w:fldChar w:fldCharType="begin"/>
      </w:r>
      <w:r>
        <w:instrText xml:space="preserve"> REF _Ref508371920 \h  \* MERGEFORMAT </w:instrText>
      </w:r>
      <w:r>
        <w:fldChar w:fldCharType="separate"/>
      </w:r>
      <w:r w:rsidRPr="00DD4D2A">
        <w:rPr>
          <w:color w:val="000000"/>
          <w:szCs w:val="22"/>
        </w:rPr>
        <w:t xml:space="preserve">Figure </w:t>
      </w:r>
      <w:r w:rsidRPr="00DD4D2A">
        <w:rPr>
          <w:noProof/>
          <w:color w:val="000000"/>
          <w:szCs w:val="22"/>
        </w:rPr>
        <w:t>1</w:t>
      </w:r>
      <w:r>
        <w:fldChar w:fldCharType="end"/>
      </w:r>
      <w:r>
        <w:t xml:space="preserve"> compares the OBMC process in JEM-7.0 and the proposed OBMC process, where the numbers specify the order in which the boundary samples within the CU are processed. As shown in </w:t>
      </w:r>
      <w:r>
        <w:fldChar w:fldCharType="begin"/>
      </w:r>
      <w:r>
        <w:instrText xml:space="preserve"> REF _Ref508371920 \h  \* MERGEFORMAT </w:instrText>
      </w:r>
      <w:r>
        <w:fldChar w:fldCharType="separate"/>
      </w:r>
      <w:r w:rsidRPr="00DD4D2A">
        <w:rPr>
          <w:color w:val="000000"/>
          <w:szCs w:val="22"/>
        </w:rPr>
        <w:t xml:space="preserve">Figure </w:t>
      </w:r>
      <w:r w:rsidRPr="00DD4D2A">
        <w:rPr>
          <w:noProof/>
          <w:color w:val="000000"/>
          <w:szCs w:val="22"/>
        </w:rPr>
        <w:t>1</w:t>
      </w:r>
      <w:r>
        <w:fldChar w:fldCharType="end"/>
      </w:r>
      <w:r>
        <w:t>, the OBMC using the MVs of the four neighboring sub-blocks on top of the current CU are grouped into the boundary OBMC process, i.e., OBMC #0, #3, #6 and #9 in JEM-7.0 now become OBMC #0, #1, #2 and #3 in the proposed process. Given that some of those sub-blocks may belong to the same neighboring CU, their MVs are more likely to be identical, in which case the OBMC using those MVs can be combined to one single MC with a larger block size for reducing the complexity.  Based on such consideration, block grouping is applied to reduce the number of motion compensations invoked during the proposed OBMC process. Unlike the JEM-7.0 where the OBMC is always performed on 4×4 units, variable sub-block sizes are used in the proposed method. Specifically, for the boundary OBMC process, the adjacent 4×4 neighboring blocks that are located along the same CU boundary (i.e., either top or left) and have the same motion are grouped into one block group; for each block group, only one single MC is performed. For the internal OBMC process, it is proposed to align the sub-block size with that used for the sub-block-level motion derivation</w:t>
      </w:r>
      <w:r w:rsidR="001C3FD2">
        <w:t>.</w:t>
      </w:r>
      <w:r>
        <w:t xml:space="preserve"> </w:t>
      </w:r>
      <w:r>
        <w:fldChar w:fldCharType="begin"/>
      </w:r>
      <w:r>
        <w:instrText xml:space="preserve"> REF _Ref507496553 \h  \* MERGEFORMAT </w:instrText>
      </w:r>
      <w:r>
        <w:fldChar w:fldCharType="separate"/>
      </w:r>
      <w:r w:rsidRPr="00DD4D2A">
        <w:t>Figure 2</w:t>
      </w:r>
      <w:r>
        <w:fldChar w:fldCharType="end"/>
      </w:r>
      <w:r>
        <w:t xml:space="preserve"> illustrates the proposed OBMC process where the bold arrows and the patterned areas indicate the used MVs and the sample areas that are adjusted at each step.</w:t>
      </w:r>
    </w:p>
    <w:p w14:paraId="6740F517" w14:textId="7EDD6595" w:rsidR="00DD4D2A" w:rsidRDefault="00802A73" w:rsidP="00DD4D2A">
      <w:r>
        <w:rPr>
          <w:noProof/>
        </w:rPr>
        <w:pict w14:anchorId="27DDB109">
          <v:shape id="Picture 33" o:spid="_x0000_i1025" type="#_x0000_t75" style="width:468pt;height:93pt;visibility:visible;mso-wrap-style:square">
            <v:imagedata r:id="rId12" o:title=""/>
          </v:shape>
        </w:pict>
      </w:r>
    </w:p>
    <w:p w14:paraId="42076C37" w14:textId="02E50B10" w:rsidR="00DD4D2A" w:rsidRDefault="00DD4D2A" w:rsidP="00DD4D2A">
      <w:pPr>
        <w:pStyle w:val="Caption"/>
        <w:jc w:val="center"/>
        <w:rPr>
          <w:i/>
          <w:sz w:val="22"/>
          <w:szCs w:val="22"/>
        </w:rPr>
      </w:pPr>
      <w:bookmarkStart w:id="1" w:name="_Ref508371920"/>
      <w:r w:rsidRPr="00DD4D2A">
        <w:rPr>
          <w:i/>
          <w:color w:val="000000"/>
          <w:sz w:val="22"/>
          <w:szCs w:val="22"/>
        </w:rPr>
        <w:t xml:space="preserve">Figure </w:t>
      </w:r>
      <w:r w:rsidRPr="00DD4D2A">
        <w:rPr>
          <w:i/>
          <w:color w:val="000000"/>
          <w:sz w:val="22"/>
          <w:szCs w:val="22"/>
        </w:rPr>
        <w:fldChar w:fldCharType="begin"/>
      </w:r>
      <w:r w:rsidRPr="00DD4D2A">
        <w:rPr>
          <w:i/>
          <w:color w:val="000000"/>
          <w:sz w:val="22"/>
          <w:szCs w:val="22"/>
        </w:rPr>
        <w:instrText xml:space="preserve"> SEQ Figure \* ARABIC </w:instrText>
      </w:r>
      <w:r w:rsidRPr="00DD4D2A">
        <w:rPr>
          <w:i/>
          <w:color w:val="000000"/>
          <w:sz w:val="22"/>
          <w:szCs w:val="22"/>
        </w:rPr>
        <w:fldChar w:fldCharType="separate"/>
      </w:r>
      <w:r>
        <w:rPr>
          <w:i/>
          <w:noProof/>
          <w:color w:val="000000"/>
          <w:sz w:val="22"/>
          <w:szCs w:val="22"/>
        </w:rPr>
        <w:t>1</w:t>
      </w:r>
      <w:r w:rsidRPr="00DD4D2A">
        <w:rPr>
          <w:i/>
          <w:color w:val="000000"/>
          <w:sz w:val="22"/>
          <w:szCs w:val="22"/>
        </w:rPr>
        <w:fldChar w:fldCharType="end"/>
      </w:r>
      <w:bookmarkEnd w:id="1"/>
      <w:r w:rsidRPr="00DD4D2A">
        <w:rPr>
          <w:i/>
          <w:color w:val="000000"/>
          <w:sz w:val="22"/>
          <w:szCs w:val="22"/>
        </w:rPr>
        <w:t>.</w:t>
      </w:r>
      <w:r>
        <w:rPr>
          <w:i/>
          <w:sz w:val="22"/>
          <w:szCs w:val="22"/>
        </w:rPr>
        <w:t xml:space="preserve"> </w:t>
      </w:r>
      <w:r w:rsidRPr="004C3BF7">
        <w:rPr>
          <w:i/>
          <w:sz w:val="22"/>
          <w:szCs w:val="22"/>
        </w:rPr>
        <w:t>The order of adjusting boundary samples during the OBMC process in JEM-7.0 (left) and the proposed OBMC process (right).</w:t>
      </w:r>
    </w:p>
    <w:p w14:paraId="27E6190A" w14:textId="77777777" w:rsidR="00DD4D2A" w:rsidRPr="00DD4D2A" w:rsidRDefault="00DD4D2A" w:rsidP="00DD4D2A"/>
    <w:p w14:paraId="31CF534C" w14:textId="7DA6CE45" w:rsidR="00DD4D2A" w:rsidRDefault="00802A73" w:rsidP="00DD4D2A">
      <w:pPr>
        <w:jc w:val="center"/>
      </w:pPr>
      <w:r>
        <w:rPr>
          <w:noProof/>
        </w:rPr>
        <w:lastRenderedPageBreak/>
        <w:pict w14:anchorId="6139B377">
          <v:shape id="Picture 30" o:spid="_x0000_i1026" type="#_x0000_t75" style="width:468pt;height:175.5pt;visibility:visible;mso-wrap-style:square">
            <v:imagedata r:id="rId13" o:title=""/>
          </v:shape>
        </w:pict>
      </w:r>
    </w:p>
    <w:p w14:paraId="79BB51DD" w14:textId="2AB68E7F" w:rsidR="00DD4D2A" w:rsidRDefault="00DD4D2A" w:rsidP="00DD4D2A">
      <w:pPr>
        <w:pStyle w:val="Caption"/>
        <w:jc w:val="center"/>
        <w:rPr>
          <w:i/>
          <w:iCs/>
          <w:sz w:val="22"/>
          <w:szCs w:val="22"/>
        </w:rPr>
      </w:pPr>
      <w:bookmarkStart w:id="2" w:name="_Ref507496553"/>
      <w:r w:rsidRPr="00DD4D2A">
        <w:rPr>
          <w:i/>
          <w:color w:val="000000"/>
          <w:sz w:val="22"/>
          <w:szCs w:val="22"/>
        </w:rPr>
        <w:t xml:space="preserve">Figure </w:t>
      </w:r>
      <w:r w:rsidRPr="00DD4D2A">
        <w:rPr>
          <w:i/>
          <w:color w:val="000000"/>
          <w:sz w:val="22"/>
          <w:szCs w:val="22"/>
        </w:rPr>
        <w:fldChar w:fldCharType="begin"/>
      </w:r>
      <w:r w:rsidRPr="00DD4D2A">
        <w:rPr>
          <w:i/>
          <w:color w:val="000000"/>
          <w:sz w:val="22"/>
          <w:szCs w:val="22"/>
        </w:rPr>
        <w:instrText xml:space="preserve"> SEQ Figure \* ARABIC </w:instrText>
      </w:r>
      <w:r w:rsidRPr="00DD4D2A">
        <w:rPr>
          <w:i/>
          <w:color w:val="000000"/>
          <w:sz w:val="22"/>
          <w:szCs w:val="22"/>
        </w:rPr>
        <w:fldChar w:fldCharType="separate"/>
      </w:r>
      <w:r>
        <w:rPr>
          <w:i/>
          <w:noProof/>
          <w:color w:val="000000"/>
          <w:sz w:val="22"/>
          <w:szCs w:val="22"/>
        </w:rPr>
        <w:t>2</w:t>
      </w:r>
      <w:r w:rsidRPr="00DD4D2A">
        <w:rPr>
          <w:i/>
          <w:color w:val="000000"/>
          <w:sz w:val="22"/>
          <w:szCs w:val="22"/>
        </w:rPr>
        <w:fldChar w:fldCharType="end"/>
      </w:r>
      <w:bookmarkEnd w:id="2"/>
      <w:r w:rsidRPr="00DD4D2A">
        <w:rPr>
          <w:i/>
          <w:color w:val="000000"/>
          <w:sz w:val="22"/>
          <w:szCs w:val="22"/>
        </w:rPr>
        <w:t>.</w:t>
      </w:r>
      <w:r>
        <w:rPr>
          <w:i/>
          <w:sz w:val="22"/>
          <w:szCs w:val="22"/>
        </w:rPr>
        <w:t xml:space="preserve"> </w:t>
      </w:r>
      <w:r>
        <w:rPr>
          <w:i/>
          <w:iCs/>
          <w:sz w:val="22"/>
          <w:szCs w:val="22"/>
        </w:rPr>
        <w:t>Illustration of the proposed OBMC process</w:t>
      </w:r>
    </w:p>
    <w:p w14:paraId="74E57455" w14:textId="77777777" w:rsidR="001C3FD2" w:rsidRPr="001C3FD2" w:rsidRDefault="001C3FD2" w:rsidP="001C3FD2">
      <w:pPr>
        <w:pStyle w:val="Heading2"/>
        <w:ind w:left="720" w:hanging="720"/>
        <w:rPr>
          <w:lang w:val="en-CA"/>
        </w:rPr>
      </w:pPr>
      <w:r w:rsidRPr="001C3FD2">
        <w:rPr>
          <w:lang w:val="en-CA"/>
        </w:rPr>
        <w:t>Conditional skipping of motion compensation during the OBMC</w:t>
      </w:r>
    </w:p>
    <w:p w14:paraId="1C343A52" w14:textId="3E979583" w:rsidR="00B556DC" w:rsidRDefault="00B556DC" w:rsidP="00B556DC">
      <w:r>
        <w:t>Some motion compensations are skipped during the OBMC process based on the motion similarity between one current block group and its neighboring block groups. Specifically, each time before motion compensation is invoked using the motion information from a given neighboring block group, the neighboring motion is compared to the current block’s motion based on the following three conditions:</w:t>
      </w:r>
    </w:p>
    <w:p w14:paraId="1AAE2020" w14:textId="77777777" w:rsidR="00B556DC" w:rsidRPr="00B556DC" w:rsidRDefault="00B556DC" w:rsidP="00B556DC">
      <w:pPr>
        <w:numPr>
          <w:ilvl w:val="0"/>
          <w:numId w:val="32"/>
        </w:numPr>
        <w:rPr>
          <w:szCs w:val="22"/>
        </w:rPr>
      </w:pPr>
      <w:r w:rsidRPr="00B556DC">
        <w:rPr>
          <w:szCs w:val="22"/>
        </w:rPr>
        <w:t xml:space="preserve">If the neighboring motion and the current motion are both predicted using uni-pred or both predicted using bi-pred; </w:t>
      </w:r>
    </w:p>
    <w:p w14:paraId="25133847" w14:textId="77777777" w:rsidR="00B556DC" w:rsidRPr="00B556DC" w:rsidRDefault="00B556DC" w:rsidP="00B556DC">
      <w:pPr>
        <w:numPr>
          <w:ilvl w:val="0"/>
          <w:numId w:val="32"/>
        </w:numPr>
        <w:rPr>
          <w:szCs w:val="22"/>
        </w:rPr>
      </w:pPr>
      <w:r w:rsidRPr="00B556DC">
        <w:rPr>
          <w:szCs w:val="22"/>
        </w:rPr>
        <w:t>If the same reference picture(s) are used by the neighboring motion and the current motion;</w:t>
      </w:r>
    </w:p>
    <w:p w14:paraId="6D62CEA9" w14:textId="77777777" w:rsidR="00B556DC" w:rsidRPr="00B556DC" w:rsidRDefault="00B556DC" w:rsidP="00B556DC">
      <w:pPr>
        <w:numPr>
          <w:ilvl w:val="0"/>
          <w:numId w:val="32"/>
        </w:numPr>
        <w:rPr>
          <w:szCs w:val="22"/>
        </w:rPr>
      </w:pPr>
      <w:r w:rsidRPr="00B556DC">
        <w:rPr>
          <w:szCs w:val="22"/>
        </w:rPr>
        <w:t>If MV difference between the neighboring motion and the current motion is no larger than 1/2-pel (both L0 and L1 MVs are checked if bi-pred is used).</w:t>
      </w:r>
    </w:p>
    <w:p w14:paraId="229670CF" w14:textId="029F258E" w:rsidR="001C3FD2" w:rsidRDefault="00B556DC" w:rsidP="00B556DC">
      <w:pPr>
        <w:rPr>
          <w:szCs w:val="22"/>
          <w:lang w:val="en-CA"/>
        </w:rPr>
      </w:pPr>
      <w:r>
        <w:t>If all the 3 conditions are met, then motion compensation is not performed (this is applicable to luma and chroma) using that given neighboring motion.</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2B832C8B" w14:textId="2692CC37" w:rsidR="001335EF" w:rsidRDefault="001335EF" w:rsidP="001335EF">
      <w:pPr>
        <w:spacing w:before="60"/>
        <w:rPr>
          <w:szCs w:val="22"/>
          <w:lang w:val="en-CA"/>
        </w:rPr>
      </w:pPr>
      <w:r>
        <w:rPr>
          <w:szCs w:val="22"/>
          <w:lang w:val="en-CA"/>
        </w:rPr>
        <w:t xml:space="preserve">The proposed method was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both VTM and BMS configurations. The test condition and evaluation criteria that are used in CE10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applied. Specifically, the proposed method is compared with two anchors: for the VTM test, the anchor is the BD-rate performance of VTM-1.0; for the BMS test, the anchor is the BD-rate performance of BMS-1.0.</w:t>
      </w:r>
    </w:p>
    <w:tbl>
      <w:tblPr>
        <w:tblW w:w="9467" w:type="dxa"/>
        <w:tblInd w:w="108" w:type="dxa"/>
        <w:tblLook w:val="04A0" w:firstRow="1" w:lastRow="0" w:firstColumn="1" w:lastColumn="0" w:noHBand="0" w:noVBand="1"/>
      </w:tblPr>
      <w:tblGrid>
        <w:gridCol w:w="1037"/>
        <w:gridCol w:w="887"/>
        <w:gridCol w:w="887"/>
        <w:gridCol w:w="887"/>
        <w:gridCol w:w="777"/>
        <w:gridCol w:w="777"/>
        <w:gridCol w:w="887"/>
        <w:gridCol w:w="887"/>
        <w:gridCol w:w="887"/>
        <w:gridCol w:w="777"/>
        <w:gridCol w:w="777"/>
      </w:tblGrid>
      <w:tr w:rsidR="001E461E" w:rsidRPr="001E461E" w14:paraId="5BCFFC5C" w14:textId="77777777" w:rsidTr="001E461E">
        <w:trPr>
          <w:trHeight w:val="255"/>
        </w:trPr>
        <w:tc>
          <w:tcPr>
            <w:tcW w:w="1037" w:type="dxa"/>
            <w:tcBorders>
              <w:top w:val="nil"/>
              <w:left w:val="nil"/>
              <w:bottom w:val="nil"/>
              <w:right w:val="nil"/>
            </w:tcBorders>
            <w:shd w:val="clear" w:color="auto" w:fill="auto"/>
            <w:noWrap/>
            <w:vAlign w:val="center"/>
            <w:hideMark/>
          </w:tcPr>
          <w:p w14:paraId="0218BAE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C814B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Random Access Main 10</w:t>
            </w:r>
          </w:p>
        </w:tc>
      </w:tr>
      <w:tr w:rsidR="001E461E" w:rsidRPr="001E461E" w14:paraId="1BABE5C6" w14:textId="77777777" w:rsidTr="001E461E">
        <w:trPr>
          <w:trHeight w:val="255"/>
        </w:trPr>
        <w:tc>
          <w:tcPr>
            <w:tcW w:w="1037" w:type="dxa"/>
            <w:tcBorders>
              <w:top w:val="nil"/>
              <w:left w:val="nil"/>
              <w:bottom w:val="nil"/>
              <w:right w:val="nil"/>
            </w:tcBorders>
            <w:shd w:val="clear" w:color="auto" w:fill="auto"/>
            <w:noWrap/>
            <w:vAlign w:val="center"/>
            <w:hideMark/>
          </w:tcPr>
          <w:p w14:paraId="55114F9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285B2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Over VTM-1.0</w:t>
            </w:r>
          </w:p>
        </w:tc>
        <w:tc>
          <w:tcPr>
            <w:tcW w:w="4215" w:type="dxa"/>
            <w:gridSpan w:val="5"/>
            <w:tcBorders>
              <w:top w:val="single" w:sz="8" w:space="0" w:color="auto"/>
              <w:left w:val="nil"/>
              <w:bottom w:val="nil"/>
              <w:right w:val="single" w:sz="8" w:space="0" w:color="000000"/>
            </w:tcBorders>
            <w:shd w:val="clear" w:color="auto" w:fill="auto"/>
            <w:noWrap/>
            <w:vAlign w:val="center"/>
            <w:hideMark/>
          </w:tcPr>
          <w:p w14:paraId="6B3CEF0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Over BMS-1.0</w:t>
            </w:r>
          </w:p>
        </w:tc>
      </w:tr>
      <w:tr w:rsidR="001E461E" w:rsidRPr="001E461E" w14:paraId="398A1716" w14:textId="77777777" w:rsidTr="001E461E">
        <w:trPr>
          <w:trHeight w:val="255"/>
        </w:trPr>
        <w:tc>
          <w:tcPr>
            <w:tcW w:w="1037" w:type="dxa"/>
            <w:tcBorders>
              <w:top w:val="nil"/>
              <w:left w:val="nil"/>
              <w:bottom w:val="nil"/>
              <w:right w:val="nil"/>
            </w:tcBorders>
            <w:shd w:val="clear" w:color="auto" w:fill="auto"/>
            <w:noWrap/>
            <w:vAlign w:val="center"/>
            <w:hideMark/>
          </w:tcPr>
          <w:p w14:paraId="2C9A8FC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408BB87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B31676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158CC0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069750A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75FDEE0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29A1A12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38B0B6A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6E5B075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35349D8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3E8CC5B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DecT</w:t>
            </w:r>
          </w:p>
        </w:tc>
      </w:tr>
      <w:tr w:rsidR="001E461E" w:rsidRPr="001E461E" w14:paraId="4938EE06" w14:textId="77777777" w:rsidTr="001E461E">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01A4686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1B462737"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-0.41%</w:t>
            </w:r>
          </w:p>
        </w:tc>
        <w:tc>
          <w:tcPr>
            <w:tcW w:w="887" w:type="dxa"/>
            <w:tcBorders>
              <w:top w:val="nil"/>
              <w:left w:val="nil"/>
              <w:bottom w:val="nil"/>
              <w:right w:val="nil"/>
            </w:tcBorders>
            <w:shd w:val="clear" w:color="auto" w:fill="auto"/>
            <w:noWrap/>
            <w:vAlign w:val="center"/>
            <w:hideMark/>
          </w:tcPr>
          <w:p w14:paraId="6D5B1CC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-1.62%</w:t>
            </w:r>
          </w:p>
        </w:tc>
        <w:tc>
          <w:tcPr>
            <w:tcW w:w="887" w:type="dxa"/>
            <w:tcBorders>
              <w:top w:val="nil"/>
              <w:left w:val="nil"/>
              <w:bottom w:val="nil"/>
              <w:right w:val="single" w:sz="4" w:space="0" w:color="auto"/>
            </w:tcBorders>
            <w:shd w:val="clear" w:color="auto" w:fill="auto"/>
            <w:noWrap/>
            <w:vAlign w:val="center"/>
            <w:hideMark/>
          </w:tcPr>
          <w:p w14:paraId="5B6B112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-1.84%</w:t>
            </w:r>
          </w:p>
        </w:tc>
        <w:tc>
          <w:tcPr>
            <w:tcW w:w="777" w:type="dxa"/>
            <w:tcBorders>
              <w:top w:val="nil"/>
              <w:left w:val="nil"/>
              <w:bottom w:val="nil"/>
              <w:right w:val="nil"/>
            </w:tcBorders>
            <w:shd w:val="clear" w:color="auto" w:fill="auto"/>
            <w:noWrap/>
            <w:vAlign w:val="center"/>
            <w:hideMark/>
          </w:tcPr>
          <w:p w14:paraId="357E297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104%</w:t>
            </w:r>
          </w:p>
        </w:tc>
        <w:tc>
          <w:tcPr>
            <w:tcW w:w="777" w:type="dxa"/>
            <w:tcBorders>
              <w:top w:val="nil"/>
              <w:left w:val="nil"/>
              <w:bottom w:val="nil"/>
              <w:right w:val="nil"/>
            </w:tcBorders>
            <w:shd w:val="clear" w:color="auto" w:fill="auto"/>
            <w:noWrap/>
            <w:vAlign w:val="center"/>
            <w:hideMark/>
          </w:tcPr>
          <w:p w14:paraId="440A60D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108%</w:t>
            </w:r>
          </w:p>
        </w:tc>
        <w:tc>
          <w:tcPr>
            <w:tcW w:w="887" w:type="dxa"/>
            <w:tcBorders>
              <w:top w:val="nil"/>
              <w:left w:val="single" w:sz="8" w:space="0" w:color="auto"/>
              <w:bottom w:val="nil"/>
              <w:right w:val="nil"/>
            </w:tcBorders>
            <w:shd w:val="clear" w:color="auto" w:fill="auto"/>
            <w:noWrap/>
            <w:vAlign w:val="center"/>
            <w:hideMark/>
          </w:tcPr>
          <w:p w14:paraId="5D3246C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-0.43%</w:t>
            </w:r>
          </w:p>
        </w:tc>
        <w:tc>
          <w:tcPr>
            <w:tcW w:w="887" w:type="dxa"/>
            <w:tcBorders>
              <w:top w:val="nil"/>
              <w:left w:val="nil"/>
              <w:bottom w:val="nil"/>
              <w:right w:val="nil"/>
            </w:tcBorders>
            <w:shd w:val="clear" w:color="auto" w:fill="auto"/>
            <w:noWrap/>
            <w:vAlign w:val="center"/>
            <w:hideMark/>
          </w:tcPr>
          <w:p w14:paraId="6CD1903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-1.03%</w:t>
            </w:r>
          </w:p>
        </w:tc>
        <w:tc>
          <w:tcPr>
            <w:tcW w:w="887" w:type="dxa"/>
            <w:tcBorders>
              <w:top w:val="nil"/>
              <w:left w:val="nil"/>
              <w:bottom w:val="nil"/>
              <w:right w:val="single" w:sz="4" w:space="0" w:color="auto"/>
            </w:tcBorders>
            <w:shd w:val="clear" w:color="auto" w:fill="auto"/>
            <w:noWrap/>
            <w:vAlign w:val="center"/>
            <w:hideMark/>
          </w:tcPr>
          <w:p w14:paraId="3E956A1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-1.19%</w:t>
            </w:r>
          </w:p>
        </w:tc>
        <w:tc>
          <w:tcPr>
            <w:tcW w:w="777" w:type="dxa"/>
            <w:tcBorders>
              <w:top w:val="nil"/>
              <w:left w:val="nil"/>
              <w:bottom w:val="nil"/>
              <w:right w:val="nil"/>
            </w:tcBorders>
            <w:shd w:val="clear" w:color="auto" w:fill="auto"/>
            <w:noWrap/>
            <w:vAlign w:val="center"/>
            <w:hideMark/>
          </w:tcPr>
          <w:p w14:paraId="0514AAF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04EE68D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104%</w:t>
            </w:r>
          </w:p>
        </w:tc>
      </w:tr>
      <w:tr w:rsidR="001E461E" w:rsidRPr="001E461E" w14:paraId="3ACC3BC6"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81047E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13A4309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
          <w:p w14:paraId="1CE883A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-1.86%</w:t>
            </w:r>
          </w:p>
        </w:tc>
        <w:tc>
          <w:tcPr>
            <w:tcW w:w="887" w:type="dxa"/>
            <w:tcBorders>
              <w:top w:val="nil"/>
              <w:left w:val="nil"/>
              <w:bottom w:val="nil"/>
              <w:right w:val="single" w:sz="4" w:space="0" w:color="auto"/>
            </w:tcBorders>
            <w:shd w:val="clear" w:color="auto" w:fill="auto"/>
            <w:noWrap/>
            <w:vAlign w:val="center"/>
            <w:hideMark/>
          </w:tcPr>
          <w:p w14:paraId="1F10122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-1.72%</w:t>
            </w:r>
          </w:p>
        </w:tc>
        <w:tc>
          <w:tcPr>
            <w:tcW w:w="777" w:type="dxa"/>
            <w:tcBorders>
              <w:top w:val="nil"/>
              <w:left w:val="nil"/>
              <w:bottom w:val="nil"/>
              <w:right w:val="nil"/>
            </w:tcBorders>
            <w:shd w:val="clear" w:color="auto" w:fill="auto"/>
            <w:noWrap/>
            <w:vAlign w:val="center"/>
            <w:hideMark/>
          </w:tcPr>
          <w:p w14:paraId="46957CF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107%</w:t>
            </w:r>
          </w:p>
        </w:tc>
        <w:tc>
          <w:tcPr>
            <w:tcW w:w="777" w:type="dxa"/>
            <w:tcBorders>
              <w:top w:val="nil"/>
              <w:left w:val="nil"/>
              <w:bottom w:val="nil"/>
              <w:right w:val="nil"/>
            </w:tcBorders>
            <w:shd w:val="clear" w:color="auto" w:fill="auto"/>
            <w:noWrap/>
            <w:vAlign w:val="center"/>
            <w:hideMark/>
          </w:tcPr>
          <w:p w14:paraId="6FE81A4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111%</w:t>
            </w:r>
          </w:p>
        </w:tc>
        <w:tc>
          <w:tcPr>
            <w:tcW w:w="887" w:type="dxa"/>
            <w:tcBorders>
              <w:top w:val="nil"/>
              <w:left w:val="single" w:sz="8" w:space="0" w:color="auto"/>
              <w:bottom w:val="nil"/>
              <w:right w:val="nil"/>
            </w:tcBorders>
            <w:shd w:val="clear" w:color="auto" w:fill="auto"/>
            <w:noWrap/>
            <w:vAlign w:val="center"/>
            <w:hideMark/>
          </w:tcPr>
          <w:p w14:paraId="3644C3A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-1.17%</w:t>
            </w:r>
          </w:p>
        </w:tc>
        <w:tc>
          <w:tcPr>
            <w:tcW w:w="887" w:type="dxa"/>
            <w:tcBorders>
              <w:top w:val="nil"/>
              <w:left w:val="nil"/>
              <w:bottom w:val="nil"/>
              <w:right w:val="nil"/>
            </w:tcBorders>
            <w:shd w:val="clear" w:color="auto" w:fill="auto"/>
            <w:noWrap/>
            <w:vAlign w:val="center"/>
            <w:hideMark/>
          </w:tcPr>
          <w:p w14:paraId="0712977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-2.11%</w:t>
            </w:r>
          </w:p>
        </w:tc>
        <w:tc>
          <w:tcPr>
            <w:tcW w:w="887" w:type="dxa"/>
            <w:tcBorders>
              <w:top w:val="nil"/>
              <w:left w:val="nil"/>
              <w:bottom w:val="nil"/>
              <w:right w:val="single" w:sz="4" w:space="0" w:color="auto"/>
            </w:tcBorders>
            <w:shd w:val="clear" w:color="auto" w:fill="auto"/>
            <w:noWrap/>
            <w:vAlign w:val="center"/>
            <w:hideMark/>
          </w:tcPr>
          <w:p w14:paraId="6F487F3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-2.71%</w:t>
            </w:r>
          </w:p>
        </w:tc>
        <w:tc>
          <w:tcPr>
            <w:tcW w:w="777" w:type="dxa"/>
            <w:tcBorders>
              <w:top w:val="nil"/>
              <w:left w:val="nil"/>
              <w:bottom w:val="nil"/>
              <w:right w:val="nil"/>
            </w:tcBorders>
            <w:shd w:val="clear" w:color="auto" w:fill="auto"/>
            <w:noWrap/>
            <w:vAlign w:val="center"/>
            <w:hideMark/>
          </w:tcPr>
          <w:p w14:paraId="4B4692B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103%</w:t>
            </w:r>
          </w:p>
        </w:tc>
        <w:tc>
          <w:tcPr>
            <w:tcW w:w="777" w:type="dxa"/>
            <w:tcBorders>
              <w:top w:val="nil"/>
              <w:left w:val="nil"/>
              <w:bottom w:val="nil"/>
              <w:right w:val="single" w:sz="8" w:space="0" w:color="auto"/>
            </w:tcBorders>
            <w:shd w:val="clear" w:color="auto" w:fill="auto"/>
            <w:noWrap/>
            <w:vAlign w:val="center"/>
            <w:hideMark/>
          </w:tcPr>
          <w:p w14:paraId="6D784A6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110%</w:t>
            </w:r>
          </w:p>
        </w:tc>
      </w:tr>
      <w:tr w:rsidR="001E461E" w:rsidRPr="001E461E" w14:paraId="0F4A8168"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81DDE4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CE5A20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-0.91%</w:t>
            </w:r>
          </w:p>
        </w:tc>
        <w:tc>
          <w:tcPr>
            <w:tcW w:w="887" w:type="dxa"/>
            <w:tcBorders>
              <w:top w:val="nil"/>
              <w:left w:val="nil"/>
              <w:bottom w:val="nil"/>
              <w:right w:val="nil"/>
            </w:tcBorders>
            <w:shd w:val="clear" w:color="auto" w:fill="auto"/>
            <w:noWrap/>
            <w:vAlign w:val="center"/>
            <w:hideMark/>
          </w:tcPr>
          <w:p w14:paraId="5086155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-1.83%</w:t>
            </w:r>
          </w:p>
        </w:tc>
        <w:tc>
          <w:tcPr>
            <w:tcW w:w="887" w:type="dxa"/>
            <w:tcBorders>
              <w:top w:val="nil"/>
              <w:left w:val="nil"/>
              <w:bottom w:val="nil"/>
              <w:right w:val="single" w:sz="4" w:space="0" w:color="auto"/>
            </w:tcBorders>
            <w:shd w:val="clear" w:color="auto" w:fill="auto"/>
            <w:noWrap/>
            <w:vAlign w:val="center"/>
            <w:hideMark/>
          </w:tcPr>
          <w:p w14:paraId="42EDEE9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-1.84%</w:t>
            </w:r>
          </w:p>
        </w:tc>
        <w:tc>
          <w:tcPr>
            <w:tcW w:w="777" w:type="dxa"/>
            <w:tcBorders>
              <w:top w:val="nil"/>
              <w:left w:val="nil"/>
              <w:bottom w:val="nil"/>
              <w:right w:val="nil"/>
            </w:tcBorders>
            <w:shd w:val="clear" w:color="auto" w:fill="auto"/>
            <w:noWrap/>
            <w:vAlign w:val="center"/>
            <w:hideMark/>
          </w:tcPr>
          <w:p w14:paraId="3CE803D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108%</w:t>
            </w:r>
          </w:p>
        </w:tc>
        <w:tc>
          <w:tcPr>
            <w:tcW w:w="777" w:type="dxa"/>
            <w:tcBorders>
              <w:top w:val="nil"/>
              <w:left w:val="nil"/>
              <w:bottom w:val="nil"/>
              <w:right w:val="nil"/>
            </w:tcBorders>
            <w:shd w:val="clear" w:color="auto" w:fill="auto"/>
            <w:noWrap/>
            <w:vAlign w:val="center"/>
            <w:hideMark/>
          </w:tcPr>
          <w:p w14:paraId="2BE7D37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110%</w:t>
            </w:r>
          </w:p>
        </w:tc>
        <w:tc>
          <w:tcPr>
            <w:tcW w:w="887" w:type="dxa"/>
            <w:tcBorders>
              <w:top w:val="nil"/>
              <w:left w:val="single" w:sz="8" w:space="0" w:color="auto"/>
              <w:bottom w:val="nil"/>
              <w:right w:val="nil"/>
            </w:tcBorders>
            <w:shd w:val="clear" w:color="auto" w:fill="auto"/>
            <w:noWrap/>
            <w:vAlign w:val="center"/>
            <w:hideMark/>
          </w:tcPr>
          <w:p w14:paraId="77A7D12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-1.11%</w:t>
            </w:r>
          </w:p>
        </w:tc>
        <w:tc>
          <w:tcPr>
            <w:tcW w:w="887" w:type="dxa"/>
            <w:tcBorders>
              <w:top w:val="nil"/>
              <w:left w:val="nil"/>
              <w:bottom w:val="nil"/>
              <w:right w:val="nil"/>
            </w:tcBorders>
            <w:shd w:val="clear" w:color="auto" w:fill="auto"/>
            <w:noWrap/>
            <w:vAlign w:val="center"/>
            <w:hideMark/>
          </w:tcPr>
          <w:p w14:paraId="7C0F67A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-2.30%</w:t>
            </w:r>
          </w:p>
        </w:tc>
        <w:tc>
          <w:tcPr>
            <w:tcW w:w="887" w:type="dxa"/>
            <w:tcBorders>
              <w:top w:val="nil"/>
              <w:left w:val="nil"/>
              <w:bottom w:val="nil"/>
              <w:right w:val="single" w:sz="4" w:space="0" w:color="auto"/>
            </w:tcBorders>
            <w:shd w:val="clear" w:color="auto" w:fill="auto"/>
            <w:noWrap/>
            <w:vAlign w:val="center"/>
            <w:hideMark/>
          </w:tcPr>
          <w:p w14:paraId="7607A0F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-2.15%</w:t>
            </w:r>
          </w:p>
        </w:tc>
        <w:tc>
          <w:tcPr>
            <w:tcW w:w="777" w:type="dxa"/>
            <w:tcBorders>
              <w:top w:val="nil"/>
              <w:left w:val="nil"/>
              <w:bottom w:val="nil"/>
              <w:right w:val="nil"/>
            </w:tcBorders>
            <w:shd w:val="clear" w:color="auto" w:fill="auto"/>
            <w:noWrap/>
            <w:vAlign w:val="center"/>
            <w:hideMark/>
          </w:tcPr>
          <w:p w14:paraId="1DB7325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14:paraId="181240B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107%</w:t>
            </w:r>
          </w:p>
        </w:tc>
      </w:tr>
      <w:tr w:rsidR="001E461E" w:rsidRPr="001E461E" w14:paraId="71302032"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8533817"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6B9BA4D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-1.40%</w:t>
            </w:r>
          </w:p>
        </w:tc>
        <w:tc>
          <w:tcPr>
            <w:tcW w:w="887" w:type="dxa"/>
            <w:tcBorders>
              <w:top w:val="nil"/>
              <w:left w:val="nil"/>
              <w:bottom w:val="nil"/>
              <w:right w:val="nil"/>
            </w:tcBorders>
            <w:shd w:val="clear" w:color="auto" w:fill="auto"/>
            <w:noWrap/>
            <w:vAlign w:val="center"/>
            <w:hideMark/>
          </w:tcPr>
          <w:p w14:paraId="4D10C2A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-2.26%</w:t>
            </w:r>
          </w:p>
        </w:tc>
        <w:tc>
          <w:tcPr>
            <w:tcW w:w="887" w:type="dxa"/>
            <w:tcBorders>
              <w:top w:val="nil"/>
              <w:left w:val="nil"/>
              <w:bottom w:val="nil"/>
              <w:right w:val="single" w:sz="4" w:space="0" w:color="auto"/>
            </w:tcBorders>
            <w:shd w:val="clear" w:color="auto" w:fill="auto"/>
            <w:noWrap/>
            <w:vAlign w:val="center"/>
            <w:hideMark/>
          </w:tcPr>
          <w:p w14:paraId="17091B3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-2.47%</w:t>
            </w:r>
          </w:p>
        </w:tc>
        <w:tc>
          <w:tcPr>
            <w:tcW w:w="777" w:type="dxa"/>
            <w:tcBorders>
              <w:top w:val="nil"/>
              <w:left w:val="nil"/>
              <w:bottom w:val="nil"/>
              <w:right w:val="nil"/>
            </w:tcBorders>
            <w:shd w:val="clear" w:color="auto" w:fill="auto"/>
            <w:noWrap/>
            <w:vAlign w:val="center"/>
            <w:hideMark/>
          </w:tcPr>
          <w:p w14:paraId="5366324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109%</w:t>
            </w:r>
          </w:p>
        </w:tc>
        <w:tc>
          <w:tcPr>
            <w:tcW w:w="777" w:type="dxa"/>
            <w:tcBorders>
              <w:top w:val="nil"/>
              <w:left w:val="nil"/>
              <w:bottom w:val="nil"/>
              <w:right w:val="nil"/>
            </w:tcBorders>
            <w:shd w:val="clear" w:color="auto" w:fill="auto"/>
            <w:noWrap/>
            <w:vAlign w:val="center"/>
            <w:hideMark/>
          </w:tcPr>
          <w:p w14:paraId="12A375B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114%</w:t>
            </w:r>
          </w:p>
        </w:tc>
        <w:tc>
          <w:tcPr>
            <w:tcW w:w="887" w:type="dxa"/>
            <w:tcBorders>
              <w:top w:val="nil"/>
              <w:left w:val="single" w:sz="8" w:space="0" w:color="auto"/>
              <w:bottom w:val="nil"/>
              <w:right w:val="nil"/>
            </w:tcBorders>
            <w:shd w:val="clear" w:color="auto" w:fill="auto"/>
            <w:noWrap/>
            <w:vAlign w:val="center"/>
            <w:hideMark/>
          </w:tcPr>
          <w:p w14:paraId="23E859A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-1.67%</w:t>
            </w:r>
          </w:p>
        </w:tc>
        <w:tc>
          <w:tcPr>
            <w:tcW w:w="887" w:type="dxa"/>
            <w:tcBorders>
              <w:top w:val="nil"/>
              <w:left w:val="nil"/>
              <w:bottom w:val="nil"/>
              <w:right w:val="nil"/>
            </w:tcBorders>
            <w:shd w:val="clear" w:color="auto" w:fill="auto"/>
            <w:noWrap/>
            <w:vAlign w:val="center"/>
            <w:hideMark/>
          </w:tcPr>
          <w:p w14:paraId="23C449E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-2.81%</w:t>
            </w:r>
          </w:p>
        </w:tc>
        <w:tc>
          <w:tcPr>
            <w:tcW w:w="887" w:type="dxa"/>
            <w:tcBorders>
              <w:top w:val="nil"/>
              <w:left w:val="nil"/>
              <w:bottom w:val="nil"/>
              <w:right w:val="single" w:sz="4" w:space="0" w:color="auto"/>
            </w:tcBorders>
            <w:shd w:val="clear" w:color="auto" w:fill="auto"/>
            <w:noWrap/>
            <w:vAlign w:val="center"/>
            <w:hideMark/>
          </w:tcPr>
          <w:p w14:paraId="3C536AB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-2.80%</w:t>
            </w:r>
          </w:p>
        </w:tc>
        <w:tc>
          <w:tcPr>
            <w:tcW w:w="777" w:type="dxa"/>
            <w:tcBorders>
              <w:top w:val="nil"/>
              <w:left w:val="nil"/>
              <w:bottom w:val="nil"/>
              <w:right w:val="nil"/>
            </w:tcBorders>
            <w:shd w:val="clear" w:color="auto" w:fill="auto"/>
            <w:noWrap/>
            <w:vAlign w:val="center"/>
            <w:hideMark/>
          </w:tcPr>
          <w:p w14:paraId="67320C3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14:paraId="060B0E4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111%</w:t>
            </w:r>
          </w:p>
        </w:tc>
      </w:tr>
      <w:tr w:rsidR="001E461E" w:rsidRPr="001E461E" w14:paraId="6B83C006"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E500CE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400C0C1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93929E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110917F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4E986D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DE7E39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single" w:sz="8" w:space="0" w:color="auto"/>
              <w:bottom w:val="nil"/>
              <w:right w:val="nil"/>
            </w:tcBorders>
            <w:shd w:val="clear" w:color="auto" w:fill="auto"/>
            <w:noWrap/>
            <w:vAlign w:val="center"/>
            <w:hideMark/>
          </w:tcPr>
          <w:p w14:paraId="3412014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31C6CA5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324D607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5D7BA96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6C1E8FE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r>
      <w:tr w:rsidR="001E461E" w:rsidRPr="001E461E" w14:paraId="32E2EAAB" w14:textId="77777777" w:rsidTr="001E461E">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386A930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6B9830B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-0.96%</w:t>
            </w:r>
          </w:p>
        </w:tc>
        <w:tc>
          <w:tcPr>
            <w:tcW w:w="887" w:type="dxa"/>
            <w:tcBorders>
              <w:top w:val="single" w:sz="8" w:space="0" w:color="auto"/>
              <w:left w:val="nil"/>
              <w:bottom w:val="nil"/>
              <w:right w:val="nil"/>
            </w:tcBorders>
            <w:shd w:val="clear" w:color="auto" w:fill="auto"/>
            <w:noWrap/>
            <w:vAlign w:val="center"/>
            <w:hideMark/>
          </w:tcPr>
          <w:p w14:paraId="4891B1E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-1.91%</w:t>
            </w:r>
          </w:p>
        </w:tc>
        <w:tc>
          <w:tcPr>
            <w:tcW w:w="887" w:type="dxa"/>
            <w:tcBorders>
              <w:top w:val="single" w:sz="8" w:space="0" w:color="auto"/>
              <w:left w:val="nil"/>
              <w:bottom w:val="nil"/>
              <w:right w:val="single" w:sz="4" w:space="0" w:color="auto"/>
            </w:tcBorders>
            <w:shd w:val="clear" w:color="auto" w:fill="auto"/>
            <w:noWrap/>
            <w:vAlign w:val="center"/>
            <w:hideMark/>
          </w:tcPr>
          <w:p w14:paraId="1862A11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-1.98%</w:t>
            </w:r>
          </w:p>
        </w:tc>
        <w:tc>
          <w:tcPr>
            <w:tcW w:w="777" w:type="dxa"/>
            <w:tcBorders>
              <w:top w:val="single" w:sz="8" w:space="0" w:color="auto"/>
              <w:left w:val="nil"/>
              <w:bottom w:val="nil"/>
              <w:right w:val="nil"/>
            </w:tcBorders>
            <w:shd w:val="clear" w:color="auto" w:fill="auto"/>
            <w:noWrap/>
            <w:vAlign w:val="center"/>
            <w:hideMark/>
          </w:tcPr>
          <w:p w14:paraId="1ACAD5B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107%</w:t>
            </w:r>
          </w:p>
        </w:tc>
        <w:tc>
          <w:tcPr>
            <w:tcW w:w="777" w:type="dxa"/>
            <w:tcBorders>
              <w:top w:val="single" w:sz="8" w:space="0" w:color="auto"/>
              <w:left w:val="nil"/>
              <w:bottom w:val="nil"/>
              <w:right w:val="nil"/>
            </w:tcBorders>
            <w:shd w:val="clear" w:color="auto" w:fill="auto"/>
            <w:noWrap/>
            <w:vAlign w:val="center"/>
            <w:hideMark/>
          </w:tcPr>
          <w:p w14:paraId="72755F3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111%</w:t>
            </w:r>
          </w:p>
        </w:tc>
        <w:tc>
          <w:tcPr>
            <w:tcW w:w="887" w:type="dxa"/>
            <w:tcBorders>
              <w:top w:val="single" w:sz="8" w:space="0" w:color="auto"/>
              <w:left w:val="single" w:sz="8" w:space="0" w:color="auto"/>
              <w:bottom w:val="nil"/>
              <w:right w:val="nil"/>
            </w:tcBorders>
            <w:shd w:val="clear" w:color="auto" w:fill="auto"/>
            <w:noWrap/>
            <w:vAlign w:val="center"/>
            <w:hideMark/>
          </w:tcPr>
          <w:p w14:paraId="1BD382E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-1.14%</w:t>
            </w:r>
          </w:p>
        </w:tc>
        <w:tc>
          <w:tcPr>
            <w:tcW w:w="887" w:type="dxa"/>
            <w:tcBorders>
              <w:top w:val="single" w:sz="8" w:space="0" w:color="auto"/>
              <w:left w:val="nil"/>
              <w:bottom w:val="nil"/>
              <w:right w:val="nil"/>
            </w:tcBorders>
            <w:shd w:val="clear" w:color="auto" w:fill="auto"/>
            <w:noWrap/>
            <w:vAlign w:val="center"/>
            <w:hideMark/>
          </w:tcPr>
          <w:p w14:paraId="1C508B7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-2.14%</w:t>
            </w:r>
          </w:p>
        </w:tc>
        <w:tc>
          <w:tcPr>
            <w:tcW w:w="887" w:type="dxa"/>
            <w:tcBorders>
              <w:top w:val="single" w:sz="8" w:space="0" w:color="auto"/>
              <w:left w:val="nil"/>
              <w:bottom w:val="nil"/>
              <w:right w:val="single" w:sz="4" w:space="0" w:color="auto"/>
            </w:tcBorders>
            <w:shd w:val="clear" w:color="auto" w:fill="auto"/>
            <w:noWrap/>
            <w:vAlign w:val="center"/>
            <w:hideMark/>
          </w:tcPr>
          <w:p w14:paraId="59022D2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-2.24%</w:t>
            </w:r>
          </w:p>
        </w:tc>
        <w:tc>
          <w:tcPr>
            <w:tcW w:w="777" w:type="dxa"/>
            <w:tcBorders>
              <w:top w:val="single" w:sz="8" w:space="0" w:color="auto"/>
              <w:left w:val="nil"/>
              <w:bottom w:val="nil"/>
              <w:right w:val="nil"/>
            </w:tcBorders>
            <w:shd w:val="clear" w:color="auto" w:fill="auto"/>
            <w:noWrap/>
            <w:vAlign w:val="center"/>
            <w:hideMark/>
          </w:tcPr>
          <w:p w14:paraId="438A95A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14:paraId="369CA7E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108%</w:t>
            </w:r>
          </w:p>
        </w:tc>
      </w:tr>
      <w:tr w:rsidR="001E461E" w:rsidRPr="001E461E" w14:paraId="772DC10B" w14:textId="77777777" w:rsidTr="001E461E">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1651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3BA0A57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-1.32%</w:t>
            </w:r>
          </w:p>
        </w:tc>
        <w:tc>
          <w:tcPr>
            <w:tcW w:w="887" w:type="dxa"/>
            <w:tcBorders>
              <w:top w:val="single" w:sz="8" w:space="0" w:color="auto"/>
              <w:left w:val="nil"/>
              <w:bottom w:val="single" w:sz="8" w:space="0" w:color="auto"/>
              <w:right w:val="nil"/>
            </w:tcBorders>
            <w:shd w:val="clear" w:color="auto" w:fill="auto"/>
            <w:noWrap/>
            <w:vAlign w:val="center"/>
            <w:hideMark/>
          </w:tcPr>
          <w:p w14:paraId="1CF9565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-2.05%</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2473499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-1.94%</w:t>
            </w:r>
          </w:p>
        </w:tc>
        <w:tc>
          <w:tcPr>
            <w:tcW w:w="777" w:type="dxa"/>
            <w:tcBorders>
              <w:top w:val="single" w:sz="8" w:space="0" w:color="auto"/>
              <w:left w:val="nil"/>
              <w:bottom w:val="single" w:sz="8" w:space="0" w:color="auto"/>
              <w:right w:val="nil"/>
            </w:tcBorders>
            <w:shd w:val="clear" w:color="auto" w:fill="auto"/>
            <w:noWrap/>
            <w:vAlign w:val="center"/>
            <w:hideMark/>
          </w:tcPr>
          <w:p w14:paraId="75D9E4F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112%</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4332A94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114%</w:t>
            </w:r>
          </w:p>
        </w:tc>
        <w:tc>
          <w:tcPr>
            <w:tcW w:w="887" w:type="dxa"/>
            <w:tcBorders>
              <w:top w:val="single" w:sz="8" w:space="0" w:color="auto"/>
              <w:left w:val="nil"/>
              <w:bottom w:val="single" w:sz="8" w:space="0" w:color="auto"/>
              <w:right w:val="nil"/>
            </w:tcBorders>
            <w:shd w:val="clear" w:color="auto" w:fill="auto"/>
            <w:noWrap/>
            <w:vAlign w:val="center"/>
            <w:hideMark/>
          </w:tcPr>
          <w:p w14:paraId="0995143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-1.74%</w:t>
            </w:r>
          </w:p>
        </w:tc>
        <w:tc>
          <w:tcPr>
            <w:tcW w:w="887" w:type="dxa"/>
            <w:tcBorders>
              <w:top w:val="single" w:sz="8" w:space="0" w:color="auto"/>
              <w:left w:val="nil"/>
              <w:bottom w:val="single" w:sz="8" w:space="0" w:color="auto"/>
              <w:right w:val="nil"/>
            </w:tcBorders>
            <w:shd w:val="clear" w:color="auto" w:fill="auto"/>
            <w:noWrap/>
            <w:vAlign w:val="center"/>
            <w:hideMark/>
          </w:tcPr>
          <w:p w14:paraId="37361CE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-2.62%</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31FFEBB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-2.74%</w:t>
            </w:r>
          </w:p>
        </w:tc>
        <w:tc>
          <w:tcPr>
            <w:tcW w:w="777" w:type="dxa"/>
            <w:tcBorders>
              <w:top w:val="single" w:sz="8" w:space="0" w:color="auto"/>
              <w:left w:val="nil"/>
              <w:bottom w:val="single" w:sz="8" w:space="0" w:color="auto"/>
              <w:right w:val="nil"/>
            </w:tcBorders>
            <w:shd w:val="clear" w:color="auto" w:fill="auto"/>
            <w:noWrap/>
            <w:vAlign w:val="center"/>
            <w:hideMark/>
          </w:tcPr>
          <w:p w14:paraId="42019EF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104%</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33D713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113%</w:t>
            </w:r>
          </w:p>
        </w:tc>
      </w:tr>
    </w:tbl>
    <w:p w14:paraId="5B3BA2BF" w14:textId="07D9BD02" w:rsidR="00E71997" w:rsidRDefault="00E71997" w:rsidP="002C3788">
      <w:pPr>
        <w:rPr>
          <w:lang w:val="en-CA"/>
        </w:rPr>
      </w:pPr>
    </w:p>
    <w:p w14:paraId="4734B245" w14:textId="38012380" w:rsidR="001E461E" w:rsidRDefault="001E461E" w:rsidP="002C3788">
      <w:pPr>
        <w:rPr>
          <w:lang w:val="en-CA"/>
        </w:rPr>
      </w:pPr>
    </w:p>
    <w:p w14:paraId="1EBBA80A" w14:textId="77777777" w:rsidR="001E461E" w:rsidRDefault="001E461E" w:rsidP="002C3788">
      <w:pPr>
        <w:rPr>
          <w:lang w:val="en-CA"/>
        </w:rPr>
      </w:pPr>
    </w:p>
    <w:p w14:paraId="28CBB14E" w14:textId="2B593F66" w:rsidR="001E461E" w:rsidRDefault="001E461E" w:rsidP="002C3788">
      <w:pPr>
        <w:rPr>
          <w:lang w:val="en-CA"/>
        </w:rPr>
      </w:pPr>
    </w:p>
    <w:tbl>
      <w:tblPr>
        <w:tblW w:w="9632" w:type="dxa"/>
        <w:tblInd w:w="108" w:type="dxa"/>
        <w:tblLook w:val="04A0" w:firstRow="1" w:lastRow="0" w:firstColumn="1" w:lastColumn="0" w:noHBand="0" w:noVBand="1"/>
      </w:tblPr>
      <w:tblGrid>
        <w:gridCol w:w="1037"/>
        <w:gridCol w:w="887"/>
        <w:gridCol w:w="887"/>
        <w:gridCol w:w="887"/>
        <w:gridCol w:w="777"/>
        <w:gridCol w:w="777"/>
        <w:gridCol w:w="887"/>
        <w:gridCol w:w="887"/>
        <w:gridCol w:w="887"/>
        <w:gridCol w:w="777"/>
        <w:gridCol w:w="942"/>
      </w:tblGrid>
      <w:tr w:rsidR="001E461E" w:rsidRPr="001E461E" w14:paraId="1B651EF5" w14:textId="77777777" w:rsidTr="001E461E">
        <w:trPr>
          <w:trHeight w:val="255"/>
        </w:trPr>
        <w:tc>
          <w:tcPr>
            <w:tcW w:w="1037" w:type="dxa"/>
            <w:tcBorders>
              <w:top w:val="nil"/>
              <w:left w:val="nil"/>
              <w:bottom w:val="nil"/>
              <w:right w:val="nil"/>
            </w:tcBorders>
            <w:shd w:val="clear" w:color="auto" w:fill="auto"/>
            <w:noWrap/>
            <w:vAlign w:val="center"/>
            <w:hideMark/>
          </w:tcPr>
          <w:p w14:paraId="1DB1A1D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5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299A53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 xml:space="preserve">Low delay B Main10 </w:t>
            </w:r>
          </w:p>
        </w:tc>
      </w:tr>
      <w:tr w:rsidR="001E461E" w:rsidRPr="001E461E" w14:paraId="0BFED9DC" w14:textId="77777777" w:rsidTr="001E461E">
        <w:trPr>
          <w:trHeight w:val="255"/>
        </w:trPr>
        <w:tc>
          <w:tcPr>
            <w:tcW w:w="1037" w:type="dxa"/>
            <w:tcBorders>
              <w:top w:val="nil"/>
              <w:left w:val="nil"/>
              <w:bottom w:val="nil"/>
              <w:right w:val="nil"/>
            </w:tcBorders>
            <w:shd w:val="clear" w:color="auto" w:fill="auto"/>
            <w:noWrap/>
            <w:vAlign w:val="center"/>
            <w:hideMark/>
          </w:tcPr>
          <w:p w14:paraId="116151E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8FEDE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Over VTM-1.0</w:t>
            </w:r>
          </w:p>
        </w:tc>
        <w:tc>
          <w:tcPr>
            <w:tcW w:w="4377" w:type="dxa"/>
            <w:gridSpan w:val="5"/>
            <w:tcBorders>
              <w:top w:val="single" w:sz="8" w:space="0" w:color="auto"/>
              <w:left w:val="nil"/>
              <w:bottom w:val="nil"/>
              <w:right w:val="single" w:sz="8" w:space="0" w:color="000000"/>
            </w:tcBorders>
            <w:shd w:val="clear" w:color="auto" w:fill="auto"/>
            <w:noWrap/>
            <w:vAlign w:val="center"/>
            <w:hideMark/>
          </w:tcPr>
          <w:p w14:paraId="75A6685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Over BMS-1.0</w:t>
            </w:r>
          </w:p>
        </w:tc>
      </w:tr>
      <w:tr w:rsidR="001E461E" w:rsidRPr="001E461E" w14:paraId="595ACA53" w14:textId="77777777" w:rsidTr="001E461E">
        <w:trPr>
          <w:trHeight w:val="255"/>
        </w:trPr>
        <w:tc>
          <w:tcPr>
            <w:tcW w:w="1037" w:type="dxa"/>
            <w:tcBorders>
              <w:top w:val="nil"/>
              <w:left w:val="nil"/>
              <w:bottom w:val="nil"/>
              <w:right w:val="nil"/>
            </w:tcBorders>
            <w:shd w:val="clear" w:color="auto" w:fill="auto"/>
            <w:noWrap/>
            <w:vAlign w:val="center"/>
            <w:hideMark/>
          </w:tcPr>
          <w:p w14:paraId="4AF87C3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39C1A1F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46F811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54B7E23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2D6F0F4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18AB18A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76DE698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D845C1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69CD4FE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047EDBD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EncT</w:t>
            </w:r>
          </w:p>
        </w:tc>
        <w:tc>
          <w:tcPr>
            <w:tcW w:w="942" w:type="dxa"/>
            <w:tcBorders>
              <w:top w:val="nil"/>
              <w:left w:val="nil"/>
              <w:bottom w:val="single" w:sz="8" w:space="0" w:color="auto"/>
              <w:right w:val="single" w:sz="8" w:space="0" w:color="auto"/>
            </w:tcBorders>
            <w:shd w:val="clear" w:color="auto" w:fill="auto"/>
            <w:noWrap/>
            <w:vAlign w:val="center"/>
            <w:hideMark/>
          </w:tcPr>
          <w:p w14:paraId="11C54E5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DecT</w:t>
            </w:r>
          </w:p>
        </w:tc>
      </w:tr>
      <w:tr w:rsidR="001E461E" w:rsidRPr="001E461E" w14:paraId="7B6110AD" w14:textId="77777777" w:rsidTr="001E461E">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0B10BBE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1C04658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6FB7CE1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96B728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A16454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36D1F6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single" w:sz="8" w:space="0" w:color="auto"/>
              <w:bottom w:val="nil"/>
              <w:right w:val="nil"/>
            </w:tcBorders>
            <w:shd w:val="clear" w:color="auto" w:fill="auto"/>
            <w:noWrap/>
            <w:vAlign w:val="center"/>
            <w:hideMark/>
          </w:tcPr>
          <w:p w14:paraId="7C5A34A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BA348D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322DDC9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4742BB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17BE521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r>
      <w:tr w:rsidR="001E461E" w:rsidRPr="001E461E" w14:paraId="14D5E1EC"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5C9BD8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3777ACB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0528F04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0E975FF7"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60493DB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74D1EED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single" w:sz="8" w:space="0" w:color="auto"/>
              <w:bottom w:val="nil"/>
              <w:right w:val="nil"/>
            </w:tcBorders>
            <w:shd w:val="clear" w:color="auto" w:fill="auto"/>
            <w:noWrap/>
            <w:vAlign w:val="center"/>
            <w:hideMark/>
          </w:tcPr>
          <w:p w14:paraId="34C4D25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7DC6802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32FB14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17B20CD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c>
          <w:tcPr>
            <w:tcW w:w="942" w:type="dxa"/>
            <w:tcBorders>
              <w:top w:val="nil"/>
              <w:left w:val="nil"/>
              <w:bottom w:val="nil"/>
              <w:right w:val="single" w:sz="8" w:space="0" w:color="auto"/>
            </w:tcBorders>
            <w:shd w:val="clear" w:color="auto" w:fill="auto"/>
            <w:noWrap/>
            <w:vAlign w:val="center"/>
            <w:hideMark/>
          </w:tcPr>
          <w:p w14:paraId="24A2CE6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 </w:t>
            </w:r>
          </w:p>
        </w:tc>
      </w:tr>
      <w:tr w:rsidR="001E461E" w:rsidRPr="001E461E" w14:paraId="175870A1"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C48E8A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441271A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-1.21%</w:t>
            </w:r>
          </w:p>
        </w:tc>
        <w:tc>
          <w:tcPr>
            <w:tcW w:w="887" w:type="dxa"/>
            <w:tcBorders>
              <w:top w:val="nil"/>
              <w:left w:val="nil"/>
              <w:bottom w:val="nil"/>
              <w:right w:val="nil"/>
            </w:tcBorders>
            <w:shd w:val="clear" w:color="auto" w:fill="auto"/>
            <w:noWrap/>
            <w:vAlign w:val="center"/>
            <w:hideMark/>
          </w:tcPr>
          <w:p w14:paraId="129E56C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-1.66%</w:t>
            </w:r>
          </w:p>
        </w:tc>
        <w:tc>
          <w:tcPr>
            <w:tcW w:w="887" w:type="dxa"/>
            <w:tcBorders>
              <w:top w:val="nil"/>
              <w:left w:val="nil"/>
              <w:bottom w:val="nil"/>
              <w:right w:val="single" w:sz="4" w:space="0" w:color="auto"/>
            </w:tcBorders>
            <w:shd w:val="clear" w:color="auto" w:fill="auto"/>
            <w:noWrap/>
            <w:vAlign w:val="center"/>
            <w:hideMark/>
          </w:tcPr>
          <w:p w14:paraId="5F72EA1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-1.86%</w:t>
            </w:r>
          </w:p>
        </w:tc>
        <w:tc>
          <w:tcPr>
            <w:tcW w:w="777" w:type="dxa"/>
            <w:tcBorders>
              <w:top w:val="nil"/>
              <w:left w:val="nil"/>
              <w:bottom w:val="nil"/>
              <w:right w:val="nil"/>
            </w:tcBorders>
            <w:shd w:val="clear" w:color="auto" w:fill="auto"/>
            <w:noWrap/>
            <w:vAlign w:val="center"/>
            <w:hideMark/>
          </w:tcPr>
          <w:p w14:paraId="568BC5E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110%</w:t>
            </w:r>
          </w:p>
        </w:tc>
        <w:tc>
          <w:tcPr>
            <w:tcW w:w="777" w:type="dxa"/>
            <w:tcBorders>
              <w:top w:val="nil"/>
              <w:left w:val="nil"/>
              <w:bottom w:val="nil"/>
              <w:right w:val="nil"/>
            </w:tcBorders>
            <w:shd w:val="clear" w:color="auto" w:fill="auto"/>
            <w:noWrap/>
            <w:vAlign w:val="center"/>
            <w:hideMark/>
          </w:tcPr>
          <w:p w14:paraId="4B35172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110%</w:t>
            </w:r>
          </w:p>
        </w:tc>
        <w:tc>
          <w:tcPr>
            <w:tcW w:w="887" w:type="dxa"/>
            <w:tcBorders>
              <w:top w:val="nil"/>
              <w:left w:val="single" w:sz="8" w:space="0" w:color="auto"/>
              <w:bottom w:val="nil"/>
              <w:right w:val="nil"/>
            </w:tcBorders>
            <w:shd w:val="clear" w:color="auto" w:fill="auto"/>
            <w:noWrap/>
            <w:vAlign w:val="center"/>
            <w:hideMark/>
          </w:tcPr>
          <w:p w14:paraId="4EC6D96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-1.40%</w:t>
            </w:r>
          </w:p>
        </w:tc>
        <w:tc>
          <w:tcPr>
            <w:tcW w:w="887" w:type="dxa"/>
            <w:tcBorders>
              <w:top w:val="nil"/>
              <w:left w:val="nil"/>
              <w:bottom w:val="nil"/>
              <w:right w:val="nil"/>
            </w:tcBorders>
            <w:shd w:val="clear" w:color="auto" w:fill="auto"/>
            <w:noWrap/>
            <w:vAlign w:val="center"/>
            <w:hideMark/>
          </w:tcPr>
          <w:p w14:paraId="3D8F769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-2.62%</w:t>
            </w:r>
          </w:p>
        </w:tc>
        <w:tc>
          <w:tcPr>
            <w:tcW w:w="887" w:type="dxa"/>
            <w:tcBorders>
              <w:top w:val="nil"/>
              <w:left w:val="nil"/>
              <w:bottom w:val="nil"/>
              <w:right w:val="single" w:sz="4" w:space="0" w:color="auto"/>
            </w:tcBorders>
            <w:shd w:val="clear" w:color="auto" w:fill="auto"/>
            <w:noWrap/>
            <w:vAlign w:val="center"/>
            <w:hideMark/>
          </w:tcPr>
          <w:p w14:paraId="43C5A32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-2.33%</w:t>
            </w:r>
          </w:p>
        </w:tc>
        <w:tc>
          <w:tcPr>
            <w:tcW w:w="777" w:type="dxa"/>
            <w:tcBorders>
              <w:top w:val="nil"/>
              <w:left w:val="nil"/>
              <w:bottom w:val="nil"/>
              <w:right w:val="nil"/>
            </w:tcBorders>
            <w:shd w:val="clear" w:color="auto" w:fill="auto"/>
            <w:noWrap/>
            <w:vAlign w:val="center"/>
            <w:hideMark/>
          </w:tcPr>
          <w:p w14:paraId="1011B5C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105%</w:t>
            </w:r>
          </w:p>
        </w:tc>
        <w:tc>
          <w:tcPr>
            <w:tcW w:w="942" w:type="dxa"/>
            <w:tcBorders>
              <w:top w:val="nil"/>
              <w:left w:val="nil"/>
              <w:bottom w:val="nil"/>
              <w:right w:val="single" w:sz="8" w:space="0" w:color="auto"/>
            </w:tcBorders>
            <w:shd w:val="clear" w:color="auto" w:fill="auto"/>
            <w:noWrap/>
            <w:vAlign w:val="center"/>
            <w:hideMark/>
          </w:tcPr>
          <w:p w14:paraId="1277C1F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115%</w:t>
            </w:r>
          </w:p>
        </w:tc>
      </w:tr>
      <w:tr w:rsidR="001E461E" w:rsidRPr="001E461E" w14:paraId="346E89B7"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6E592C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203D92C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-1.64%</w:t>
            </w:r>
          </w:p>
        </w:tc>
        <w:tc>
          <w:tcPr>
            <w:tcW w:w="887" w:type="dxa"/>
            <w:tcBorders>
              <w:top w:val="nil"/>
              <w:left w:val="nil"/>
              <w:bottom w:val="nil"/>
              <w:right w:val="nil"/>
            </w:tcBorders>
            <w:shd w:val="clear" w:color="auto" w:fill="auto"/>
            <w:noWrap/>
            <w:vAlign w:val="center"/>
            <w:hideMark/>
          </w:tcPr>
          <w:p w14:paraId="75356B2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-2.11%</w:t>
            </w:r>
          </w:p>
        </w:tc>
        <w:tc>
          <w:tcPr>
            <w:tcW w:w="887" w:type="dxa"/>
            <w:tcBorders>
              <w:top w:val="nil"/>
              <w:left w:val="nil"/>
              <w:bottom w:val="nil"/>
              <w:right w:val="single" w:sz="4" w:space="0" w:color="auto"/>
            </w:tcBorders>
            <w:shd w:val="clear" w:color="auto" w:fill="auto"/>
            <w:noWrap/>
            <w:vAlign w:val="center"/>
            <w:hideMark/>
          </w:tcPr>
          <w:p w14:paraId="1D5CCF9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-2.07%</w:t>
            </w:r>
          </w:p>
        </w:tc>
        <w:tc>
          <w:tcPr>
            <w:tcW w:w="777" w:type="dxa"/>
            <w:tcBorders>
              <w:top w:val="nil"/>
              <w:left w:val="nil"/>
              <w:bottom w:val="nil"/>
              <w:right w:val="nil"/>
            </w:tcBorders>
            <w:shd w:val="clear" w:color="auto" w:fill="auto"/>
            <w:noWrap/>
            <w:vAlign w:val="center"/>
            <w:hideMark/>
          </w:tcPr>
          <w:p w14:paraId="0C93FF9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
          <w:p w14:paraId="24C003E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116%</w:t>
            </w:r>
          </w:p>
        </w:tc>
        <w:tc>
          <w:tcPr>
            <w:tcW w:w="887" w:type="dxa"/>
            <w:tcBorders>
              <w:top w:val="nil"/>
              <w:left w:val="single" w:sz="8" w:space="0" w:color="auto"/>
              <w:bottom w:val="nil"/>
              <w:right w:val="nil"/>
            </w:tcBorders>
            <w:shd w:val="clear" w:color="auto" w:fill="auto"/>
            <w:noWrap/>
            <w:vAlign w:val="center"/>
            <w:hideMark/>
          </w:tcPr>
          <w:p w14:paraId="75620DB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-2.07%</w:t>
            </w:r>
          </w:p>
        </w:tc>
        <w:tc>
          <w:tcPr>
            <w:tcW w:w="887" w:type="dxa"/>
            <w:tcBorders>
              <w:top w:val="nil"/>
              <w:left w:val="nil"/>
              <w:bottom w:val="nil"/>
              <w:right w:val="nil"/>
            </w:tcBorders>
            <w:shd w:val="clear" w:color="000000" w:fill="CCFFCC"/>
            <w:noWrap/>
            <w:vAlign w:val="center"/>
            <w:hideMark/>
          </w:tcPr>
          <w:p w14:paraId="4DB598D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E461E">
              <w:rPr>
                <w:rFonts w:ascii="Arial" w:hAnsi="Arial" w:cs="Arial"/>
                <w:sz w:val="18"/>
                <w:szCs w:val="18"/>
              </w:rPr>
              <w:t>-3.02%</w:t>
            </w:r>
          </w:p>
        </w:tc>
        <w:tc>
          <w:tcPr>
            <w:tcW w:w="887" w:type="dxa"/>
            <w:tcBorders>
              <w:top w:val="nil"/>
              <w:left w:val="nil"/>
              <w:bottom w:val="nil"/>
              <w:right w:val="single" w:sz="4" w:space="0" w:color="auto"/>
            </w:tcBorders>
            <w:shd w:val="clear" w:color="000000" w:fill="CCFFCC"/>
            <w:noWrap/>
            <w:vAlign w:val="center"/>
            <w:hideMark/>
          </w:tcPr>
          <w:p w14:paraId="4AB59579"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E461E">
              <w:rPr>
                <w:rFonts w:ascii="Arial" w:hAnsi="Arial" w:cs="Arial"/>
                <w:sz w:val="18"/>
                <w:szCs w:val="18"/>
              </w:rPr>
              <w:t>-3.27%</w:t>
            </w:r>
          </w:p>
        </w:tc>
        <w:tc>
          <w:tcPr>
            <w:tcW w:w="777" w:type="dxa"/>
            <w:tcBorders>
              <w:top w:val="nil"/>
              <w:left w:val="nil"/>
              <w:bottom w:val="nil"/>
              <w:right w:val="nil"/>
            </w:tcBorders>
            <w:shd w:val="clear" w:color="auto" w:fill="auto"/>
            <w:noWrap/>
            <w:vAlign w:val="center"/>
            <w:hideMark/>
          </w:tcPr>
          <w:p w14:paraId="3334183A"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104%</w:t>
            </w:r>
          </w:p>
        </w:tc>
        <w:tc>
          <w:tcPr>
            <w:tcW w:w="942" w:type="dxa"/>
            <w:tcBorders>
              <w:top w:val="nil"/>
              <w:left w:val="nil"/>
              <w:bottom w:val="nil"/>
              <w:right w:val="single" w:sz="8" w:space="0" w:color="auto"/>
            </w:tcBorders>
            <w:shd w:val="clear" w:color="auto" w:fill="auto"/>
            <w:noWrap/>
            <w:vAlign w:val="center"/>
            <w:hideMark/>
          </w:tcPr>
          <w:p w14:paraId="709237A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116%</w:t>
            </w:r>
          </w:p>
        </w:tc>
      </w:tr>
      <w:tr w:rsidR="001E461E" w:rsidRPr="001E461E" w14:paraId="1ED038E4" w14:textId="77777777" w:rsidTr="001E461E">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0FA60F3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0A293B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-1.30%</w:t>
            </w:r>
          </w:p>
        </w:tc>
        <w:tc>
          <w:tcPr>
            <w:tcW w:w="887" w:type="dxa"/>
            <w:tcBorders>
              <w:top w:val="nil"/>
              <w:left w:val="nil"/>
              <w:bottom w:val="nil"/>
              <w:right w:val="nil"/>
            </w:tcBorders>
            <w:shd w:val="clear" w:color="auto" w:fill="auto"/>
            <w:noWrap/>
            <w:vAlign w:val="center"/>
            <w:hideMark/>
          </w:tcPr>
          <w:p w14:paraId="280A7C9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-1.62%</w:t>
            </w:r>
          </w:p>
        </w:tc>
        <w:tc>
          <w:tcPr>
            <w:tcW w:w="887" w:type="dxa"/>
            <w:tcBorders>
              <w:top w:val="nil"/>
              <w:left w:val="nil"/>
              <w:bottom w:val="nil"/>
              <w:right w:val="single" w:sz="4" w:space="0" w:color="auto"/>
            </w:tcBorders>
            <w:shd w:val="clear" w:color="auto" w:fill="auto"/>
            <w:noWrap/>
            <w:vAlign w:val="center"/>
            <w:hideMark/>
          </w:tcPr>
          <w:p w14:paraId="3559CED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-1.74%</w:t>
            </w:r>
          </w:p>
        </w:tc>
        <w:tc>
          <w:tcPr>
            <w:tcW w:w="777" w:type="dxa"/>
            <w:tcBorders>
              <w:top w:val="nil"/>
              <w:left w:val="nil"/>
              <w:bottom w:val="nil"/>
              <w:right w:val="nil"/>
            </w:tcBorders>
            <w:shd w:val="clear" w:color="auto" w:fill="auto"/>
            <w:noWrap/>
            <w:vAlign w:val="center"/>
            <w:hideMark/>
          </w:tcPr>
          <w:p w14:paraId="516029B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109%</w:t>
            </w:r>
          </w:p>
        </w:tc>
        <w:tc>
          <w:tcPr>
            <w:tcW w:w="777" w:type="dxa"/>
            <w:tcBorders>
              <w:top w:val="nil"/>
              <w:left w:val="nil"/>
              <w:bottom w:val="nil"/>
              <w:right w:val="nil"/>
            </w:tcBorders>
            <w:shd w:val="clear" w:color="auto" w:fill="auto"/>
            <w:noWrap/>
            <w:vAlign w:val="center"/>
            <w:hideMark/>
          </w:tcPr>
          <w:p w14:paraId="712CA8F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108%</w:t>
            </w:r>
          </w:p>
        </w:tc>
        <w:tc>
          <w:tcPr>
            <w:tcW w:w="887" w:type="dxa"/>
            <w:tcBorders>
              <w:top w:val="nil"/>
              <w:left w:val="single" w:sz="8" w:space="0" w:color="auto"/>
              <w:bottom w:val="nil"/>
              <w:right w:val="nil"/>
            </w:tcBorders>
            <w:shd w:val="clear" w:color="auto" w:fill="auto"/>
            <w:noWrap/>
            <w:vAlign w:val="center"/>
            <w:hideMark/>
          </w:tcPr>
          <w:p w14:paraId="595A1B7D"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-2.10%</w:t>
            </w:r>
          </w:p>
        </w:tc>
        <w:tc>
          <w:tcPr>
            <w:tcW w:w="887" w:type="dxa"/>
            <w:tcBorders>
              <w:top w:val="nil"/>
              <w:left w:val="nil"/>
              <w:bottom w:val="nil"/>
              <w:right w:val="nil"/>
            </w:tcBorders>
            <w:shd w:val="clear" w:color="000000" w:fill="CCFFCC"/>
            <w:noWrap/>
            <w:vAlign w:val="center"/>
            <w:hideMark/>
          </w:tcPr>
          <w:p w14:paraId="70DD60A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E461E">
              <w:rPr>
                <w:rFonts w:ascii="Arial" w:hAnsi="Arial" w:cs="Arial"/>
                <w:sz w:val="18"/>
                <w:szCs w:val="18"/>
              </w:rPr>
              <w:t>-3.27%</w:t>
            </w:r>
          </w:p>
        </w:tc>
        <w:tc>
          <w:tcPr>
            <w:tcW w:w="887" w:type="dxa"/>
            <w:tcBorders>
              <w:top w:val="nil"/>
              <w:left w:val="nil"/>
              <w:bottom w:val="nil"/>
              <w:right w:val="single" w:sz="4" w:space="0" w:color="auto"/>
            </w:tcBorders>
            <w:shd w:val="clear" w:color="auto" w:fill="auto"/>
            <w:noWrap/>
            <w:vAlign w:val="center"/>
            <w:hideMark/>
          </w:tcPr>
          <w:p w14:paraId="77D1C32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-2.16%</w:t>
            </w:r>
          </w:p>
        </w:tc>
        <w:tc>
          <w:tcPr>
            <w:tcW w:w="777" w:type="dxa"/>
            <w:tcBorders>
              <w:top w:val="nil"/>
              <w:left w:val="nil"/>
              <w:bottom w:val="nil"/>
              <w:right w:val="nil"/>
            </w:tcBorders>
            <w:shd w:val="clear" w:color="auto" w:fill="auto"/>
            <w:noWrap/>
            <w:vAlign w:val="center"/>
            <w:hideMark/>
          </w:tcPr>
          <w:p w14:paraId="4537A886"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105%</w:t>
            </w:r>
          </w:p>
        </w:tc>
        <w:tc>
          <w:tcPr>
            <w:tcW w:w="942" w:type="dxa"/>
            <w:tcBorders>
              <w:top w:val="nil"/>
              <w:left w:val="nil"/>
              <w:bottom w:val="nil"/>
              <w:right w:val="single" w:sz="8" w:space="0" w:color="auto"/>
            </w:tcBorders>
            <w:shd w:val="clear" w:color="auto" w:fill="auto"/>
            <w:noWrap/>
            <w:vAlign w:val="center"/>
            <w:hideMark/>
          </w:tcPr>
          <w:p w14:paraId="0348E6F0"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114%</w:t>
            </w:r>
          </w:p>
        </w:tc>
      </w:tr>
      <w:tr w:rsidR="001E461E" w:rsidRPr="001E461E" w14:paraId="1B26D399" w14:textId="77777777" w:rsidTr="001E461E">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3523430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61E">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24CFE107"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-1.37%</w:t>
            </w:r>
          </w:p>
        </w:tc>
        <w:tc>
          <w:tcPr>
            <w:tcW w:w="887" w:type="dxa"/>
            <w:tcBorders>
              <w:top w:val="single" w:sz="8" w:space="0" w:color="auto"/>
              <w:left w:val="nil"/>
              <w:bottom w:val="nil"/>
              <w:right w:val="nil"/>
            </w:tcBorders>
            <w:shd w:val="clear" w:color="auto" w:fill="auto"/>
            <w:noWrap/>
            <w:vAlign w:val="center"/>
            <w:hideMark/>
          </w:tcPr>
          <w:p w14:paraId="55F88FD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-1.80%</w:t>
            </w:r>
          </w:p>
        </w:tc>
        <w:tc>
          <w:tcPr>
            <w:tcW w:w="887" w:type="dxa"/>
            <w:tcBorders>
              <w:top w:val="single" w:sz="8" w:space="0" w:color="auto"/>
              <w:left w:val="nil"/>
              <w:bottom w:val="nil"/>
              <w:right w:val="single" w:sz="4" w:space="0" w:color="auto"/>
            </w:tcBorders>
            <w:shd w:val="clear" w:color="auto" w:fill="auto"/>
            <w:noWrap/>
            <w:vAlign w:val="center"/>
            <w:hideMark/>
          </w:tcPr>
          <w:p w14:paraId="3BB27A07"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-1.90%</w:t>
            </w:r>
          </w:p>
        </w:tc>
        <w:tc>
          <w:tcPr>
            <w:tcW w:w="777" w:type="dxa"/>
            <w:tcBorders>
              <w:top w:val="single" w:sz="8" w:space="0" w:color="auto"/>
              <w:left w:val="nil"/>
              <w:bottom w:val="nil"/>
              <w:right w:val="nil"/>
            </w:tcBorders>
            <w:shd w:val="clear" w:color="auto" w:fill="auto"/>
            <w:noWrap/>
            <w:vAlign w:val="center"/>
            <w:hideMark/>
          </w:tcPr>
          <w:p w14:paraId="4900395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110%</w:t>
            </w:r>
          </w:p>
        </w:tc>
        <w:tc>
          <w:tcPr>
            <w:tcW w:w="777" w:type="dxa"/>
            <w:tcBorders>
              <w:top w:val="single" w:sz="8" w:space="0" w:color="auto"/>
              <w:left w:val="nil"/>
              <w:bottom w:val="nil"/>
              <w:right w:val="nil"/>
            </w:tcBorders>
            <w:shd w:val="clear" w:color="auto" w:fill="auto"/>
            <w:noWrap/>
            <w:vAlign w:val="center"/>
            <w:hideMark/>
          </w:tcPr>
          <w:p w14:paraId="28A53798"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112%</w:t>
            </w:r>
          </w:p>
        </w:tc>
        <w:tc>
          <w:tcPr>
            <w:tcW w:w="887" w:type="dxa"/>
            <w:tcBorders>
              <w:top w:val="single" w:sz="8" w:space="0" w:color="auto"/>
              <w:left w:val="single" w:sz="8" w:space="0" w:color="auto"/>
              <w:bottom w:val="nil"/>
              <w:right w:val="nil"/>
            </w:tcBorders>
            <w:shd w:val="clear" w:color="auto" w:fill="auto"/>
            <w:noWrap/>
            <w:vAlign w:val="center"/>
            <w:hideMark/>
          </w:tcPr>
          <w:p w14:paraId="65528C6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-1.80%</w:t>
            </w:r>
          </w:p>
        </w:tc>
        <w:tc>
          <w:tcPr>
            <w:tcW w:w="887" w:type="dxa"/>
            <w:tcBorders>
              <w:top w:val="single" w:sz="8" w:space="0" w:color="auto"/>
              <w:left w:val="nil"/>
              <w:bottom w:val="nil"/>
              <w:right w:val="nil"/>
            </w:tcBorders>
            <w:shd w:val="clear" w:color="auto" w:fill="auto"/>
            <w:noWrap/>
            <w:vAlign w:val="center"/>
            <w:hideMark/>
          </w:tcPr>
          <w:p w14:paraId="2AE0F827"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-2.92%</w:t>
            </w:r>
          </w:p>
        </w:tc>
        <w:tc>
          <w:tcPr>
            <w:tcW w:w="887" w:type="dxa"/>
            <w:tcBorders>
              <w:top w:val="single" w:sz="8" w:space="0" w:color="auto"/>
              <w:left w:val="nil"/>
              <w:bottom w:val="nil"/>
              <w:right w:val="single" w:sz="4" w:space="0" w:color="auto"/>
            </w:tcBorders>
            <w:shd w:val="clear" w:color="auto" w:fill="auto"/>
            <w:noWrap/>
            <w:vAlign w:val="center"/>
            <w:hideMark/>
          </w:tcPr>
          <w:p w14:paraId="139CB48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-2.60%</w:t>
            </w:r>
          </w:p>
        </w:tc>
        <w:tc>
          <w:tcPr>
            <w:tcW w:w="777" w:type="dxa"/>
            <w:tcBorders>
              <w:top w:val="single" w:sz="8" w:space="0" w:color="auto"/>
              <w:left w:val="nil"/>
              <w:bottom w:val="nil"/>
              <w:right w:val="nil"/>
            </w:tcBorders>
            <w:shd w:val="clear" w:color="auto" w:fill="auto"/>
            <w:noWrap/>
            <w:vAlign w:val="center"/>
            <w:hideMark/>
          </w:tcPr>
          <w:p w14:paraId="7DC58583"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105%</w:t>
            </w:r>
          </w:p>
        </w:tc>
        <w:tc>
          <w:tcPr>
            <w:tcW w:w="942" w:type="dxa"/>
            <w:tcBorders>
              <w:top w:val="single" w:sz="8" w:space="0" w:color="auto"/>
              <w:left w:val="nil"/>
              <w:bottom w:val="nil"/>
              <w:right w:val="single" w:sz="8" w:space="0" w:color="auto"/>
            </w:tcBorders>
            <w:shd w:val="clear" w:color="auto" w:fill="auto"/>
            <w:noWrap/>
            <w:vAlign w:val="center"/>
            <w:hideMark/>
          </w:tcPr>
          <w:p w14:paraId="1D9FEBD4"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115%</w:t>
            </w:r>
          </w:p>
        </w:tc>
      </w:tr>
      <w:tr w:rsidR="001E461E" w:rsidRPr="001E461E" w14:paraId="5DCAFD3A" w14:textId="77777777" w:rsidTr="001E461E">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3B90552C"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2B20427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-1.89%</w:t>
            </w:r>
          </w:p>
        </w:tc>
        <w:tc>
          <w:tcPr>
            <w:tcW w:w="887" w:type="dxa"/>
            <w:tcBorders>
              <w:top w:val="single" w:sz="8" w:space="0" w:color="auto"/>
              <w:left w:val="nil"/>
              <w:bottom w:val="single" w:sz="8" w:space="0" w:color="auto"/>
              <w:right w:val="nil"/>
            </w:tcBorders>
            <w:shd w:val="clear" w:color="auto" w:fill="auto"/>
            <w:noWrap/>
            <w:vAlign w:val="center"/>
            <w:hideMark/>
          </w:tcPr>
          <w:p w14:paraId="0FA3968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-2.20%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11D22F61"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-2.09%</w:t>
            </w:r>
          </w:p>
        </w:tc>
        <w:tc>
          <w:tcPr>
            <w:tcW w:w="777" w:type="dxa"/>
            <w:tcBorders>
              <w:top w:val="single" w:sz="8" w:space="0" w:color="auto"/>
              <w:left w:val="nil"/>
              <w:bottom w:val="single" w:sz="8" w:space="0" w:color="auto"/>
              <w:right w:val="nil"/>
            </w:tcBorders>
            <w:shd w:val="clear" w:color="auto" w:fill="auto"/>
            <w:noWrap/>
            <w:vAlign w:val="center"/>
            <w:hideMark/>
          </w:tcPr>
          <w:p w14:paraId="4770658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DF36B85"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119%</w:t>
            </w:r>
          </w:p>
        </w:tc>
        <w:tc>
          <w:tcPr>
            <w:tcW w:w="887" w:type="dxa"/>
            <w:tcBorders>
              <w:top w:val="single" w:sz="8" w:space="0" w:color="auto"/>
              <w:left w:val="nil"/>
              <w:bottom w:val="single" w:sz="8" w:space="0" w:color="auto"/>
              <w:right w:val="nil"/>
            </w:tcBorders>
            <w:shd w:val="clear" w:color="auto" w:fill="auto"/>
            <w:noWrap/>
            <w:vAlign w:val="center"/>
            <w:hideMark/>
          </w:tcPr>
          <w:p w14:paraId="3E709CBE"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-2.32%</w:t>
            </w:r>
          </w:p>
        </w:tc>
        <w:tc>
          <w:tcPr>
            <w:tcW w:w="887" w:type="dxa"/>
            <w:tcBorders>
              <w:top w:val="single" w:sz="8" w:space="0" w:color="auto"/>
              <w:left w:val="nil"/>
              <w:bottom w:val="single" w:sz="8" w:space="0" w:color="auto"/>
              <w:right w:val="nil"/>
            </w:tcBorders>
            <w:shd w:val="clear" w:color="auto" w:fill="auto"/>
            <w:noWrap/>
            <w:vAlign w:val="center"/>
            <w:hideMark/>
          </w:tcPr>
          <w:p w14:paraId="0139ED2F"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-2.88%</w:t>
            </w:r>
          </w:p>
        </w:tc>
        <w:tc>
          <w:tcPr>
            <w:tcW w:w="887" w:type="dxa"/>
            <w:tcBorders>
              <w:top w:val="single" w:sz="8" w:space="0" w:color="auto"/>
              <w:left w:val="nil"/>
              <w:bottom w:val="single" w:sz="8" w:space="0" w:color="auto"/>
              <w:right w:val="single" w:sz="4" w:space="0" w:color="auto"/>
            </w:tcBorders>
            <w:shd w:val="clear" w:color="000000" w:fill="CCFFCC"/>
            <w:noWrap/>
            <w:vAlign w:val="center"/>
            <w:hideMark/>
          </w:tcPr>
          <w:p w14:paraId="264CD47B"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E461E">
              <w:rPr>
                <w:rFonts w:ascii="Arial" w:hAnsi="Arial" w:cs="Arial"/>
                <w:sz w:val="18"/>
                <w:szCs w:val="18"/>
              </w:rPr>
              <w:t>-3.46%</w:t>
            </w:r>
          </w:p>
        </w:tc>
        <w:tc>
          <w:tcPr>
            <w:tcW w:w="777" w:type="dxa"/>
            <w:tcBorders>
              <w:top w:val="single" w:sz="8" w:space="0" w:color="auto"/>
              <w:left w:val="nil"/>
              <w:bottom w:val="single" w:sz="8" w:space="0" w:color="auto"/>
              <w:right w:val="nil"/>
            </w:tcBorders>
            <w:shd w:val="clear" w:color="auto" w:fill="auto"/>
            <w:noWrap/>
            <w:vAlign w:val="center"/>
            <w:hideMark/>
          </w:tcPr>
          <w:p w14:paraId="6C80333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106%</w:t>
            </w:r>
          </w:p>
        </w:tc>
        <w:tc>
          <w:tcPr>
            <w:tcW w:w="942" w:type="dxa"/>
            <w:tcBorders>
              <w:top w:val="single" w:sz="8" w:space="0" w:color="auto"/>
              <w:left w:val="nil"/>
              <w:bottom w:val="single" w:sz="8" w:space="0" w:color="auto"/>
              <w:right w:val="single" w:sz="8" w:space="0" w:color="auto"/>
            </w:tcBorders>
            <w:shd w:val="clear" w:color="auto" w:fill="auto"/>
            <w:noWrap/>
            <w:vAlign w:val="center"/>
            <w:hideMark/>
          </w:tcPr>
          <w:p w14:paraId="0D38F992" w14:textId="77777777" w:rsidR="001E461E" w:rsidRPr="001E461E" w:rsidRDefault="001E461E" w:rsidP="001E4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61E">
              <w:rPr>
                <w:rFonts w:ascii="Arial" w:hAnsi="Arial" w:cs="Arial"/>
                <w:color w:val="000000"/>
                <w:sz w:val="18"/>
                <w:szCs w:val="18"/>
              </w:rPr>
              <w:t>121%</w:t>
            </w:r>
          </w:p>
        </w:tc>
      </w:tr>
    </w:tbl>
    <w:p w14:paraId="19E1E860" w14:textId="77777777" w:rsidR="001E461E" w:rsidRDefault="001E461E" w:rsidP="002C3788">
      <w:pPr>
        <w:rPr>
          <w:lang w:val="en-CA"/>
        </w:rPr>
      </w:pPr>
    </w:p>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744851DC" w14:textId="77777777" w:rsidR="009713A0" w:rsidRDefault="009713A0" w:rsidP="009713A0">
      <w:pPr>
        <w:pStyle w:val="References"/>
        <w:rPr>
          <w:sz w:val="22"/>
          <w:szCs w:val="22"/>
        </w:rPr>
      </w:pPr>
      <w:bookmarkStart w:id="3" w:name="_Ref518314073"/>
      <w:bookmarkStart w:id="4" w:name="_Ref516585053"/>
      <w:bookmarkStart w:id="5" w:name="_Ref518065912"/>
      <w:r>
        <w:rPr>
          <w:sz w:val="22"/>
          <w:szCs w:val="22"/>
        </w:rPr>
        <w:t>J. Chen, E. Alshina, G. J. Sullivan, J.-R. Ohm, J. Boyce, “Algorithm description of joint exploration test mode (JEM7)”, JVET-G1001, August. 2017, Torino, Italy.</w:t>
      </w:r>
      <w:bookmarkEnd w:id="3"/>
    </w:p>
    <w:p w14:paraId="15795970" w14:textId="77777777" w:rsidR="009713A0" w:rsidRDefault="009713A0" w:rsidP="009713A0">
      <w:pPr>
        <w:pStyle w:val="References"/>
        <w:jc w:val="both"/>
        <w:rPr>
          <w:sz w:val="22"/>
          <w:szCs w:val="22"/>
        </w:rPr>
      </w:pPr>
      <w:bookmarkStart w:id="6" w:name="_Ref518294263"/>
      <w:bookmarkStart w:id="7" w:name="_Ref518066334"/>
      <w:bookmarkEnd w:id="4"/>
      <w:bookmarkEnd w:id="5"/>
      <w:r>
        <w:rPr>
          <w:sz w:val="22"/>
          <w:szCs w:val="22"/>
        </w:rPr>
        <w:t xml:space="preserve">X. Xiu, P. Hanhart, R. Vanam, Y. He, Y. He, “Description of SDR, HDR and </w:t>
      </w:r>
      <w:r w:rsidRPr="004E7F8D">
        <w:rPr>
          <w:sz w:val="22"/>
          <w:szCs w:val="22"/>
        </w:rPr>
        <w:t>360° video coding technology proposal by InterDigital Communications and Dolby Laboratories</w:t>
      </w:r>
      <w:r>
        <w:rPr>
          <w:sz w:val="22"/>
          <w:szCs w:val="22"/>
        </w:rPr>
        <w:t>”, JVET-J0015, April 2018, San Diego, USA.</w:t>
      </w:r>
      <w:bookmarkEnd w:id="6"/>
    </w:p>
    <w:p w14:paraId="6B68E28B" w14:textId="0FAD983B" w:rsidR="009713A0" w:rsidRPr="00883CE5" w:rsidRDefault="003758D5" w:rsidP="009713A0">
      <w:pPr>
        <w:pStyle w:val="References"/>
        <w:jc w:val="both"/>
        <w:rPr>
          <w:sz w:val="22"/>
          <w:szCs w:val="22"/>
        </w:rPr>
      </w:pPr>
      <w:bookmarkStart w:id="8" w:name="_Ref518297034"/>
      <w:bookmarkStart w:id="9" w:name="_Ref518162436"/>
      <w:r>
        <w:rPr>
          <w:sz w:val="22"/>
          <w:szCs w:val="22"/>
        </w:rPr>
        <w:t>C.-W. Hsu, M. Winken, X. Xiu,</w:t>
      </w:r>
      <w:r w:rsidR="009713A0" w:rsidRPr="00883CE5">
        <w:rPr>
          <w:sz w:val="22"/>
          <w:szCs w:val="22"/>
        </w:rPr>
        <w:t xml:space="preserve"> “Description of Core Experiment </w:t>
      </w:r>
      <w:r>
        <w:rPr>
          <w:sz w:val="22"/>
          <w:szCs w:val="22"/>
        </w:rPr>
        <w:t>10</w:t>
      </w:r>
      <w:r w:rsidR="009713A0" w:rsidRPr="00883CE5">
        <w:rPr>
          <w:sz w:val="22"/>
          <w:szCs w:val="22"/>
        </w:rPr>
        <w:t xml:space="preserve"> (CE9):</w:t>
      </w:r>
      <w:r>
        <w:rPr>
          <w:sz w:val="22"/>
          <w:szCs w:val="22"/>
        </w:rPr>
        <w:t xml:space="preserve"> Combined and multi-hypothesis prediction</w:t>
      </w:r>
      <w:r w:rsidR="009713A0" w:rsidRPr="00883CE5">
        <w:rPr>
          <w:sz w:val="22"/>
          <w:szCs w:val="22"/>
        </w:rPr>
        <w:t>”, JVET-J10</w:t>
      </w:r>
      <w:r>
        <w:rPr>
          <w:sz w:val="22"/>
          <w:szCs w:val="22"/>
        </w:rPr>
        <w:t>30</w:t>
      </w:r>
      <w:r w:rsidR="009713A0" w:rsidRPr="00883CE5">
        <w:rPr>
          <w:sz w:val="22"/>
          <w:szCs w:val="22"/>
        </w:rPr>
        <w:t>, April 2018, San Diego, USA.</w:t>
      </w:r>
      <w:bookmarkEnd w:id="7"/>
      <w:bookmarkEnd w:id="8"/>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A351F" w14:textId="77777777" w:rsidR="00DB6A96" w:rsidRDefault="00DB6A96">
      <w:r>
        <w:separator/>
      </w:r>
    </w:p>
  </w:endnote>
  <w:endnote w:type="continuationSeparator" w:id="0">
    <w:p w14:paraId="5578B55D" w14:textId="77777777" w:rsidR="00DB6A96" w:rsidRDefault="00DB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0C34B22" w:rsidR="008F0484" w:rsidRPr="00C00DDE" w:rsidRDefault="008F04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02A7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2A73">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F2A66" w14:textId="77777777" w:rsidR="00DB6A96" w:rsidRDefault="00DB6A96">
      <w:r>
        <w:separator/>
      </w:r>
    </w:p>
  </w:footnote>
  <w:footnote w:type="continuationSeparator" w:id="0">
    <w:p w14:paraId="5EC279E9" w14:textId="77777777" w:rsidR="00DB6A96" w:rsidRDefault="00DB6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2376AC"/>
    <w:multiLevelType w:val="hybridMultilevel"/>
    <w:tmpl w:val="1EFC03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F1299"/>
    <w:multiLevelType w:val="hybridMultilevel"/>
    <w:tmpl w:val="A3740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9B49D6"/>
    <w:multiLevelType w:val="hybridMultilevel"/>
    <w:tmpl w:val="B31CD860"/>
    <w:lvl w:ilvl="0" w:tplc="C6EE27C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6"/>
  </w:num>
  <w:num w:numId="7">
    <w:abstractNumId w:val="8"/>
  </w:num>
  <w:num w:numId="8">
    <w:abstractNumId w:val="6"/>
  </w:num>
  <w:num w:numId="9">
    <w:abstractNumId w:val="2"/>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18"/>
  </w:num>
  <w:num w:numId="16">
    <w:abstractNumId w:val="20"/>
  </w:num>
  <w:num w:numId="17">
    <w:abstractNumId w:val="6"/>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1"/>
  </w:num>
  <w:num w:numId="22">
    <w:abstractNumId w:val="6"/>
  </w:num>
  <w:num w:numId="23">
    <w:abstractNumId w:val="6"/>
  </w:num>
  <w:num w:numId="24">
    <w:abstractNumId w:val="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6"/>
  </w:num>
  <w:num w:numId="28">
    <w:abstractNumId w:val="19"/>
  </w:num>
  <w:num w:numId="29">
    <w:abstractNumId w:val="6"/>
  </w:num>
  <w:num w:numId="30">
    <w:abstractNumId w:val="6"/>
  </w:num>
  <w:num w:numId="31">
    <w:abstractNumId w:val="1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904B3"/>
    <w:rsid w:val="000B0751"/>
    <w:rsid w:val="000B0C0F"/>
    <w:rsid w:val="000B1C6B"/>
    <w:rsid w:val="000B24E1"/>
    <w:rsid w:val="000B4FF9"/>
    <w:rsid w:val="000C09AC"/>
    <w:rsid w:val="000D2703"/>
    <w:rsid w:val="000E00F3"/>
    <w:rsid w:val="000E2556"/>
    <w:rsid w:val="000E7C6D"/>
    <w:rsid w:val="000F158C"/>
    <w:rsid w:val="000F4A36"/>
    <w:rsid w:val="00102F3D"/>
    <w:rsid w:val="00104D89"/>
    <w:rsid w:val="00113CD4"/>
    <w:rsid w:val="00117343"/>
    <w:rsid w:val="00117D06"/>
    <w:rsid w:val="00124E38"/>
    <w:rsid w:val="0012580B"/>
    <w:rsid w:val="00126FDC"/>
    <w:rsid w:val="00131F90"/>
    <w:rsid w:val="001335EF"/>
    <w:rsid w:val="0013458C"/>
    <w:rsid w:val="0013526E"/>
    <w:rsid w:val="00146152"/>
    <w:rsid w:val="00150C94"/>
    <w:rsid w:val="00155526"/>
    <w:rsid w:val="00156221"/>
    <w:rsid w:val="001669FC"/>
    <w:rsid w:val="0016719C"/>
    <w:rsid w:val="00171371"/>
    <w:rsid w:val="00171AEA"/>
    <w:rsid w:val="00175A24"/>
    <w:rsid w:val="00177E15"/>
    <w:rsid w:val="00187E58"/>
    <w:rsid w:val="001A297E"/>
    <w:rsid w:val="001A368E"/>
    <w:rsid w:val="001A7329"/>
    <w:rsid w:val="001A7714"/>
    <w:rsid w:val="001A792F"/>
    <w:rsid w:val="001B4E28"/>
    <w:rsid w:val="001C2A61"/>
    <w:rsid w:val="001C3525"/>
    <w:rsid w:val="001C3AFB"/>
    <w:rsid w:val="001C3FD2"/>
    <w:rsid w:val="001D1BD2"/>
    <w:rsid w:val="001D7D70"/>
    <w:rsid w:val="001D7DF2"/>
    <w:rsid w:val="001E0248"/>
    <w:rsid w:val="001E02BE"/>
    <w:rsid w:val="001E3B37"/>
    <w:rsid w:val="001E461E"/>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7BA7"/>
    <w:rsid w:val="0023011C"/>
    <w:rsid w:val="00231918"/>
    <w:rsid w:val="002375C1"/>
    <w:rsid w:val="002445C8"/>
    <w:rsid w:val="00257644"/>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F164D"/>
    <w:rsid w:val="003021BC"/>
    <w:rsid w:val="00306206"/>
    <w:rsid w:val="00317D85"/>
    <w:rsid w:val="00322508"/>
    <w:rsid w:val="00327C56"/>
    <w:rsid w:val="003315A1"/>
    <w:rsid w:val="00332E0B"/>
    <w:rsid w:val="003332C8"/>
    <w:rsid w:val="00335492"/>
    <w:rsid w:val="003373EC"/>
    <w:rsid w:val="00342FF4"/>
    <w:rsid w:val="00345BAE"/>
    <w:rsid w:val="00346148"/>
    <w:rsid w:val="00347E2C"/>
    <w:rsid w:val="003517E1"/>
    <w:rsid w:val="00353BA5"/>
    <w:rsid w:val="00354E1D"/>
    <w:rsid w:val="003669EA"/>
    <w:rsid w:val="003706CC"/>
    <w:rsid w:val="003758D5"/>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65A1E"/>
    <w:rsid w:val="00495F30"/>
    <w:rsid w:val="004A0EAE"/>
    <w:rsid w:val="004A2A63"/>
    <w:rsid w:val="004A59E6"/>
    <w:rsid w:val="004B0435"/>
    <w:rsid w:val="004B210C"/>
    <w:rsid w:val="004D405F"/>
    <w:rsid w:val="004E4CAC"/>
    <w:rsid w:val="004E4F4F"/>
    <w:rsid w:val="004E6789"/>
    <w:rsid w:val="004E7F8D"/>
    <w:rsid w:val="004F61E3"/>
    <w:rsid w:val="00502E10"/>
    <w:rsid w:val="0051015C"/>
    <w:rsid w:val="005130D0"/>
    <w:rsid w:val="00516AAF"/>
    <w:rsid w:val="00516CF1"/>
    <w:rsid w:val="00522F18"/>
    <w:rsid w:val="00525884"/>
    <w:rsid w:val="00531AE9"/>
    <w:rsid w:val="005379D0"/>
    <w:rsid w:val="00550A66"/>
    <w:rsid w:val="00567EC7"/>
    <w:rsid w:val="00570013"/>
    <w:rsid w:val="005755A9"/>
    <w:rsid w:val="005801A2"/>
    <w:rsid w:val="0058131C"/>
    <w:rsid w:val="00593C38"/>
    <w:rsid w:val="005952A5"/>
    <w:rsid w:val="005A097C"/>
    <w:rsid w:val="005A33A1"/>
    <w:rsid w:val="005B0C9B"/>
    <w:rsid w:val="005B217D"/>
    <w:rsid w:val="005C1D23"/>
    <w:rsid w:val="005C385F"/>
    <w:rsid w:val="005E1AC6"/>
    <w:rsid w:val="005E1EB7"/>
    <w:rsid w:val="005F4EC1"/>
    <w:rsid w:val="005F6F1B"/>
    <w:rsid w:val="00615995"/>
    <w:rsid w:val="00615DF9"/>
    <w:rsid w:val="00616155"/>
    <w:rsid w:val="00624B33"/>
    <w:rsid w:val="00625105"/>
    <w:rsid w:val="0063041A"/>
    <w:rsid w:val="00630AA2"/>
    <w:rsid w:val="00640FA0"/>
    <w:rsid w:val="00646707"/>
    <w:rsid w:val="00657F7E"/>
    <w:rsid w:val="00662E58"/>
    <w:rsid w:val="00663170"/>
    <w:rsid w:val="006637F2"/>
    <w:rsid w:val="006642A5"/>
    <w:rsid w:val="00664DCF"/>
    <w:rsid w:val="00670C20"/>
    <w:rsid w:val="0067658F"/>
    <w:rsid w:val="00677811"/>
    <w:rsid w:val="0068741C"/>
    <w:rsid w:val="00695817"/>
    <w:rsid w:val="006A2CFC"/>
    <w:rsid w:val="006A43B2"/>
    <w:rsid w:val="006C0A14"/>
    <w:rsid w:val="006C1403"/>
    <w:rsid w:val="006C5D39"/>
    <w:rsid w:val="006D6D9B"/>
    <w:rsid w:val="006E2810"/>
    <w:rsid w:val="006E5417"/>
    <w:rsid w:val="006F0794"/>
    <w:rsid w:val="007023DE"/>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770"/>
    <w:rsid w:val="0079211A"/>
    <w:rsid w:val="00796EE3"/>
    <w:rsid w:val="007A118D"/>
    <w:rsid w:val="007A2419"/>
    <w:rsid w:val="007A7D29"/>
    <w:rsid w:val="007B4AB8"/>
    <w:rsid w:val="007B5B60"/>
    <w:rsid w:val="007C5A1F"/>
    <w:rsid w:val="007C6C45"/>
    <w:rsid w:val="007C74FC"/>
    <w:rsid w:val="007D1181"/>
    <w:rsid w:val="007D4BEE"/>
    <w:rsid w:val="007E01A3"/>
    <w:rsid w:val="007F1F8B"/>
    <w:rsid w:val="007F67A1"/>
    <w:rsid w:val="007F6D84"/>
    <w:rsid w:val="00802A73"/>
    <w:rsid w:val="00811C05"/>
    <w:rsid w:val="0081437A"/>
    <w:rsid w:val="00815948"/>
    <w:rsid w:val="008206C8"/>
    <w:rsid w:val="00850BA1"/>
    <w:rsid w:val="008543FC"/>
    <w:rsid w:val="00860A4A"/>
    <w:rsid w:val="0086387C"/>
    <w:rsid w:val="00867AB3"/>
    <w:rsid w:val="00870E53"/>
    <w:rsid w:val="00872D30"/>
    <w:rsid w:val="008749CA"/>
    <w:rsid w:val="00874A6C"/>
    <w:rsid w:val="00875030"/>
    <w:rsid w:val="00876C65"/>
    <w:rsid w:val="008771F8"/>
    <w:rsid w:val="00884097"/>
    <w:rsid w:val="008A4B4C"/>
    <w:rsid w:val="008B3A04"/>
    <w:rsid w:val="008C2011"/>
    <w:rsid w:val="008C239F"/>
    <w:rsid w:val="008D13F8"/>
    <w:rsid w:val="008D22B9"/>
    <w:rsid w:val="008E480C"/>
    <w:rsid w:val="008F0484"/>
    <w:rsid w:val="008F5CB3"/>
    <w:rsid w:val="008F721E"/>
    <w:rsid w:val="00907757"/>
    <w:rsid w:val="009212B0"/>
    <w:rsid w:val="00921FA1"/>
    <w:rsid w:val="009234A5"/>
    <w:rsid w:val="00933453"/>
    <w:rsid w:val="009336F7"/>
    <w:rsid w:val="0093636C"/>
    <w:rsid w:val="009374A7"/>
    <w:rsid w:val="009535D3"/>
    <w:rsid w:val="00955F6D"/>
    <w:rsid w:val="0096431D"/>
    <w:rsid w:val="009713A0"/>
    <w:rsid w:val="00977C16"/>
    <w:rsid w:val="00977F11"/>
    <w:rsid w:val="0098551D"/>
    <w:rsid w:val="009943ED"/>
    <w:rsid w:val="0099518F"/>
    <w:rsid w:val="009A12E9"/>
    <w:rsid w:val="009A523D"/>
    <w:rsid w:val="009A7682"/>
    <w:rsid w:val="009B02A1"/>
    <w:rsid w:val="009D0CC3"/>
    <w:rsid w:val="009D7CE6"/>
    <w:rsid w:val="009E046C"/>
    <w:rsid w:val="009E288D"/>
    <w:rsid w:val="009F496B"/>
    <w:rsid w:val="00A00487"/>
    <w:rsid w:val="00A01439"/>
    <w:rsid w:val="00A02E61"/>
    <w:rsid w:val="00A059BB"/>
    <w:rsid w:val="00A05CFF"/>
    <w:rsid w:val="00A078F2"/>
    <w:rsid w:val="00A11A4E"/>
    <w:rsid w:val="00A13048"/>
    <w:rsid w:val="00A217CD"/>
    <w:rsid w:val="00A46843"/>
    <w:rsid w:val="00A52EB6"/>
    <w:rsid w:val="00A56B97"/>
    <w:rsid w:val="00A6093D"/>
    <w:rsid w:val="00A74A6F"/>
    <w:rsid w:val="00A767DC"/>
    <w:rsid w:val="00A76A6D"/>
    <w:rsid w:val="00A83253"/>
    <w:rsid w:val="00A869F7"/>
    <w:rsid w:val="00A914EF"/>
    <w:rsid w:val="00A941B6"/>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56DC"/>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F3BCE"/>
    <w:rsid w:val="00C00DDE"/>
    <w:rsid w:val="00C04F43"/>
    <w:rsid w:val="00C05E08"/>
    <w:rsid w:val="00C0609D"/>
    <w:rsid w:val="00C115AB"/>
    <w:rsid w:val="00C128BC"/>
    <w:rsid w:val="00C26CCB"/>
    <w:rsid w:val="00C30249"/>
    <w:rsid w:val="00C32F6D"/>
    <w:rsid w:val="00C3723B"/>
    <w:rsid w:val="00C41B57"/>
    <w:rsid w:val="00C41E02"/>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EAB"/>
    <w:rsid w:val="00CD7A32"/>
    <w:rsid w:val="00CE5E02"/>
    <w:rsid w:val="00CF34DB"/>
    <w:rsid w:val="00CF558F"/>
    <w:rsid w:val="00CF7F92"/>
    <w:rsid w:val="00D010C0"/>
    <w:rsid w:val="00D04566"/>
    <w:rsid w:val="00D073E2"/>
    <w:rsid w:val="00D12951"/>
    <w:rsid w:val="00D20637"/>
    <w:rsid w:val="00D23F37"/>
    <w:rsid w:val="00D253C3"/>
    <w:rsid w:val="00D446EC"/>
    <w:rsid w:val="00D51BF0"/>
    <w:rsid w:val="00D531DB"/>
    <w:rsid w:val="00D54D01"/>
    <w:rsid w:val="00D55942"/>
    <w:rsid w:val="00D57574"/>
    <w:rsid w:val="00D609E8"/>
    <w:rsid w:val="00D640AF"/>
    <w:rsid w:val="00D6590B"/>
    <w:rsid w:val="00D67863"/>
    <w:rsid w:val="00D720E2"/>
    <w:rsid w:val="00D807BF"/>
    <w:rsid w:val="00D82FCC"/>
    <w:rsid w:val="00D927AA"/>
    <w:rsid w:val="00D94B12"/>
    <w:rsid w:val="00DA17FC"/>
    <w:rsid w:val="00DA7887"/>
    <w:rsid w:val="00DB2C26"/>
    <w:rsid w:val="00DB4163"/>
    <w:rsid w:val="00DB5AC8"/>
    <w:rsid w:val="00DB6A96"/>
    <w:rsid w:val="00DC548B"/>
    <w:rsid w:val="00DC75AB"/>
    <w:rsid w:val="00DD02F4"/>
    <w:rsid w:val="00DD4D2A"/>
    <w:rsid w:val="00DD6622"/>
    <w:rsid w:val="00DE1C7C"/>
    <w:rsid w:val="00DE6B43"/>
    <w:rsid w:val="00DE6D6D"/>
    <w:rsid w:val="00DF24AE"/>
    <w:rsid w:val="00DF3636"/>
    <w:rsid w:val="00E01C0D"/>
    <w:rsid w:val="00E03111"/>
    <w:rsid w:val="00E103A0"/>
    <w:rsid w:val="00E11923"/>
    <w:rsid w:val="00E262D4"/>
    <w:rsid w:val="00E36250"/>
    <w:rsid w:val="00E47F2D"/>
    <w:rsid w:val="00E54511"/>
    <w:rsid w:val="00E57B07"/>
    <w:rsid w:val="00E61268"/>
    <w:rsid w:val="00E61DAC"/>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7CD8"/>
    <w:rsid w:val="00EF0D34"/>
    <w:rsid w:val="00EF33D4"/>
    <w:rsid w:val="00EF48CC"/>
    <w:rsid w:val="00F00801"/>
    <w:rsid w:val="00F208AF"/>
    <w:rsid w:val="00F2488D"/>
    <w:rsid w:val="00F32157"/>
    <w:rsid w:val="00F41564"/>
    <w:rsid w:val="00F50C0F"/>
    <w:rsid w:val="00F601A0"/>
    <w:rsid w:val="00F712E9"/>
    <w:rsid w:val="00F72EB3"/>
    <w:rsid w:val="00F73032"/>
    <w:rsid w:val="00F747F8"/>
    <w:rsid w:val="00F848FC"/>
    <w:rsid w:val="00F85BCE"/>
    <w:rsid w:val="00F906F6"/>
    <w:rsid w:val="00F9282A"/>
    <w:rsid w:val="00F9439C"/>
    <w:rsid w:val="00F96BAD"/>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4D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969021179">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32606786">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C27FA-FE09-47ED-80A5-E9D11C1E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70</cp:revision>
  <cp:lastPrinted>1900-01-01T08:00:00Z</cp:lastPrinted>
  <dcterms:created xsi:type="dcterms:W3CDTF">2018-06-30T05:26:00Z</dcterms:created>
  <dcterms:modified xsi:type="dcterms:W3CDTF">2018-07-03T03:58:00Z</dcterms:modified>
</cp:coreProperties>
</file>