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1063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CB70B6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B57A23">
              <w:rPr>
                <w:lang w:val="en-CA"/>
              </w:rPr>
              <w:t>K</w:t>
            </w:r>
            <w:r w:rsidR="00CC1FCC">
              <w:rPr>
                <w:lang w:val="en-CA"/>
              </w:rPr>
              <w:t>0344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4F0311" w:rsidR="00E61DAC" w:rsidRPr="005B217D" w:rsidRDefault="00DF3636" w:rsidP="009D7CE6">
            <w:pPr>
              <w:spacing w:before="60" w:after="60"/>
              <w:rPr>
                <w:b/>
                <w:szCs w:val="22"/>
                <w:lang w:val="en-CA"/>
              </w:rPr>
            </w:pPr>
            <w:r>
              <w:rPr>
                <w:b/>
                <w:szCs w:val="22"/>
                <w:lang w:val="en-CA"/>
              </w:rPr>
              <w:t>C</w:t>
            </w:r>
            <w:r w:rsidR="00486AC4">
              <w:rPr>
                <w:b/>
                <w:szCs w:val="22"/>
                <w:lang w:val="en-CA"/>
              </w:rPr>
              <w:t>E9.5</w:t>
            </w:r>
            <w:r w:rsidR="009E6760">
              <w:rPr>
                <w:b/>
                <w:szCs w:val="22"/>
                <w:lang w:val="en-CA"/>
              </w:rPr>
              <w:t>.3</w:t>
            </w:r>
            <w:r w:rsidR="009943ED">
              <w:rPr>
                <w:b/>
                <w:szCs w:val="22"/>
                <w:lang w:val="en-CA"/>
              </w:rPr>
              <w:t>:</w:t>
            </w:r>
            <w:r w:rsidR="000D0D5C">
              <w:rPr>
                <w:b/>
                <w:szCs w:val="22"/>
                <w:lang w:val="en-CA"/>
              </w:rPr>
              <w:t xml:space="preserve"> Bi-directional optical flow (BIO)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310633"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BB8B55" w14:textId="77777777" w:rsidR="00C24AD4" w:rsidRDefault="0068741C" w:rsidP="00C24AD4">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w:t>
      </w:r>
      <w:r w:rsidR="0030163D">
        <w:rPr>
          <w:lang w:val="en-CA"/>
        </w:rPr>
        <w:t>5</w:t>
      </w:r>
      <w:r w:rsidR="006C7447">
        <w:rPr>
          <w:lang w:val="en-CA"/>
        </w:rPr>
        <w:t xml:space="preserve">.3 on complexity reduction of </w:t>
      </w:r>
      <w:r w:rsidR="002F6FD3">
        <w:rPr>
          <w:lang w:val="en-CA"/>
        </w:rPr>
        <w:t>bi-directional optical flow (BIO)</w:t>
      </w:r>
      <w:r w:rsidR="003332C8">
        <w:rPr>
          <w:lang w:val="en-CA"/>
        </w:rPr>
        <w:t>.</w:t>
      </w:r>
      <w:r w:rsidR="00EF60C5">
        <w:rPr>
          <w:lang w:val="en-CA"/>
        </w:rPr>
        <w:t xml:space="preserve"> </w:t>
      </w:r>
      <w:r w:rsidR="00632678">
        <w:rPr>
          <w:lang w:val="en-CA"/>
        </w:rPr>
        <w:t xml:space="preserve">In this CE test, the existing </w:t>
      </w:r>
      <w:r w:rsidR="002F6FD3">
        <w:rPr>
          <w:lang w:val="en-CA"/>
        </w:rPr>
        <w:t>BIO</w:t>
      </w:r>
      <w:r w:rsidR="00632678">
        <w:rPr>
          <w:lang w:val="en-CA"/>
        </w:rPr>
        <w:t xml:space="preserve"> design </w:t>
      </w:r>
      <w:r w:rsidR="007D552E">
        <w:rPr>
          <w:lang w:val="en-CA"/>
        </w:rPr>
        <w:t xml:space="preserve">in the </w:t>
      </w:r>
      <w:r w:rsidR="002F6FD3">
        <w:rPr>
          <w:lang w:val="en-CA"/>
        </w:rPr>
        <w:t xml:space="preserve">joint exploration model (JEM)-7.0 </w:t>
      </w:r>
      <w:r w:rsidR="00632678">
        <w:rPr>
          <w:lang w:val="en-CA"/>
        </w:rPr>
        <w:t xml:space="preserve">is used as the base. </w:t>
      </w:r>
      <w:r w:rsidR="00C24AD4">
        <w:rPr>
          <w:lang w:val="en-CA"/>
        </w:rPr>
        <w:t>Additionally, one two-stage early termination method is used to conditionally disable the BIO based on the similarity between two bi-prediction signals at both CU and sub-CU levels. Simulation results show that compared to VTM-1.0 anchors, the proposed BIO method provides on average {Y, U, V} BD-rate savings of {2.61%, 1.02%, 0.74%} for RA with average encoding and decoding time of 111% and 137%.</w:t>
      </w:r>
    </w:p>
    <w:p w14:paraId="7D2AC1F0" w14:textId="65442E92" w:rsidR="00745F6B" w:rsidRPr="005B217D" w:rsidRDefault="00745F6B" w:rsidP="00C24AD4">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52733468" w14:textId="4EF5E39A" w:rsidR="00E14C00" w:rsidRDefault="00E14C00" w:rsidP="009F002F">
      <w:pPr>
        <w:rPr>
          <w:lang w:eastAsia="ko-KR"/>
        </w:rPr>
      </w:pPr>
      <w:r>
        <w:rPr>
          <w:lang w:val="en-CA"/>
        </w:rPr>
        <w:t>Bi-directional optical flow (BIO)</w:t>
      </w:r>
      <w:r w:rsidR="00E6303E">
        <w:rPr>
          <w:lang w:val="en-CA"/>
        </w:rPr>
        <w:t xml:space="preserve"> is one coding tool that is included in joint exploration model (JEM)-7.0</w:t>
      </w:r>
      <w:r w:rsidR="00171BDF">
        <w:rPr>
          <w:lang w:val="en-CA"/>
        </w:rPr>
        <w:t xml:space="preserve"> </w:t>
      </w:r>
      <w:r w:rsidR="00171BDF">
        <w:rPr>
          <w:lang w:val="en-CA"/>
        </w:rPr>
        <w:fldChar w:fldCharType="begin"/>
      </w:r>
      <w:r w:rsidR="00171BDF">
        <w:rPr>
          <w:lang w:val="en-CA"/>
        </w:rPr>
        <w:instrText xml:space="preserve"> REF _Ref518314073 \r \h </w:instrText>
      </w:r>
      <w:r w:rsidR="00171BDF">
        <w:rPr>
          <w:lang w:val="en-CA"/>
        </w:rPr>
      </w:r>
      <w:r w:rsidR="00171BDF">
        <w:rPr>
          <w:lang w:val="en-CA"/>
        </w:rPr>
        <w:fldChar w:fldCharType="separate"/>
      </w:r>
      <w:r w:rsidR="00171BDF">
        <w:rPr>
          <w:lang w:val="en-CA"/>
        </w:rPr>
        <w:t>[1]</w:t>
      </w:r>
      <w:r w:rsidR="00171BDF">
        <w:rPr>
          <w:lang w:val="en-CA"/>
        </w:rPr>
        <w:fldChar w:fldCharType="end"/>
      </w:r>
      <w:r w:rsidR="00E6303E">
        <w:rPr>
          <w:lang w:val="en-CA"/>
        </w:rPr>
        <w:t>.</w:t>
      </w:r>
      <w:r w:rsidR="00171BDF">
        <w:rPr>
          <w:lang w:val="en-CA"/>
        </w:rPr>
        <w:t xml:space="preserve"> The BIO tool was designed to </w:t>
      </w:r>
      <w:r w:rsidR="00171BDF">
        <w:rPr>
          <w:lang w:eastAsia="ko-KR"/>
        </w:rPr>
        <w:t xml:space="preserve">enhance the conventional motion compensation (MC) by improving both the granularity and the accuracy of the motion vectors (MVs) that are used at the MC stage. Although the BIO can improve the coding efficiency, it also introduces significant complexity increase to both encoder and decoder, because it is applied to bi-predicted coding units (CUs) in all inter coding modes when the conditions that enable the BIO are satisfied </w:t>
      </w:r>
      <w:r w:rsidR="00171BDF">
        <w:rPr>
          <w:lang w:val="en-CA"/>
        </w:rPr>
        <w:fldChar w:fldCharType="begin"/>
      </w:r>
      <w:r w:rsidR="00171BDF">
        <w:rPr>
          <w:lang w:val="en-CA"/>
        </w:rPr>
        <w:instrText xml:space="preserve"> REF _Ref518314073 \r \h </w:instrText>
      </w:r>
      <w:r w:rsidR="00171BDF">
        <w:rPr>
          <w:lang w:val="en-CA"/>
        </w:rPr>
      </w:r>
      <w:r w:rsidR="00171BDF">
        <w:rPr>
          <w:lang w:val="en-CA"/>
        </w:rPr>
        <w:fldChar w:fldCharType="separate"/>
      </w:r>
      <w:r w:rsidR="00171BDF">
        <w:rPr>
          <w:lang w:val="en-CA"/>
        </w:rPr>
        <w:t>[1]</w:t>
      </w:r>
      <w:r w:rsidR="00171BDF">
        <w:rPr>
          <w:lang w:val="en-CA"/>
        </w:rPr>
        <w:fldChar w:fldCharType="end"/>
      </w:r>
      <w:r w:rsidR="00171BDF">
        <w:rPr>
          <w:lang w:eastAsia="ko-KR"/>
        </w:rPr>
        <w:t>.</w:t>
      </w:r>
    </w:p>
    <w:p w14:paraId="19B3A7A5" w14:textId="06E7D85C" w:rsidR="002445C8" w:rsidRPr="00361A25" w:rsidRDefault="00104AF3" w:rsidP="00361A25">
      <w:r>
        <w:t xml:space="preserve">In </w:t>
      </w:r>
      <w:r>
        <w:fldChar w:fldCharType="begin"/>
      </w:r>
      <w:r>
        <w:instrText xml:space="preserve"> REF _Ref518294263 \r \h </w:instrText>
      </w:r>
      <w:r>
        <w:fldChar w:fldCharType="separate"/>
      </w:r>
      <w:r>
        <w:t>[2]</w:t>
      </w:r>
      <w:r>
        <w:fldChar w:fldCharType="end"/>
      </w:r>
      <w:r>
        <w:t xml:space="preserve">, </w:t>
      </w:r>
      <w:r w:rsidR="005249B0">
        <w:t xml:space="preserve">a two-stage early termination method is used </w:t>
      </w:r>
      <w:r>
        <w:t xml:space="preserve">to </w:t>
      </w:r>
      <w:r w:rsidR="005249B0">
        <w:t xml:space="preserve">conditionally disable the BIO operations depending on the similarity between the two prediction signals. </w:t>
      </w:r>
      <w:r w:rsidR="00486AC4">
        <w:t>The early termination</w:t>
      </w:r>
      <w:r w:rsidR="005249B0">
        <w:t xml:space="preserve"> is first applied at the CU-level and then at the sub-CU-level. Specifically, the proposed method first calculates the SAD between the </w:t>
      </w:r>
      <w:r w:rsidR="00486AC4">
        <w:t>L0 and L1</w:t>
      </w:r>
      <w:r w:rsidR="005249B0">
        <w:t xml:space="preserve"> prediction signals at the CU level. Given that the BIO is only applied to luma </w:t>
      </w:r>
      <w:r w:rsidR="00486AC4">
        <w:rPr>
          <w:lang w:val="en-CA"/>
        </w:rPr>
        <w:fldChar w:fldCharType="begin"/>
      </w:r>
      <w:r w:rsidR="00486AC4">
        <w:rPr>
          <w:lang w:val="en-CA"/>
        </w:rPr>
        <w:instrText xml:space="preserve"> REF _Ref518314073 \r \h </w:instrText>
      </w:r>
      <w:r w:rsidR="00486AC4">
        <w:rPr>
          <w:lang w:val="en-CA"/>
        </w:rPr>
      </w:r>
      <w:r w:rsidR="00486AC4">
        <w:rPr>
          <w:lang w:val="en-CA"/>
        </w:rPr>
        <w:fldChar w:fldCharType="separate"/>
      </w:r>
      <w:r w:rsidR="00486AC4">
        <w:rPr>
          <w:lang w:val="en-CA"/>
        </w:rPr>
        <w:t>[1]</w:t>
      </w:r>
      <w:r w:rsidR="00486AC4">
        <w:rPr>
          <w:lang w:val="en-CA"/>
        </w:rPr>
        <w:fldChar w:fldCharType="end"/>
      </w:r>
      <w:r w:rsidR="005249B0">
        <w:t xml:space="preserve">, only the luma samples need to be considered for the SAD calculation. If the CU-level SAD is no larger than a predefined threshold, the BIO process is completely disabled for the whole CU. The CU-level threshold is set to </w:t>
      </w:r>
      <w:r w:rsidR="005249B0" w:rsidRPr="005249B0">
        <w:fldChar w:fldCharType="begin"/>
      </w:r>
      <w:r w:rsidR="005249B0" w:rsidRPr="005249B0">
        <w:instrText xml:space="preserve"> QUOTE </w:instrText>
      </w:r>
      <w:r w:rsidR="00310633">
        <w:rPr>
          <w:position w:val="-5"/>
        </w:rPr>
        <w:pict w14:anchorId="61E9AD64">
          <v:shape id="_x0000_i1025"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E70E1&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E70E1&quot; wsp:rsidP=&quot;009E70E1&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5249B0" w:rsidRPr="005249B0">
        <w:instrText xml:space="preserve"> </w:instrText>
      </w:r>
      <w:r w:rsidR="005249B0" w:rsidRPr="005249B0">
        <w:fldChar w:fldCharType="separate"/>
      </w:r>
      <w:r w:rsidR="00310633">
        <w:rPr>
          <w:position w:val="-5"/>
        </w:rPr>
        <w:pict w14:anchorId="5A2F3B97">
          <v:shape id="_x0000_i1026"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E70E1&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E70E1&quot; wsp:rsidP=&quot;009E70E1&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5249B0" w:rsidRPr="005249B0">
        <w:fldChar w:fldCharType="end"/>
      </w:r>
      <w:r w:rsidR="005249B0" w:rsidRPr="00DF28EB">
        <w:t xml:space="preserve"> </w:t>
      </w:r>
      <w:r w:rsidR="005249B0">
        <w:t xml:space="preserve"> per sample</w:t>
      </w:r>
      <w:r w:rsidR="00486AC4">
        <w:t>.</w:t>
      </w:r>
      <w:r w:rsidR="005249B0">
        <w:t xml:space="preserve"> If the BIO process is not disabled at the CU level, and if the current CU contains multiple sub-CUs, the SAD of each sub-CU inside the CU will be calculated. Then, the decision on whether to enable or disable the BIO process is made at the sub-CU-level based on a predefined sub-CU-level SAD threshold, which is set to </w:t>
      </w:r>
      <w:r w:rsidR="005249B0" w:rsidRPr="005249B0">
        <w:fldChar w:fldCharType="begin"/>
      </w:r>
      <w:r w:rsidR="005249B0" w:rsidRPr="005249B0">
        <w:instrText xml:space="preserve"> QUOTE </w:instrText>
      </w:r>
      <w:r w:rsidR="00310633">
        <w:rPr>
          <w:position w:val="-5"/>
        </w:rPr>
        <w:pict w14:anchorId="00AA3C4A">
          <v:shape id="_x0000_i1027" type="#_x0000_t75" style="width:71.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25425&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F25425&quot; wsp:rsidP=&quot;00F25425&quot;&gt;&lt;m:oMathPara&gt;&lt;m:oMath&gt;&lt;m:r&gt;&lt;w:rPr&gt;&lt;w:rFonts w:ascii=&quot;Cambria Math&quot; w:h-ansi=&quot;Cambria Math&quot;/&gt;&lt;wx:font wx:val=&quot;Cambria Math&quot;/&gt;&lt;w:i/&gt;&lt;/w:rPr&gt;&lt;m:t&gt;3âˆ™&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10&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5249B0" w:rsidRPr="005249B0">
        <w:instrText xml:space="preserve"> </w:instrText>
      </w:r>
      <w:r w:rsidR="005249B0" w:rsidRPr="005249B0">
        <w:fldChar w:fldCharType="separate"/>
      </w:r>
      <w:r w:rsidR="00310633">
        <w:rPr>
          <w:position w:val="-5"/>
        </w:rPr>
        <w:pict w14:anchorId="4A6E91DC">
          <v:shape id="_x0000_i1028" type="#_x0000_t75" style="width:71.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5DBF&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097C&quot;/&gt;&lt;wsp:rsid wsp:val=&quot;005A33A1&quot;/&gt;&lt;wsp:rsid wsp:val=&quot;005B0C9B&quot;/&gt;&lt;wsp:rsid wsp:val=&quot;005B217D&quot;/&gt;&lt;wsp:rsid wsp:val=&quot;005C1D23&quot;/&gt;&lt;wsp:rsid wsp:val=&quot;005C385F&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5817&quot;/&gt;&lt;wsp:rsid wsp:val=&quot;006A2CFC&quot;/&gt;&lt;wsp:rsid wsp:val=&quot;006A43B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03111&quot;/&gt;&lt;wsp:rsid wsp:val=&quot;00E103A0&quot;/&gt;&lt;wsp:rsid wsp:val=&quot;00E11923&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F00801&quot;/&gt;&lt;wsp:rsid wsp:val=&quot;00F12BA0&quot;/&gt;&lt;wsp:rsid wsp:val=&quot;00F208AF&quot;/&gt;&lt;wsp:rsid wsp:val=&quot;00F2488D&quot;/&gt;&lt;wsp:rsid wsp:val=&quot;00F25425&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F25425&quot; wsp:rsidP=&quot;00F25425&quot;&gt;&lt;m:oMathPara&gt;&lt;m:oMath&gt;&lt;m:r&gt;&lt;w:rPr&gt;&lt;w:rFonts w:ascii=&quot;Cambria Math&quot; w:h-ansi=&quot;Cambria Math&quot;/&gt;&lt;wx:font wx:val=&quot;Cambria Math&quot;/&gt;&lt;w:i/&gt;&lt;/w:rPr&gt;&lt;m:t&gt;3âˆ™&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10&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5249B0" w:rsidRPr="005249B0">
        <w:fldChar w:fldCharType="end"/>
      </w:r>
      <w:r w:rsidR="005249B0">
        <w:t xml:space="preserve"> per sample</w:t>
      </w:r>
      <w:r w:rsidR="00486AC4">
        <w:t xml:space="preserve">. Additionally, in </w:t>
      </w:r>
      <w:r w:rsidR="00486AC4">
        <w:fldChar w:fldCharType="begin"/>
      </w:r>
      <w:r w:rsidR="00486AC4">
        <w:instrText xml:space="preserve"> REF _Ref518294263 \r \h </w:instrText>
      </w:r>
      <w:r w:rsidR="00486AC4">
        <w:fldChar w:fldCharType="separate"/>
      </w:r>
      <w:r w:rsidR="00486AC4">
        <w:t>[2]</w:t>
      </w:r>
      <w:r w:rsidR="00486AC4">
        <w:fldChar w:fldCharType="end"/>
      </w:r>
      <w:r w:rsidR="00486AC4">
        <w:t>, the BIO is always disabled when the current picture is one low-delay (LD) picture</w:t>
      </w:r>
      <w:r w:rsidR="00D15CC6">
        <w:t>.</w:t>
      </w:r>
      <w:r w:rsidR="00486AC4">
        <w:t xml:space="preserve"> The method was included in Core Experiment (CE) 9 as test 5.3 for further evaluation </w:t>
      </w:r>
      <w:r w:rsidR="00486AC4">
        <w:fldChar w:fldCharType="begin"/>
      </w:r>
      <w:r w:rsidR="00486AC4">
        <w:instrText xml:space="preserve"> REF _Ref518297034 \r \h </w:instrText>
      </w:r>
      <w:r w:rsidR="00486AC4">
        <w:fldChar w:fldCharType="separate"/>
      </w:r>
      <w:r w:rsidR="00486AC4">
        <w:t>[3]</w:t>
      </w:r>
      <w:r w:rsidR="00486AC4">
        <w:fldChar w:fldCharType="end"/>
      </w:r>
      <w:r w:rsidR="00486AC4">
        <w:t>.</w:t>
      </w:r>
      <w:r w:rsidR="00361A25">
        <w:t xml:space="preserve"> This document reports the simulation results of the CE test.</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570A0BE8" w14:textId="5A49884D" w:rsidR="008D22B9" w:rsidRDefault="00150E0C" w:rsidP="000B0751">
      <w:pPr>
        <w:spacing w:before="60"/>
        <w:rPr>
          <w:szCs w:val="22"/>
          <w:lang w:val="en-CA"/>
        </w:rPr>
      </w:pPr>
      <w:r>
        <w:rPr>
          <w:szCs w:val="22"/>
          <w:lang w:val="en-CA"/>
        </w:rPr>
        <w:t xml:space="preserve">The proposed method was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both VTM and BMS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applied. Specifically, the proposed method is compared with two anchors: for the VTM test, the anchor is the BD-rate performance of VTM-1.0; for the BMS test, the anchor is the BD-rate performance of BMS-1.0.</w:t>
      </w:r>
    </w:p>
    <w:p w14:paraId="45FD1AA1" w14:textId="251CAAC9" w:rsidR="00E441AE" w:rsidRDefault="00E441AE" w:rsidP="00E441AE">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VTM-1.0 anchor</w:t>
      </w:r>
      <w:r w:rsidR="00E67651">
        <w:rPr>
          <w:b w:val="0"/>
          <w:sz w:val="22"/>
          <w:szCs w:val="22"/>
        </w:rPr>
        <w:t xml:space="preserve"> and BMS-1.0 anchor</w:t>
      </w: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2038E8" w:rsidRPr="00E03217" w14:paraId="5162EEDA" w14:textId="77777777" w:rsidTr="00780CBC">
        <w:trPr>
          <w:trHeight w:val="255"/>
        </w:trPr>
        <w:tc>
          <w:tcPr>
            <w:tcW w:w="1037" w:type="dxa"/>
            <w:tcBorders>
              <w:top w:val="nil"/>
              <w:left w:val="nil"/>
              <w:bottom w:val="nil"/>
              <w:right w:val="nil"/>
            </w:tcBorders>
            <w:shd w:val="clear" w:color="auto" w:fill="auto"/>
            <w:noWrap/>
            <w:vAlign w:val="center"/>
            <w:hideMark/>
          </w:tcPr>
          <w:p w14:paraId="31E53C0E"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23DA154"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Random Access Main 10</w:t>
            </w:r>
          </w:p>
        </w:tc>
      </w:tr>
      <w:tr w:rsidR="002038E8" w:rsidRPr="00E03217" w14:paraId="4508865F" w14:textId="77777777" w:rsidTr="00780CBC">
        <w:trPr>
          <w:trHeight w:val="255"/>
        </w:trPr>
        <w:tc>
          <w:tcPr>
            <w:tcW w:w="1037" w:type="dxa"/>
            <w:tcBorders>
              <w:top w:val="nil"/>
              <w:left w:val="nil"/>
              <w:bottom w:val="nil"/>
              <w:right w:val="nil"/>
            </w:tcBorders>
            <w:shd w:val="clear" w:color="auto" w:fill="auto"/>
            <w:noWrap/>
            <w:vAlign w:val="center"/>
            <w:hideMark/>
          </w:tcPr>
          <w:p w14:paraId="5B720B24"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225E23"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5E823A6E"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BMS-1.0</w:t>
            </w:r>
          </w:p>
        </w:tc>
      </w:tr>
      <w:tr w:rsidR="002038E8" w:rsidRPr="00E03217" w14:paraId="7ADC4523" w14:textId="77777777" w:rsidTr="00780CBC">
        <w:trPr>
          <w:trHeight w:val="255"/>
        </w:trPr>
        <w:tc>
          <w:tcPr>
            <w:tcW w:w="1037" w:type="dxa"/>
            <w:tcBorders>
              <w:top w:val="nil"/>
              <w:left w:val="nil"/>
              <w:bottom w:val="nil"/>
              <w:right w:val="nil"/>
            </w:tcBorders>
            <w:shd w:val="clear" w:color="auto" w:fill="auto"/>
            <w:noWrap/>
            <w:vAlign w:val="center"/>
            <w:hideMark/>
          </w:tcPr>
          <w:p w14:paraId="7317C060"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713C2938"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2C063D69"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66EA690"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5DF88561"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221B461"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c>
          <w:tcPr>
            <w:tcW w:w="1057" w:type="dxa"/>
            <w:tcBorders>
              <w:top w:val="nil"/>
              <w:left w:val="nil"/>
              <w:bottom w:val="single" w:sz="8" w:space="0" w:color="auto"/>
              <w:right w:val="nil"/>
            </w:tcBorders>
            <w:shd w:val="clear" w:color="auto" w:fill="auto"/>
            <w:noWrap/>
            <w:vAlign w:val="center"/>
            <w:hideMark/>
          </w:tcPr>
          <w:p w14:paraId="0211B46D"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7C435C23"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3F32A0CE"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144FD395"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5574BF50" w14:textId="77777777" w:rsidR="002038E8" w:rsidRPr="00E03217" w:rsidRDefault="002038E8" w:rsidP="0078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r>
      <w:tr w:rsidR="002038E8" w:rsidRPr="00E03217" w14:paraId="18B79430" w14:textId="77777777" w:rsidTr="009F0D2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F555130"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A1</w:t>
            </w:r>
          </w:p>
        </w:tc>
        <w:tc>
          <w:tcPr>
            <w:tcW w:w="887" w:type="dxa"/>
            <w:tcBorders>
              <w:top w:val="nil"/>
              <w:left w:val="nil"/>
              <w:bottom w:val="nil"/>
              <w:right w:val="nil"/>
            </w:tcBorders>
            <w:shd w:val="clear" w:color="auto" w:fill="auto"/>
            <w:noWrap/>
            <w:hideMark/>
          </w:tcPr>
          <w:p w14:paraId="371899D8" w14:textId="129D0B7D"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-1.31%</w:t>
            </w:r>
          </w:p>
        </w:tc>
        <w:tc>
          <w:tcPr>
            <w:tcW w:w="887" w:type="dxa"/>
            <w:tcBorders>
              <w:top w:val="nil"/>
              <w:left w:val="nil"/>
              <w:bottom w:val="nil"/>
              <w:right w:val="nil"/>
            </w:tcBorders>
            <w:shd w:val="clear" w:color="auto" w:fill="auto"/>
            <w:noWrap/>
            <w:hideMark/>
          </w:tcPr>
          <w:p w14:paraId="45D2D39A" w14:textId="6503DBFF"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-0.79%</w:t>
            </w:r>
          </w:p>
        </w:tc>
        <w:tc>
          <w:tcPr>
            <w:tcW w:w="887" w:type="dxa"/>
            <w:tcBorders>
              <w:top w:val="nil"/>
              <w:left w:val="nil"/>
              <w:bottom w:val="nil"/>
              <w:right w:val="single" w:sz="4" w:space="0" w:color="auto"/>
            </w:tcBorders>
            <w:shd w:val="clear" w:color="auto" w:fill="auto"/>
            <w:noWrap/>
            <w:hideMark/>
          </w:tcPr>
          <w:p w14:paraId="440C9682" w14:textId="1F46170C"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-0.51%</w:t>
            </w:r>
          </w:p>
        </w:tc>
        <w:tc>
          <w:tcPr>
            <w:tcW w:w="777" w:type="dxa"/>
            <w:tcBorders>
              <w:top w:val="nil"/>
              <w:left w:val="nil"/>
              <w:bottom w:val="nil"/>
              <w:right w:val="nil"/>
            </w:tcBorders>
            <w:shd w:val="clear" w:color="auto" w:fill="auto"/>
            <w:noWrap/>
            <w:hideMark/>
          </w:tcPr>
          <w:p w14:paraId="31F6D1B8" w14:textId="0C93125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110%</w:t>
            </w:r>
          </w:p>
        </w:tc>
        <w:tc>
          <w:tcPr>
            <w:tcW w:w="777" w:type="dxa"/>
            <w:tcBorders>
              <w:top w:val="nil"/>
              <w:left w:val="nil"/>
              <w:bottom w:val="nil"/>
              <w:right w:val="nil"/>
            </w:tcBorders>
            <w:shd w:val="clear" w:color="auto" w:fill="auto"/>
            <w:noWrap/>
            <w:hideMark/>
          </w:tcPr>
          <w:p w14:paraId="64D8472C" w14:textId="015836A6"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135%</w:t>
            </w:r>
          </w:p>
        </w:tc>
        <w:tc>
          <w:tcPr>
            <w:tcW w:w="1057" w:type="dxa"/>
            <w:tcBorders>
              <w:top w:val="nil"/>
              <w:left w:val="single" w:sz="8" w:space="0" w:color="auto"/>
              <w:bottom w:val="nil"/>
              <w:right w:val="nil"/>
            </w:tcBorders>
            <w:shd w:val="clear" w:color="auto" w:fill="auto"/>
            <w:noWrap/>
            <w:hideMark/>
          </w:tcPr>
          <w:p w14:paraId="582F6030" w14:textId="063C0661"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-0.68%</w:t>
            </w:r>
          </w:p>
        </w:tc>
        <w:tc>
          <w:tcPr>
            <w:tcW w:w="1057" w:type="dxa"/>
            <w:tcBorders>
              <w:top w:val="nil"/>
              <w:left w:val="nil"/>
              <w:bottom w:val="nil"/>
              <w:right w:val="nil"/>
            </w:tcBorders>
            <w:shd w:val="clear" w:color="auto" w:fill="auto"/>
            <w:noWrap/>
            <w:hideMark/>
          </w:tcPr>
          <w:p w14:paraId="2C89FF49" w14:textId="2F4E6709"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-0.32%</w:t>
            </w:r>
          </w:p>
        </w:tc>
        <w:tc>
          <w:tcPr>
            <w:tcW w:w="1057" w:type="dxa"/>
            <w:tcBorders>
              <w:top w:val="nil"/>
              <w:left w:val="nil"/>
              <w:bottom w:val="nil"/>
              <w:right w:val="single" w:sz="4" w:space="0" w:color="auto"/>
            </w:tcBorders>
            <w:shd w:val="clear" w:color="auto" w:fill="auto"/>
            <w:noWrap/>
            <w:hideMark/>
          </w:tcPr>
          <w:p w14:paraId="451351EF" w14:textId="69E9CF6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-0.22%</w:t>
            </w:r>
          </w:p>
        </w:tc>
        <w:tc>
          <w:tcPr>
            <w:tcW w:w="917" w:type="dxa"/>
            <w:tcBorders>
              <w:top w:val="nil"/>
              <w:left w:val="nil"/>
              <w:bottom w:val="nil"/>
              <w:right w:val="nil"/>
            </w:tcBorders>
            <w:shd w:val="clear" w:color="auto" w:fill="auto"/>
            <w:noWrap/>
            <w:hideMark/>
          </w:tcPr>
          <w:p w14:paraId="113B236E" w14:textId="621A994C"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nil"/>
              <w:left w:val="nil"/>
              <w:bottom w:val="nil"/>
              <w:right w:val="single" w:sz="8" w:space="0" w:color="auto"/>
            </w:tcBorders>
            <w:shd w:val="clear" w:color="auto" w:fill="auto"/>
            <w:noWrap/>
            <w:hideMark/>
          </w:tcPr>
          <w:p w14:paraId="24CAF221" w14:textId="5F88F82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108%</w:t>
            </w:r>
          </w:p>
        </w:tc>
      </w:tr>
      <w:tr w:rsidR="002038E8" w:rsidRPr="00E03217" w14:paraId="168EF69D" w14:textId="77777777" w:rsidTr="009F0D2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5BCB1C1"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A2</w:t>
            </w:r>
          </w:p>
        </w:tc>
        <w:tc>
          <w:tcPr>
            <w:tcW w:w="887" w:type="dxa"/>
            <w:tcBorders>
              <w:top w:val="nil"/>
              <w:left w:val="nil"/>
              <w:bottom w:val="nil"/>
              <w:right w:val="nil"/>
            </w:tcBorders>
            <w:shd w:val="clear" w:color="auto" w:fill="auto"/>
            <w:noWrap/>
            <w:hideMark/>
          </w:tcPr>
          <w:p w14:paraId="42FC1B6B" w14:textId="60DB00EA"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-3.87%</w:t>
            </w:r>
          </w:p>
        </w:tc>
        <w:tc>
          <w:tcPr>
            <w:tcW w:w="887" w:type="dxa"/>
            <w:tcBorders>
              <w:top w:val="nil"/>
              <w:left w:val="nil"/>
              <w:bottom w:val="nil"/>
              <w:right w:val="nil"/>
            </w:tcBorders>
            <w:shd w:val="clear" w:color="auto" w:fill="auto"/>
            <w:noWrap/>
            <w:hideMark/>
          </w:tcPr>
          <w:p w14:paraId="5CB4BDB2" w14:textId="55AB7CD4"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-0.93%</w:t>
            </w:r>
          </w:p>
        </w:tc>
        <w:tc>
          <w:tcPr>
            <w:tcW w:w="887" w:type="dxa"/>
            <w:tcBorders>
              <w:top w:val="nil"/>
              <w:left w:val="nil"/>
              <w:bottom w:val="nil"/>
              <w:right w:val="single" w:sz="4" w:space="0" w:color="auto"/>
            </w:tcBorders>
            <w:shd w:val="clear" w:color="auto" w:fill="auto"/>
            <w:noWrap/>
            <w:hideMark/>
          </w:tcPr>
          <w:p w14:paraId="1CDE5019" w14:textId="7C07653A"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-0.39%</w:t>
            </w:r>
          </w:p>
        </w:tc>
        <w:tc>
          <w:tcPr>
            <w:tcW w:w="777" w:type="dxa"/>
            <w:tcBorders>
              <w:top w:val="nil"/>
              <w:left w:val="nil"/>
              <w:bottom w:val="nil"/>
              <w:right w:val="nil"/>
            </w:tcBorders>
            <w:shd w:val="clear" w:color="auto" w:fill="auto"/>
            <w:noWrap/>
            <w:hideMark/>
          </w:tcPr>
          <w:p w14:paraId="17B3A148" w14:textId="5C8CA9F3"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110%</w:t>
            </w:r>
          </w:p>
        </w:tc>
        <w:tc>
          <w:tcPr>
            <w:tcW w:w="777" w:type="dxa"/>
            <w:tcBorders>
              <w:top w:val="nil"/>
              <w:left w:val="nil"/>
              <w:bottom w:val="nil"/>
              <w:right w:val="nil"/>
            </w:tcBorders>
            <w:shd w:val="clear" w:color="auto" w:fill="auto"/>
            <w:noWrap/>
            <w:hideMark/>
          </w:tcPr>
          <w:p w14:paraId="613F0499" w14:textId="6AF35FA4"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135%</w:t>
            </w:r>
          </w:p>
        </w:tc>
        <w:tc>
          <w:tcPr>
            <w:tcW w:w="1057" w:type="dxa"/>
            <w:tcBorders>
              <w:top w:val="nil"/>
              <w:left w:val="single" w:sz="8" w:space="0" w:color="auto"/>
              <w:bottom w:val="nil"/>
              <w:right w:val="nil"/>
            </w:tcBorders>
            <w:shd w:val="clear" w:color="auto" w:fill="auto"/>
            <w:noWrap/>
            <w:hideMark/>
          </w:tcPr>
          <w:p w14:paraId="49A03953" w14:textId="0E389DE5"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-1.81%</w:t>
            </w:r>
          </w:p>
        </w:tc>
        <w:tc>
          <w:tcPr>
            <w:tcW w:w="1057" w:type="dxa"/>
            <w:tcBorders>
              <w:top w:val="nil"/>
              <w:left w:val="nil"/>
              <w:bottom w:val="nil"/>
              <w:right w:val="nil"/>
            </w:tcBorders>
            <w:shd w:val="clear" w:color="auto" w:fill="auto"/>
            <w:noWrap/>
            <w:hideMark/>
          </w:tcPr>
          <w:p w14:paraId="22C3F388" w14:textId="0D8E5D8C"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-0.63%</w:t>
            </w:r>
          </w:p>
        </w:tc>
        <w:tc>
          <w:tcPr>
            <w:tcW w:w="1057" w:type="dxa"/>
            <w:tcBorders>
              <w:top w:val="nil"/>
              <w:left w:val="nil"/>
              <w:bottom w:val="nil"/>
              <w:right w:val="single" w:sz="4" w:space="0" w:color="auto"/>
            </w:tcBorders>
            <w:shd w:val="clear" w:color="auto" w:fill="auto"/>
            <w:noWrap/>
            <w:hideMark/>
          </w:tcPr>
          <w:p w14:paraId="52625BBB" w14:textId="1BD8AA8B"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-0.50%</w:t>
            </w:r>
          </w:p>
        </w:tc>
        <w:tc>
          <w:tcPr>
            <w:tcW w:w="917" w:type="dxa"/>
            <w:tcBorders>
              <w:top w:val="nil"/>
              <w:left w:val="nil"/>
              <w:bottom w:val="nil"/>
              <w:right w:val="nil"/>
            </w:tcBorders>
            <w:shd w:val="clear" w:color="auto" w:fill="auto"/>
            <w:noWrap/>
            <w:hideMark/>
          </w:tcPr>
          <w:p w14:paraId="2265FF09" w14:textId="18B64AE2"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nil"/>
              <w:left w:val="nil"/>
              <w:bottom w:val="nil"/>
              <w:right w:val="single" w:sz="8" w:space="0" w:color="auto"/>
            </w:tcBorders>
            <w:shd w:val="clear" w:color="auto" w:fill="auto"/>
            <w:noWrap/>
            <w:hideMark/>
          </w:tcPr>
          <w:p w14:paraId="3DF5B78A" w14:textId="16EE1F96"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109%</w:t>
            </w:r>
          </w:p>
        </w:tc>
      </w:tr>
      <w:tr w:rsidR="002038E8" w:rsidRPr="00E03217" w14:paraId="6B4CFBBA" w14:textId="77777777" w:rsidTr="009F0D2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05979179"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B</w:t>
            </w:r>
          </w:p>
        </w:tc>
        <w:tc>
          <w:tcPr>
            <w:tcW w:w="887" w:type="dxa"/>
            <w:tcBorders>
              <w:top w:val="nil"/>
              <w:left w:val="nil"/>
              <w:bottom w:val="nil"/>
              <w:right w:val="nil"/>
            </w:tcBorders>
            <w:shd w:val="clear" w:color="auto" w:fill="auto"/>
            <w:noWrap/>
            <w:hideMark/>
          </w:tcPr>
          <w:p w14:paraId="22B4776C" w14:textId="2032B83D"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-2.52%</w:t>
            </w:r>
          </w:p>
        </w:tc>
        <w:tc>
          <w:tcPr>
            <w:tcW w:w="887" w:type="dxa"/>
            <w:tcBorders>
              <w:top w:val="nil"/>
              <w:left w:val="nil"/>
              <w:bottom w:val="nil"/>
              <w:right w:val="nil"/>
            </w:tcBorders>
            <w:shd w:val="clear" w:color="auto" w:fill="auto"/>
            <w:noWrap/>
            <w:hideMark/>
          </w:tcPr>
          <w:p w14:paraId="00562103" w14:textId="36127F1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-1.00%</w:t>
            </w:r>
          </w:p>
        </w:tc>
        <w:tc>
          <w:tcPr>
            <w:tcW w:w="887" w:type="dxa"/>
            <w:tcBorders>
              <w:top w:val="nil"/>
              <w:left w:val="nil"/>
              <w:bottom w:val="nil"/>
              <w:right w:val="single" w:sz="4" w:space="0" w:color="auto"/>
            </w:tcBorders>
            <w:shd w:val="clear" w:color="auto" w:fill="auto"/>
            <w:noWrap/>
            <w:hideMark/>
          </w:tcPr>
          <w:p w14:paraId="033D1B1A" w14:textId="0F022179"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-0.72%</w:t>
            </w:r>
          </w:p>
        </w:tc>
        <w:tc>
          <w:tcPr>
            <w:tcW w:w="777" w:type="dxa"/>
            <w:tcBorders>
              <w:top w:val="nil"/>
              <w:left w:val="nil"/>
              <w:bottom w:val="nil"/>
              <w:right w:val="nil"/>
            </w:tcBorders>
            <w:shd w:val="clear" w:color="auto" w:fill="auto"/>
            <w:noWrap/>
            <w:hideMark/>
          </w:tcPr>
          <w:p w14:paraId="5A4571F6" w14:textId="062DD903"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112%</w:t>
            </w:r>
          </w:p>
        </w:tc>
        <w:tc>
          <w:tcPr>
            <w:tcW w:w="777" w:type="dxa"/>
            <w:tcBorders>
              <w:top w:val="nil"/>
              <w:left w:val="nil"/>
              <w:bottom w:val="nil"/>
              <w:right w:val="nil"/>
            </w:tcBorders>
            <w:shd w:val="clear" w:color="auto" w:fill="auto"/>
            <w:noWrap/>
            <w:hideMark/>
          </w:tcPr>
          <w:p w14:paraId="3531D774" w14:textId="7E48A9C1"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139%</w:t>
            </w:r>
          </w:p>
        </w:tc>
        <w:tc>
          <w:tcPr>
            <w:tcW w:w="1057" w:type="dxa"/>
            <w:tcBorders>
              <w:top w:val="nil"/>
              <w:left w:val="single" w:sz="8" w:space="0" w:color="auto"/>
              <w:bottom w:val="nil"/>
              <w:right w:val="nil"/>
            </w:tcBorders>
            <w:shd w:val="clear" w:color="auto" w:fill="auto"/>
            <w:noWrap/>
            <w:hideMark/>
          </w:tcPr>
          <w:p w14:paraId="542342AC" w14:textId="175B0916"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-1.15%</w:t>
            </w:r>
          </w:p>
        </w:tc>
        <w:tc>
          <w:tcPr>
            <w:tcW w:w="1057" w:type="dxa"/>
            <w:tcBorders>
              <w:top w:val="nil"/>
              <w:left w:val="nil"/>
              <w:bottom w:val="nil"/>
              <w:right w:val="nil"/>
            </w:tcBorders>
            <w:shd w:val="clear" w:color="auto" w:fill="auto"/>
            <w:noWrap/>
            <w:hideMark/>
          </w:tcPr>
          <w:p w14:paraId="67C1AFE7" w14:textId="14CD4B6A"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-0.49%</w:t>
            </w:r>
          </w:p>
        </w:tc>
        <w:tc>
          <w:tcPr>
            <w:tcW w:w="1057" w:type="dxa"/>
            <w:tcBorders>
              <w:top w:val="nil"/>
              <w:left w:val="nil"/>
              <w:bottom w:val="nil"/>
              <w:right w:val="single" w:sz="4" w:space="0" w:color="auto"/>
            </w:tcBorders>
            <w:shd w:val="clear" w:color="auto" w:fill="auto"/>
            <w:noWrap/>
            <w:hideMark/>
          </w:tcPr>
          <w:p w14:paraId="0C860E95" w14:textId="0C4D443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-0.44%</w:t>
            </w:r>
          </w:p>
        </w:tc>
        <w:tc>
          <w:tcPr>
            <w:tcW w:w="917" w:type="dxa"/>
            <w:tcBorders>
              <w:top w:val="nil"/>
              <w:left w:val="nil"/>
              <w:bottom w:val="nil"/>
              <w:right w:val="nil"/>
            </w:tcBorders>
            <w:shd w:val="clear" w:color="auto" w:fill="auto"/>
            <w:noWrap/>
            <w:hideMark/>
          </w:tcPr>
          <w:p w14:paraId="0DEA1F8E" w14:textId="7E0DA349"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nil"/>
              <w:left w:val="nil"/>
              <w:bottom w:val="nil"/>
              <w:right w:val="single" w:sz="8" w:space="0" w:color="auto"/>
            </w:tcBorders>
            <w:shd w:val="clear" w:color="auto" w:fill="auto"/>
            <w:noWrap/>
            <w:hideMark/>
          </w:tcPr>
          <w:p w14:paraId="69C9519E" w14:textId="2447FB68"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106%</w:t>
            </w:r>
          </w:p>
        </w:tc>
      </w:tr>
      <w:tr w:rsidR="002038E8" w:rsidRPr="00E03217" w14:paraId="4BCA71EC" w14:textId="77777777" w:rsidTr="009F0D2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03620CE7"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C</w:t>
            </w:r>
          </w:p>
        </w:tc>
        <w:tc>
          <w:tcPr>
            <w:tcW w:w="887" w:type="dxa"/>
            <w:tcBorders>
              <w:top w:val="nil"/>
              <w:left w:val="nil"/>
              <w:bottom w:val="nil"/>
              <w:right w:val="nil"/>
            </w:tcBorders>
            <w:shd w:val="clear" w:color="auto" w:fill="auto"/>
            <w:noWrap/>
            <w:hideMark/>
          </w:tcPr>
          <w:p w14:paraId="6395B6FC" w14:textId="0F50B345"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-2.76%</w:t>
            </w:r>
          </w:p>
        </w:tc>
        <w:tc>
          <w:tcPr>
            <w:tcW w:w="887" w:type="dxa"/>
            <w:tcBorders>
              <w:top w:val="nil"/>
              <w:left w:val="nil"/>
              <w:bottom w:val="nil"/>
              <w:right w:val="nil"/>
            </w:tcBorders>
            <w:shd w:val="clear" w:color="auto" w:fill="auto"/>
            <w:noWrap/>
            <w:hideMark/>
          </w:tcPr>
          <w:p w14:paraId="0199BCD0" w14:textId="05F2CE0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-1.27%</w:t>
            </w:r>
          </w:p>
        </w:tc>
        <w:tc>
          <w:tcPr>
            <w:tcW w:w="887" w:type="dxa"/>
            <w:tcBorders>
              <w:top w:val="nil"/>
              <w:left w:val="nil"/>
              <w:bottom w:val="nil"/>
              <w:right w:val="single" w:sz="4" w:space="0" w:color="auto"/>
            </w:tcBorders>
            <w:shd w:val="clear" w:color="auto" w:fill="auto"/>
            <w:noWrap/>
            <w:hideMark/>
          </w:tcPr>
          <w:p w14:paraId="01ED342F" w14:textId="6F41B36C"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-1.20%</w:t>
            </w:r>
          </w:p>
        </w:tc>
        <w:tc>
          <w:tcPr>
            <w:tcW w:w="777" w:type="dxa"/>
            <w:tcBorders>
              <w:top w:val="nil"/>
              <w:left w:val="nil"/>
              <w:bottom w:val="nil"/>
              <w:right w:val="nil"/>
            </w:tcBorders>
            <w:shd w:val="clear" w:color="auto" w:fill="auto"/>
            <w:noWrap/>
            <w:hideMark/>
          </w:tcPr>
          <w:p w14:paraId="03F7A088" w14:textId="3234BB06"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112%</w:t>
            </w:r>
          </w:p>
        </w:tc>
        <w:tc>
          <w:tcPr>
            <w:tcW w:w="777" w:type="dxa"/>
            <w:tcBorders>
              <w:top w:val="nil"/>
              <w:left w:val="nil"/>
              <w:bottom w:val="nil"/>
              <w:right w:val="nil"/>
            </w:tcBorders>
            <w:shd w:val="clear" w:color="auto" w:fill="auto"/>
            <w:noWrap/>
            <w:hideMark/>
          </w:tcPr>
          <w:p w14:paraId="4DD63BE3" w14:textId="5416F19F"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138%</w:t>
            </w:r>
          </w:p>
        </w:tc>
        <w:tc>
          <w:tcPr>
            <w:tcW w:w="1057" w:type="dxa"/>
            <w:tcBorders>
              <w:top w:val="nil"/>
              <w:left w:val="single" w:sz="8" w:space="0" w:color="auto"/>
              <w:bottom w:val="nil"/>
              <w:right w:val="nil"/>
            </w:tcBorders>
            <w:shd w:val="clear" w:color="auto" w:fill="auto"/>
            <w:noWrap/>
            <w:hideMark/>
          </w:tcPr>
          <w:p w14:paraId="2EC440B0" w14:textId="30D537EF"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-1.43%</w:t>
            </w:r>
          </w:p>
        </w:tc>
        <w:tc>
          <w:tcPr>
            <w:tcW w:w="1057" w:type="dxa"/>
            <w:tcBorders>
              <w:top w:val="nil"/>
              <w:left w:val="nil"/>
              <w:bottom w:val="nil"/>
              <w:right w:val="nil"/>
            </w:tcBorders>
            <w:shd w:val="clear" w:color="auto" w:fill="auto"/>
            <w:noWrap/>
            <w:hideMark/>
          </w:tcPr>
          <w:p w14:paraId="39F27CC6" w14:textId="7D2D7248"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-0.73%</w:t>
            </w:r>
          </w:p>
        </w:tc>
        <w:tc>
          <w:tcPr>
            <w:tcW w:w="1057" w:type="dxa"/>
            <w:tcBorders>
              <w:top w:val="nil"/>
              <w:left w:val="nil"/>
              <w:bottom w:val="nil"/>
              <w:right w:val="single" w:sz="4" w:space="0" w:color="auto"/>
            </w:tcBorders>
            <w:shd w:val="clear" w:color="auto" w:fill="auto"/>
            <w:noWrap/>
            <w:hideMark/>
          </w:tcPr>
          <w:p w14:paraId="26A993CB" w14:textId="5F683599"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-0.74%</w:t>
            </w:r>
          </w:p>
        </w:tc>
        <w:tc>
          <w:tcPr>
            <w:tcW w:w="917" w:type="dxa"/>
            <w:tcBorders>
              <w:top w:val="nil"/>
              <w:left w:val="nil"/>
              <w:bottom w:val="nil"/>
              <w:right w:val="nil"/>
            </w:tcBorders>
            <w:shd w:val="clear" w:color="auto" w:fill="auto"/>
            <w:noWrap/>
            <w:hideMark/>
          </w:tcPr>
          <w:p w14:paraId="5297A0BF" w14:textId="2ADDBA4B"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nil"/>
              <w:left w:val="nil"/>
              <w:bottom w:val="nil"/>
              <w:right w:val="single" w:sz="8" w:space="0" w:color="auto"/>
            </w:tcBorders>
            <w:shd w:val="clear" w:color="auto" w:fill="auto"/>
            <w:noWrap/>
            <w:hideMark/>
          </w:tcPr>
          <w:p w14:paraId="1DFE9C9A" w14:textId="25C62CA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110%</w:t>
            </w:r>
          </w:p>
        </w:tc>
      </w:tr>
      <w:tr w:rsidR="002038E8" w:rsidRPr="00E03217" w14:paraId="510A57C4" w14:textId="77777777" w:rsidTr="009F0D2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0814A7E"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E</w:t>
            </w:r>
          </w:p>
        </w:tc>
        <w:tc>
          <w:tcPr>
            <w:tcW w:w="887" w:type="dxa"/>
            <w:tcBorders>
              <w:top w:val="nil"/>
              <w:left w:val="nil"/>
              <w:bottom w:val="nil"/>
              <w:right w:val="nil"/>
            </w:tcBorders>
            <w:shd w:val="clear" w:color="auto" w:fill="auto"/>
            <w:noWrap/>
            <w:hideMark/>
          </w:tcPr>
          <w:p w14:paraId="6B13A2DB" w14:textId="3EAAB391"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nil"/>
            </w:tcBorders>
            <w:shd w:val="clear" w:color="auto" w:fill="auto"/>
            <w:noWrap/>
            <w:hideMark/>
          </w:tcPr>
          <w:p w14:paraId="6B5B98A7" w14:textId="7777777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hideMark/>
          </w:tcPr>
          <w:p w14:paraId="33FC2A7E" w14:textId="35B7996B"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nil"/>
              <w:right w:val="nil"/>
            </w:tcBorders>
            <w:shd w:val="clear" w:color="auto" w:fill="auto"/>
            <w:noWrap/>
            <w:hideMark/>
          </w:tcPr>
          <w:p w14:paraId="6BF6E5EF" w14:textId="5F856C3F"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nil"/>
              <w:right w:val="nil"/>
            </w:tcBorders>
            <w:shd w:val="clear" w:color="auto" w:fill="auto"/>
            <w:noWrap/>
            <w:hideMark/>
          </w:tcPr>
          <w:p w14:paraId="79DFEA92" w14:textId="7777777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hideMark/>
          </w:tcPr>
          <w:p w14:paraId="1E36E0D9" w14:textId="1C968694"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nil"/>
            </w:tcBorders>
            <w:shd w:val="clear" w:color="auto" w:fill="auto"/>
            <w:noWrap/>
            <w:hideMark/>
          </w:tcPr>
          <w:p w14:paraId="3A5C9769" w14:textId="7777777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hideMark/>
          </w:tcPr>
          <w:p w14:paraId="0D2961ED" w14:textId="55B59F8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nil"/>
            </w:tcBorders>
            <w:shd w:val="clear" w:color="auto" w:fill="auto"/>
            <w:noWrap/>
            <w:hideMark/>
          </w:tcPr>
          <w:p w14:paraId="079E7F38" w14:textId="33B4D322"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single" w:sz="8" w:space="0" w:color="auto"/>
            </w:tcBorders>
            <w:shd w:val="clear" w:color="auto" w:fill="auto"/>
            <w:noWrap/>
            <w:hideMark/>
          </w:tcPr>
          <w:p w14:paraId="66832AB5" w14:textId="3B148CD4"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038E8" w:rsidRPr="00E03217" w14:paraId="3E4C203D" w14:textId="77777777" w:rsidTr="009F0D2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14D5D744"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hideMark/>
          </w:tcPr>
          <w:p w14:paraId="6AB0161B" w14:textId="1B46C164"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-2.61%</w:t>
            </w:r>
          </w:p>
        </w:tc>
        <w:tc>
          <w:tcPr>
            <w:tcW w:w="887" w:type="dxa"/>
            <w:tcBorders>
              <w:top w:val="single" w:sz="8" w:space="0" w:color="auto"/>
              <w:left w:val="nil"/>
              <w:bottom w:val="nil"/>
              <w:right w:val="nil"/>
            </w:tcBorders>
            <w:shd w:val="clear" w:color="auto" w:fill="auto"/>
            <w:noWrap/>
            <w:hideMark/>
          </w:tcPr>
          <w:p w14:paraId="004CF1D0" w14:textId="36BD46D1"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-1.02%</w:t>
            </w:r>
          </w:p>
        </w:tc>
        <w:tc>
          <w:tcPr>
            <w:tcW w:w="887" w:type="dxa"/>
            <w:tcBorders>
              <w:top w:val="single" w:sz="8" w:space="0" w:color="auto"/>
              <w:left w:val="nil"/>
              <w:bottom w:val="nil"/>
              <w:right w:val="single" w:sz="4" w:space="0" w:color="auto"/>
            </w:tcBorders>
            <w:shd w:val="clear" w:color="auto" w:fill="auto"/>
            <w:noWrap/>
            <w:hideMark/>
          </w:tcPr>
          <w:p w14:paraId="22E57089" w14:textId="7B62F48B"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-0.74%</w:t>
            </w:r>
          </w:p>
        </w:tc>
        <w:tc>
          <w:tcPr>
            <w:tcW w:w="777" w:type="dxa"/>
            <w:tcBorders>
              <w:top w:val="single" w:sz="8" w:space="0" w:color="auto"/>
              <w:left w:val="nil"/>
              <w:bottom w:val="nil"/>
              <w:right w:val="nil"/>
            </w:tcBorders>
            <w:shd w:val="clear" w:color="auto" w:fill="auto"/>
            <w:noWrap/>
            <w:hideMark/>
          </w:tcPr>
          <w:p w14:paraId="571B058C" w14:textId="746957AC"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111%</w:t>
            </w:r>
          </w:p>
        </w:tc>
        <w:tc>
          <w:tcPr>
            <w:tcW w:w="777" w:type="dxa"/>
            <w:tcBorders>
              <w:top w:val="single" w:sz="8" w:space="0" w:color="auto"/>
              <w:left w:val="nil"/>
              <w:bottom w:val="nil"/>
              <w:right w:val="nil"/>
            </w:tcBorders>
            <w:shd w:val="clear" w:color="auto" w:fill="auto"/>
            <w:noWrap/>
            <w:hideMark/>
          </w:tcPr>
          <w:p w14:paraId="42B0A28D" w14:textId="4BC5AEF6"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137%</w:t>
            </w:r>
          </w:p>
        </w:tc>
        <w:tc>
          <w:tcPr>
            <w:tcW w:w="1057" w:type="dxa"/>
            <w:tcBorders>
              <w:top w:val="single" w:sz="8" w:space="0" w:color="auto"/>
              <w:left w:val="single" w:sz="8" w:space="0" w:color="auto"/>
              <w:bottom w:val="nil"/>
              <w:right w:val="nil"/>
            </w:tcBorders>
            <w:shd w:val="clear" w:color="auto" w:fill="auto"/>
            <w:noWrap/>
            <w:hideMark/>
          </w:tcPr>
          <w:p w14:paraId="0D58DB22" w14:textId="1F8C7555"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-1.26%</w:t>
            </w:r>
          </w:p>
        </w:tc>
        <w:tc>
          <w:tcPr>
            <w:tcW w:w="1057" w:type="dxa"/>
            <w:tcBorders>
              <w:top w:val="single" w:sz="8" w:space="0" w:color="auto"/>
              <w:left w:val="nil"/>
              <w:bottom w:val="nil"/>
              <w:right w:val="nil"/>
            </w:tcBorders>
            <w:shd w:val="clear" w:color="auto" w:fill="auto"/>
            <w:noWrap/>
            <w:hideMark/>
          </w:tcPr>
          <w:p w14:paraId="24DB6E03" w14:textId="7F921FD8"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-0.55%</w:t>
            </w:r>
          </w:p>
        </w:tc>
        <w:tc>
          <w:tcPr>
            <w:tcW w:w="1057" w:type="dxa"/>
            <w:tcBorders>
              <w:top w:val="single" w:sz="8" w:space="0" w:color="auto"/>
              <w:left w:val="nil"/>
              <w:bottom w:val="nil"/>
              <w:right w:val="single" w:sz="4" w:space="0" w:color="auto"/>
            </w:tcBorders>
            <w:shd w:val="clear" w:color="auto" w:fill="auto"/>
            <w:noWrap/>
            <w:hideMark/>
          </w:tcPr>
          <w:p w14:paraId="11182795" w14:textId="614D1F93"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-0.49%</w:t>
            </w:r>
          </w:p>
        </w:tc>
        <w:tc>
          <w:tcPr>
            <w:tcW w:w="917" w:type="dxa"/>
            <w:tcBorders>
              <w:top w:val="single" w:sz="8" w:space="0" w:color="auto"/>
              <w:left w:val="nil"/>
              <w:bottom w:val="nil"/>
              <w:right w:val="nil"/>
            </w:tcBorders>
            <w:shd w:val="clear" w:color="auto" w:fill="auto"/>
            <w:noWrap/>
            <w:hideMark/>
          </w:tcPr>
          <w:p w14:paraId="66B34556" w14:textId="1EFC1DA2"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single" w:sz="8" w:space="0" w:color="auto"/>
              <w:left w:val="nil"/>
              <w:bottom w:val="nil"/>
              <w:right w:val="single" w:sz="8" w:space="0" w:color="auto"/>
            </w:tcBorders>
            <w:shd w:val="clear" w:color="auto" w:fill="auto"/>
            <w:noWrap/>
            <w:hideMark/>
          </w:tcPr>
          <w:p w14:paraId="0677D5A7" w14:textId="0CEBE019"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108%</w:t>
            </w:r>
          </w:p>
        </w:tc>
      </w:tr>
      <w:tr w:rsidR="002038E8" w:rsidRPr="00E03217" w14:paraId="36205B42" w14:textId="77777777" w:rsidTr="00C51F7D">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7DA353" w14:textId="77777777" w:rsidR="002038E8" w:rsidRPr="00E03217"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hideMark/>
          </w:tcPr>
          <w:p w14:paraId="33EF4E7E" w14:textId="5E284BE0"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-4.86%</w:t>
            </w:r>
          </w:p>
        </w:tc>
        <w:tc>
          <w:tcPr>
            <w:tcW w:w="887" w:type="dxa"/>
            <w:tcBorders>
              <w:top w:val="single" w:sz="8" w:space="0" w:color="auto"/>
              <w:left w:val="nil"/>
              <w:bottom w:val="single" w:sz="8" w:space="0" w:color="auto"/>
              <w:right w:val="nil"/>
            </w:tcBorders>
            <w:shd w:val="clear" w:color="auto" w:fill="auto"/>
            <w:noWrap/>
            <w:hideMark/>
          </w:tcPr>
          <w:p w14:paraId="7EA2F91B" w14:textId="041D2BE5"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-2.27%</w:t>
            </w:r>
          </w:p>
        </w:tc>
        <w:tc>
          <w:tcPr>
            <w:tcW w:w="887" w:type="dxa"/>
            <w:tcBorders>
              <w:top w:val="single" w:sz="8" w:space="0" w:color="auto"/>
              <w:left w:val="nil"/>
              <w:bottom w:val="single" w:sz="8" w:space="0" w:color="auto"/>
              <w:right w:val="single" w:sz="4" w:space="0" w:color="auto"/>
            </w:tcBorders>
            <w:shd w:val="clear" w:color="auto" w:fill="auto"/>
            <w:noWrap/>
            <w:hideMark/>
          </w:tcPr>
          <w:p w14:paraId="4D3B8FFF" w14:textId="4C4B01E2"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-2.11%</w:t>
            </w:r>
          </w:p>
        </w:tc>
        <w:tc>
          <w:tcPr>
            <w:tcW w:w="777" w:type="dxa"/>
            <w:tcBorders>
              <w:top w:val="single" w:sz="8" w:space="0" w:color="auto"/>
              <w:left w:val="nil"/>
              <w:bottom w:val="single" w:sz="8" w:space="0" w:color="auto"/>
              <w:right w:val="nil"/>
            </w:tcBorders>
            <w:shd w:val="clear" w:color="auto" w:fill="auto"/>
            <w:noWrap/>
            <w:hideMark/>
          </w:tcPr>
          <w:p w14:paraId="011007FA" w14:textId="6EF73E9A"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112%</w:t>
            </w:r>
          </w:p>
        </w:tc>
        <w:tc>
          <w:tcPr>
            <w:tcW w:w="777" w:type="dxa"/>
            <w:tcBorders>
              <w:top w:val="single" w:sz="8" w:space="0" w:color="auto"/>
              <w:left w:val="nil"/>
              <w:bottom w:val="single" w:sz="8" w:space="0" w:color="auto"/>
              <w:right w:val="single" w:sz="8" w:space="0" w:color="auto"/>
            </w:tcBorders>
            <w:shd w:val="clear" w:color="auto" w:fill="auto"/>
            <w:noWrap/>
            <w:hideMark/>
          </w:tcPr>
          <w:p w14:paraId="5F0EA93B" w14:textId="39DB1A48"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139%</w:t>
            </w:r>
          </w:p>
        </w:tc>
        <w:tc>
          <w:tcPr>
            <w:tcW w:w="1057" w:type="dxa"/>
            <w:tcBorders>
              <w:top w:val="single" w:sz="8" w:space="0" w:color="auto"/>
              <w:left w:val="nil"/>
              <w:bottom w:val="single" w:sz="8" w:space="0" w:color="auto"/>
              <w:right w:val="nil"/>
            </w:tcBorders>
            <w:shd w:val="clear" w:color="auto" w:fill="auto"/>
            <w:noWrap/>
            <w:hideMark/>
          </w:tcPr>
          <w:p w14:paraId="507F2B1A" w14:textId="085A5EA7"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-2.18%</w:t>
            </w:r>
          </w:p>
        </w:tc>
        <w:tc>
          <w:tcPr>
            <w:tcW w:w="1057" w:type="dxa"/>
            <w:tcBorders>
              <w:top w:val="single" w:sz="8" w:space="0" w:color="auto"/>
              <w:left w:val="nil"/>
              <w:bottom w:val="single" w:sz="8" w:space="0" w:color="auto"/>
              <w:right w:val="nil"/>
            </w:tcBorders>
            <w:shd w:val="clear" w:color="auto" w:fill="auto"/>
            <w:noWrap/>
            <w:hideMark/>
          </w:tcPr>
          <w:p w14:paraId="39A5749D" w14:textId="7816301F"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-1.31%</w:t>
            </w:r>
          </w:p>
        </w:tc>
        <w:tc>
          <w:tcPr>
            <w:tcW w:w="1057" w:type="dxa"/>
            <w:tcBorders>
              <w:top w:val="single" w:sz="8" w:space="0" w:color="auto"/>
              <w:left w:val="nil"/>
              <w:bottom w:val="single" w:sz="8" w:space="0" w:color="auto"/>
              <w:right w:val="single" w:sz="4" w:space="0" w:color="auto"/>
            </w:tcBorders>
            <w:shd w:val="clear" w:color="auto" w:fill="auto"/>
            <w:noWrap/>
            <w:hideMark/>
          </w:tcPr>
          <w:p w14:paraId="1B7781A8" w14:textId="089C76AB"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-1.01%</w:t>
            </w:r>
          </w:p>
        </w:tc>
        <w:tc>
          <w:tcPr>
            <w:tcW w:w="917" w:type="dxa"/>
            <w:tcBorders>
              <w:top w:val="single" w:sz="8" w:space="0" w:color="auto"/>
              <w:left w:val="nil"/>
              <w:bottom w:val="single" w:sz="8" w:space="0" w:color="auto"/>
              <w:right w:val="nil"/>
            </w:tcBorders>
            <w:shd w:val="clear" w:color="auto" w:fill="auto"/>
            <w:noWrap/>
            <w:hideMark/>
          </w:tcPr>
          <w:p w14:paraId="52B5BC9B" w14:textId="7B2A0BCA"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103%</w:t>
            </w:r>
          </w:p>
        </w:tc>
        <w:tc>
          <w:tcPr>
            <w:tcW w:w="917" w:type="dxa"/>
            <w:tcBorders>
              <w:top w:val="single" w:sz="8" w:space="0" w:color="auto"/>
              <w:left w:val="nil"/>
              <w:bottom w:val="single" w:sz="8" w:space="0" w:color="auto"/>
              <w:right w:val="single" w:sz="8" w:space="0" w:color="auto"/>
            </w:tcBorders>
            <w:shd w:val="clear" w:color="auto" w:fill="auto"/>
            <w:noWrap/>
            <w:hideMark/>
          </w:tcPr>
          <w:p w14:paraId="21117774" w14:textId="59633E6D" w:rsidR="002038E8" w:rsidRPr="002038E8" w:rsidRDefault="002038E8" w:rsidP="0020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38E8">
              <w:rPr>
                <w:rFonts w:ascii="Arial" w:hAnsi="Arial" w:cs="Arial"/>
                <w:sz w:val="18"/>
                <w:szCs w:val="18"/>
              </w:rPr>
              <w:t>108%</w:t>
            </w:r>
          </w:p>
        </w:tc>
      </w:tr>
    </w:tbl>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40ED2EAD" w14:textId="50CA63CA" w:rsidR="00E6303E" w:rsidRDefault="00E6303E" w:rsidP="004E7F8D">
      <w:pPr>
        <w:pStyle w:val="References"/>
        <w:rPr>
          <w:sz w:val="22"/>
          <w:szCs w:val="22"/>
        </w:rPr>
      </w:pPr>
      <w:bookmarkStart w:id="1" w:name="_Ref518314073"/>
      <w:bookmarkStart w:id="2" w:name="_Ref516585053"/>
      <w:bookmarkStart w:id="3" w:name="_Ref518065912"/>
      <w:r>
        <w:rPr>
          <w:sz w:val="22"/>
          <w:szCs w:val="22"/>
        </w:rPr>
        <w:t>J. Chen, E. Alshina, G. J. Sullivan, J.-R. Ohm, J. Boyce, “Algorithm description of joint exploration test mode (JEM7)”, JVET-G1001, August. 2017, Torino, Italy.</w:t>
      </w:r>
      <w:bookmarkEnd w:id="1"/>
    </w:p>
    <w:p w14:paraId="0086C1F8" w14:textId="0FAB9427" w:rsidR="004E7F8D" w:rsidRDefault="004E7F8D" w:rsidP="00EE0A53">
      <w:pPr>
        <w:pStyle w:val="References"/>
        <w:jc w:val="both"/>
        <w:rPr>
          <w:sz w:val="22"/>
          <w:szCs w:val="22"/>
        </w:rPr>
      </w:pPr>
      <w:bookmarkStart w:id="4" w:name="_Ref518294263"/>
      <w:bookmarkStart w:id="5" w:name="_Ref518066334"/>
      <w:bookmarkEnd w:id="2"/>
      <w:bookmarkEnd w:id="3"/>
      <w:r>
        <w:rPr>
          <w:sz w:val="22"/>
          <w:szCs w:val="22"/>
        </w:rPr>
        <w:t xml:space="preserve">X. Xiu, P. Hanhart, R. Vanam, Y. He, Y. He, “Description of SDR, HDR and </w:t>
      </w:r>
      <w:r w:rsidRPr="004E7F8D">
        <w:rPr>
          <w:sz w:val="22"/>
          <w:szCs w:val="22"/>
        </w:rPr>
        <w:t>360° video coding technology proposal by InterDigital Communications and Dolby Laboratories</w:t>
      </w:r>
      <w:r>
        <w:rPr>
          <w:sz w:val="22"/>
          <w:szCs w:val="22"/>
        </w:rPr>
        <w:t>”,</w:t>
      </w:r>
      <w:r w:rsidR="00D6590B">
        <w:rPr>
          <w:sz w:val="22"/>
          <w:szCs w:val="22"/>
        </w:rPr>
        <w:t xml:space="preserve"> JVET-J0015, April 2018, San Diego, USA.</w:t>
      </w:r>
      <w:bookmarkEnd w:id="4"/>
    </w:p>
    <w:p w14:paraId="103C7F60" w14:textId="51D75C05" w:rsidR="00126FDC" w:rsidRPr="00883CE5" w:rsidRDefault="00883CE5" w:rsidP="00E441AE">
      <w:pPr>
        <w:pStyle w:val="References"/>
        <w:jc w:val="both"/>
        <w:rPr>
          <w:sz w:val="22"/>
          <w:szCs w:val="22"/>
        </w:rPr>
      </w:pPr>
      <w:bookmarkStart w:id="6" w:name="_Ref518297034"/>
      <w:bookmarkStart w:id="7" w:name="_Ref518162436"/>
      <w:r w:rsidRPr="00883CE5">
        <w:rPr>
          <w:sz w:val="22"/>
          <w:szCs w:val="22"/>
        </w:rPr>
        <w:t>S. Esenlik, Y.-W. Chen, X. Xiu, A. Robert, X. Chen, T.-D. Chuang, B. Choi, J. Kang, N. Park,, “Description of Core Experiment 9 (CE9): Decoder-side motion vector derivation”, JVET-J1029, April 2018, San Diego, USA.</w:t>
      </w:r>
      <w:bookmarkEnd w:id="5"/>
      <w:bookmarkEnd w:id="6"/>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E47A1" w14:textId="77777777" w:rsidR="00310633" w:rsidRDefault="00310633">
      <w:r>
        <w:separator/>
      </w:r>
    </w:p>
  </w:endnote>
  <w:endnote w:type="continuationSeparator" w:id="0">
    <w:p w14:paraId="30E6C118" w14:textId="77777777" w:rsidR="00310633" w:rsidRDefault="0031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0FD8E6" w:rsidR="008B5727" w:rsidRPr="00C00DDE" w:rsidRDefault="008B57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1FC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1FC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A0C3A" w14:textId="77777777" w:rsidR="00310633" w:rsidRDefault="00310633">
      <w:r>
        <w:separator/>
      </w:r>
    </w:p>
  </w:footnote>
  <w:footnote w:type="continuationSeparator" w:id="0">
    <w:p w14:paraId="45FC9B04" w14:textId="77777777" w:rsidR="00310633" w:rsidRDefault="00310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904B3"/>
    <w:rsid w:val="000B0751"/>
    <w:rsid w:val="000B0C0F"/>
    <w:rsid w:val="000B1C6B"/>
    <w:rsid w:val="000B24E1"/>
    <w:rsid w:val="000B4FF9"/>
    <w:rsid w:val="000C09AC"/>
    <w:rsid w:val="000D0D5C"/>
    <w:rsid w:val="000D2703"/>
    <w:rsid w:val="000E00F3"/>
    <w:rsid w:val="000E2556"/>
    <w:rsid w:val="000E7C6D"/>
    <w:rsid w:val="000F158C"/>
    <w:rsid w:val="000F4A36"/>
    <w:rsid w:val="00102F3D"/>
    <w:rsid w:val="00104AF3"/>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1BDF"/>
    <w:rsid w:val="00175A24"/>
    <w:rsid w:val="00177E15"/>
    <w:rsid w:val="00187E58"/>
    <w:rsid w:val="001A297E"/>
    <w:rsid w:val="001A368E"/>
    <w:rsid w:val="001A7329"/>
    <w:rsid w:val="001A7714"/>
    <w:rsid w:val="001A792F"/>
    <w:rsid w:val="001B4E28"/>
    <w:rsid w:val="001B7586"/>
    <w:rsid w:val="001C2A61"/>
    <w:rsid w:val="001C3525"/>
    <w:rsid w:val="001C3AFB"/>
    <w:rsid w:val="001D1BD2"/>
    <w:rsid w:val="001D7D70"/>
    <w:rsid w:val="001D7DF2"/>
    <w:rsid w:val="001E0248"/>
    <w:rsid w:val="001E02BE"/>
    <w:rsid w:val="001E3B37"/>
    <w:rsid w:val="001F015A"/>
    <w:rsid w:val="001F0EBE"/>
    <w:rsid w:val="001F2594"/>
    <w:rsid w:val="001F4BF6"/>
    <w:rsid w:val="002038E8"/>
    <w:rsid w:val="002055A6"/>
    <w:rsid w:val="00206460"/>
    <w:rsid w:val="002069B4"/>
    <w:rsid w:val="00211AC0"/>
    <w:rsid w:val="00215DFC"/>
    <w:rsid w:val="002212DF"/>
    <w:rsid w:val="00222CD4"/>
    <w:rsid w:val="00225016"/>
    <w:rsid w:val="00225A6A"/>
    <w:rsid w:val="002264A6"/>
    <w:rsid w:val="0022688B"/>
    <w:rsid w:val="00227BA7"/>
    <w:rsid w:val="0023011C"/>
    <w:rsid w:val="00231918"/>
    <w:rsid w:val="002375C1"/>
    <w:rsid w:val="002445C8"/>
    <w:rsid w:val="00257644"/>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4429"/>
    <w:rsid w:val="002F164D"/>
    <w:rsid w:val="002F5F7D"/>
    <w:rsid w:val="002F6FD3"/>
    <w:rsid w:val="0030163D"/>
    <w:rsid w:val="003021BC"/>
    <w:rsid w:val="00306206"/>
    <w:rsid w:val="00310633"/>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3BA5"/>
    <w:rsid w:val="00354E1D"/>
    <w:rsid w:val="00361A25"/>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516C6"/>
    <w:rsid w:val="00461629"/>
    <w:rsid w:val="00465A1E"/>
    <w:rsid w:val="00486AC4"/>
    <w:rsid w:val="00495F30"/>
    <w:rsid w:val="004A0EAE"/>
    <w:rsid w:val="004A2A63"/>
    <w:rsid w:val="004A59E6"/>
    <w:rsid w:val="004B0435"/>
    <w:rsid w:val="004B210C"/>
    <w:rsid w:val="004D405F"/>
    <w:rsid w:val="004E4CAC"/>
    <w:rsid w:val="004E4F4F"/>
    <w:rsid w:val="004E6789"/>
    <w:rsid w:val="004E7F8D"/>
    <w:rsid w:val="004F61E3"/>
    <w:rsid w:val="00502E10"/>
    <w:rsid w:val="0051015C"/>
    <w:rsid w:val="005130D0"/>
    <w:rsid w:val="00516AAF"/>
    <w:rsid w:val="00516CF1"/>
    <w:rsid w:val="00522F18"/>
    <w:rsid w:val="005249B0"/>
    <w:rsid w:val="00525884"/>
    <w:rsid w:val="00531AE9"/>
    <w:rsid w:val="005379D0"/>
    <w:rsid w:val="00550A66"/>
    <w:rsid w:val="00567EC7"/>
    <w:rsid w:val="00570013"/>
    <w:rsid w:val="005755A9"/>
    <w:rsid w:val="005801A2"/>
    <w:rsid w:val="0058131C"/>
    <w:rsid w:val="005952A5"/>
    <w:rsid w:val="005A097C"/>
    <w:rsid w:val="005A33A1"/>
    <w:rsid w:val="005B0C9B"/>
    <w:rsid w:val="005B217D"/>
    <w:rsid w:val="005C1D23"/>
    <w:rsid w:val="005C385F"/>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F7E"/>
    <w:rsid w:val="00662E58"/>
    <w:rsid w:val="00663170"/>
    <w:rsid w:val="006637F2"/>
    <w:rsid w:val="006642A5"/>
    <w:rsid w:val="00664DCF"/>
    <w:rsid w:val="00670C20"/>
    <w:rsid w:val="00675DF8"/>
    <w:rsid w:val="0067658F"/>
    <w:rsid w:val="00677811"/>
    <w:rsid w:val="0068741C"/>
    <w:rsid w:val="00695817"/>
    <w:rsid w:val="006A2CFC"/>
    <w:rsid w:val="006A43B2"/>
    <w:rsid w:val="006C0A14"/>
    <w:rsid w:val="006C1403"/>
    <w:rsid w:val="006C5D39"/>
    <w:rsid w:val="006C7447"/>
    <w:rsid w:val="006D6D9B"/>
    <w:rsid w:val="006E2810"/>
    <w:rsid w:val="006E5417"/>
    <w:rsid w:val="006F0794"/>
    <w:rsid w:val="007023DE"/>
    <w:rsid w:val="00707A10"/>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770"/>
    <w:rsid w:val="00790239"/>
    <w:rsid w:val="0079211A"/>
    <w:rsid w:val="00796EE3"/>
    <w:rsid w:val="007A118D"/>
    <w:rsid w:val="007A2419"/>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50BA1"/>
    <w:rsid w:val="008543FC"/>
    <w:rsid w:val="00860A4A"/>
    <w:rsid w:val="0086387C"/>
    <w:rsid w:val="00867AB3"/>
    <w:rsid w:val="00870E53"/>
    <w:rsid w:val="00872D30"/>
    <w:rsid w:val="008749CA"/>
    <w:rsid w:val="00874A6C"/>
    <w:rsid w:val="00875030"/>
    <w:rsid w:val="00876C65"/>
    <w:rsid w:val="008771F8"/>
    <w:rsid w:val="00883CE5"/>
    <w:rsid w:val="00884097"/>
    <w:rsid w:val="008A4B4C"/>
    <w:rsid w:val="008B3A04"/>
    <w:rsid w:val="008B5727"/>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4326"/>
    <w:rsid w:val="0098551D"/>
    <w:rsid w:val="009943ED"/>
    <w:rsid w:val="0099518F"/>
    <w:rsid w:val="009A12E9"/>
    <w:rsid w:val="009A523D"/>
    <w:rsid w:val="009A7682"/>
    <w:rsid w:val="009B02A1"/>
    <w:rsid w:val="009D0CC3"/>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74A6F"/>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C776A"/>
    <w:rsid w:val="00BF3BCE"/>
    <w:rsid w:val="00C00DDE"/>
    <w:rsid w:val="00C04F43"/>
    <w:rsid w:val="00C05E08"/>
    <w:rsid w:val="00C0609D"/>
    <w:rsid w:val="00C115AB"/>
    <w:rsid w:val="00C128BC"/>
    <w:rsid w:val="00C24AD4"/>
    <w:rsid w:val="00C26CCB"/>
    <w:rsid w:val="00C30249"/>
    <w:rsid w:val="00C32F6D"/>
    <w:rsid w:val="00C3723B"/>
    <w:rsid w:val="00C41B57"/>
    <w:rsid w:val="00C41E02"/>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1FCC"/>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15CC6"/>
    <w:rsid w:val="00D20637"/>
    <w:rsid w:val="00D23F37"/>
    <w:rsid w:val="00D253C3"/>
    <w:rsid w:val="00D446EC"/>
    <w:rsid w:val="00D51BF0"/>
    <w:rsid w:val="00D531DB"/>
    <w:rsid w:val="00D54D01"/>
    <w:rsid w:val="00D55942"/>
    <w:rsid w:val="00D57574"/>
    <w:rsid w:val="00D640AF"/>
    <w:rsid w:val="00D6590B"/>
    <w:rsid w:val="00D67863"/>
    <w:rsid w:val="00D720E2"/>
    <w:rsid w:val="00D807BF"/>
    <w:rsid w:val="00D82FCC"/>
    <w:rsid w:val="00D927AA"/>
    <w:rsid w:val="00D94B12"/>
    <w:rsid w:val="00DA17FC"/>
    <w:rsid w:val="00DA7887"/>
    <w:rsid w:val="00DB2C26"/>
    <w:rsid w:val="00DB4163"/>
    <w:rsid w:val="00DB5AC8"/>
    <w:rsid w:val="00DC548B"/>
    <w:rsid w:val="00DD02F4"/>
    <w:rsid w:val="00DD6622"/>
    <w:rsid w:val="00DE1C7C"/>
    <w:rsid w:val="00DE6B43"/>
    <w:rsid w:val="00DE6D6D"/>
    <w:rsid w:val="00DF24AE"/>
    <w:rsid w:val="00DF2B24"/>
    <w:rsid w:val="00DF3636"/>
    <w:rsid w:val="00E01C0D"/>
    <w:rsid w:val="00E03111"/>
    <w:rsid w:val="00E103A0"/>
    <w:rsid w:val="00E10B88"/>
    <w:rsid w:val="00E11923"/>
    <w:rsid w:val="00E14C00"/>
    <w:rsid w:val="00E262D4"/>
    <w:rsid w:val="00E36250"/>
    <w:rsid w:val="00E441AE"/>
    <w:rsid w:val="00E47F2D"/>
    <w:rsid w:val="00E54511"/>
    <w:rsid w:val="00E57B07"/>
    <w:rsid w:val="00E61268"/>
    <w:rsid w:val="00E61DAC"/>
    <w:rsid w:val="00E6303E"/>
    <w:rsid w:val="00E67651"/>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EF79D9"/>
    <w:rsid w:val="00F00801"/>
    <w:rsid w:val="00F12BA0"/>
    <w:rsid w:val="00F208AF"/>
    <w:rsid w:val="00F2488D"/>
    <w:rsid w:val="00F32157"/>
    <w:rsid w:val="00F41564"/>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E6265-D526-45FC-A18D-3B3D363D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99</cp:revision>
  <cp:lastPrinted>1900-01-01T08:00:00Z</cp:lastPrinted>
  <dcterms:created xsi:type="dcterms:W3CDTF">2018-06-30T05:26:00Z</dcterms:created>
  <dcterms:modified xsi:type="dcterms:W3CDTF">2018-07-03T03:55:00Z</dcterms:modified>
</cp:coreProperties>
</file>