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5575CE"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4FB774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80009">
              <w:rPr>
                <w:lang w:val="en-CA"/>
              </w:rPr>
              <w:t>0343</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E80039" w:rsidR="00E61DAC" w:rsidRPr="005B217D" w:rsidRDefault="00DF3636" w:rsidP="009D7CE6">
            <w:pPr>
              <w:spacing w:before="60" w:after="60"/>
              <w:rPr>
                <w:b/>
                <w:szCs w:val="22"/>
                <w:lang w:val="en-CA"/>
              </w:rPr>
            </w:pPr>
            <w:r>
              <w:rPr>
                <w:b/>
                <w:szCs w:val="22"/>
                <w:lang w:val="en-CA"/>
              </w:rPr>
              <w:t>C</w:t>
            </w:r>
            <w:r w:rsidR="00486AC4">
              <w:rPr>
                <w:b/>
                <w:szCs w:val="22"/>
                <w:lang w:val="en-CA"/>
              </w:rPr>
              <w:t>E9.</w:t>
            </w:r>
            <w:r w:rsidR="005D45C8">
              <w:rPr>
                <w:b/>
                <w:szCs w:val="22"/>
                <w:lang w:val="en-CA"/>
              </w:rPr>
              <w:t>2.2</w:t>
            </w:r>
            <w:r w:rsidR="009943ED">
              <w:rPr>
                <w:b/>
                <w:szCs w:val="22"/>
                <w:lang w:val="en-CA"/>
              </w:rPr>
              <w:t>:</w:t>
            </w:r>
            <w:r w:rsidR="000D0D5C">
              <w:rPr>
                <w:b/>
                <w:szCs w:val="22"/>
                <w:lang w:val="en-CA"/>
              </w:rPr>
              <w:t xml:space="preserve"> </w:t>
            </w:r>
            <w:r w:rsidR="005D45C8">
              <w:rPr>
                <w:b/>
                <w:szCs w:val="22"/>
                <w:lang w:val="en-CA"/>
              </w:rPr>
              <w:t>Simplifications on bilateral matching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FDED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9321228" w:rsidR="00E61DAC" w:rsidRPr="005B217D" w:rsidRDefault="000D2703">
            <w:pPr>
              <w:spacing w:before="60" w:after="60"/>
              <w:rPr>
                <w:szCs w:val="22"/>
                <w:lang w:val="en-CA"/>
              </w:rPr>
            </w:pPr>
            <w:r>
              <w:rPr>
                <w:szCs w:val="22"/>
                <w:lang w:val="en-CA"/>
              </w:rPr>
              <w:t>Xiaoyu Xiu, Yuwen He,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C401DED" w14:textId="77777777" w:rsidR="000D2703" w:rsidRDefault="00E61DAC" w:rsidP="000D2703">
            <w:pPr>
              <w:spacing w:before="0"/>
              <w:rPr>
                <w:szCs w:val="22"/>
                <w:lang w:val="en-CA"/>
              </w:rPr>
            </w:pPr>
            <w:r w:rsidRPr="005B217D">
              <w:rPr>
                <w:szCs w:val="22"/>
                <w:lang w:val="en-CA"/>
              </w:rPr>
              <w:br/>
            </w:r>
            <w:r w:rsidR="000D2703">
              <w:rPr>
                <w:szCs w:val="22"/>
                <w:lang w:val="en-CA"/>
              </w:rPr>
              <w:t>+1-858-210-4830</w:t>
            </w:r>
            <w:r w:rsidRPr="005B217D">
              <w:rPr>
                <w:szCs w:val="22"/>
                <w:lang w:val="en-CA"/>
              </w:rPr>
              <w:br/>
            </w:r>
            <w:hyperlink r:id="rId10" w:history="1">
              <w:r w:rsidR="000D2703">
                <w:rPr>
                  <w:rStyle w:val="Hyperlink"/>
                  <w:szCs w:val="22"/>
                  <w:lang w:val="en-CA"/>
                </w:rPr>
                <w:t>Xiaoyu.Xiu@InterDigital.com</w:t>
              </w:r>
            </w:hyperlink>
          </w:p>
          <w:p w14:paraId="22C8F95F" w14:textId="77777777" w:rsidR="000D2703" w:rsidRDefault="000D2703" w:rsidP="000D2703">
            <w:pPr>
              <w:spacing w:before="0"/>
              <w:rPr>
                <w:szCs w:val="22"/>
                <w:lang w:val="en-CA"/>
              </w:rPr>
            </w:pPr>
            <w:r>
              <w:rPr>
                <w:rStyle w:val="Hyperlink"/>
                <w:szCs w:val="22"/>
                <w:lang w:val="en-CA"/>
              </w:rPr>
              <w:t>Yuwen.He@InterDigital.com</w:t>
            </w:r>
            <w:r>
              <w:rPr>
                <w:szCs w:val="22"/>
                <w:lang w:val="en-CA"/>
              </w:rPr>
              <w:t xml:space="preserve"> </w:t>
            </w:r>
          </w:p>
          <w:p w14:paraId="32C2ABFD" w14:textId="2A420F76" w:rsidR="00E61DAC" w:rsidRPr="005B217D" w:rsidRDefault="005575CE" w:rsidP="000D2703">
            <w:pPr>
              <w:spacing w:before="0"/>
              <w:rPr>
                <w:szCs w:val="22"/>
                <w:lang w:val="en-CA"/>
              </w:rPr>
            </w:pPr>
            <w:hyperlink r:id="rId11" w:history="1">
              <w:r w:rsidR="000D2703">
                <w:rPr>
                  <w:rStyle w:val="Hyperlink"/>
                  <w:szCs w:val="22"/>
                  <w:lang w:val="en-CA"/>
                </w:rPr>
                <w:t>Yan.Ye@InterDigital.com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0CC2DD7" w:rsidR="00E61DAC" w:rsidRPr="005B217D" w:rsidRDefault="0081437A">
            <w:pPr>
              <w:spacing w:before="60" w:after="60"/>
              <w:rPr>
                <w:szCs w:val="22"/>
                <w:lang w:val="en-CA"/>
              </w:rPr>
            </w:pPr>
            <w:r>
              <w:rPr>
                <w:szCs w:val="22"/>
                <w:lang w:val="en-CA"/>
              </w:rPr>
              <w:t>InterDigital Communications</w:t>
            </w:r>
            <w:r w:rsidR="003831E1">
              <w:rPr>
                <w:szCs w:val="22"/>
                <w:lang w:val="en-CA"/>
              </w:rPr>
              <w:t>,</w:t>
            </w:r>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BB8B55" w14:textId="73E9E4F4" w:rsidR="00C24AD4" w:rsidRDefault="0068741C" w:rsidP="00594B74">
      <w:pPr>
        <w:rPr>
          <w:lang w:val="en-CA"/>
        </w:rPr>
      </w:pPr>
      <w:r>
        <w:rPr>
          <w:lang w:val="en-CA"/>
        </w:rPr>
        <w:t xml:space="preserve">This </w:t>
      </w:r>
      <w:r w:rsidR="0067658F">
        <w:rPr>
          <w:lang w:val="en-CA"/>
        </w:rPr>
        <w:t>document</w:t>
      </w:r>
      <w:r>
        <w:rPr>
          <w:lang w:val="en-CA"/>
        </w:rPr>
        <w:t xml:space="preserve"> reports the results of Core Experiment (CE)</w:t>
      </w:r>
      <w:r w:rsidR="006C7447">
        <w:rPr>
          <w:lang w:val="en-CA"/>
        </w:rPr>
        <w:t xml:space="preserve"> 9.</w:t>
      </w:r>
      <w:r w:rsidR="00CB7239">
        <w:rPr>
          <w:lang w:val="en-CA"/>
        </w:rPr>
        <w:t>2</w:t>
      </w:r>
      <w:r w:rsidR="006C7447">
        <w:rPr>
          <w:lang w:val="en-CA"/>
        </w:rPr>
        <w:t>.</w:t>
      </w:r>
      <w:r w:rsidR="00CB7239">
        <w:rPr>
          <w:lang w:val="en-CA"/>
        </w:rPr>
        <w:t>2</w:t>
      </w:r>
      <w:r w:rsidR="006C7447">
        <w:rPr>
          <w:lang w:val="en-CA"/>
        </w:rPr>
        <w:t xml:space="preserve"> on </w:t>
      </w:r>
      <w:r w:rsidR="00CB7239">
        <w:rPr>
          <w:lang w:val="en-CA"/>
        </w:rPr>
        <w:t>simplifications on bilateral matching mode</w:t>
      </w:r>
      <w:r w:rsidR="003332C8">
        <w:rPr>
          <w:lang w:val="en-CA"/>
        </w:rPr>
        <w:t>.</w:t>
      </w:r>
      <w:r w:rsidR="00EF60C5">
        <w:rPr>
          <w:lang w:val="en-CA"/>
        </w:rPr>
        <w:t xml:space="preserve"> </w:t>
      </w:r>
      <w:r w:rsidR="00632678">
        <w:rPr>
          <w:lang w:val="en-CA"/>
        </w:rPr>
        <w:t xml:space="preserve">In this CE test, the </w:t>
      </w:r>
      <w:r w:rsidR="00D726B1">
        <w:rPr>
          <w:lang w:val="en-CA"/>
        </w:rPr>
        <w:t xml:space="preserve">bilateral matching mode of the existing frame-rate up conversion (FRUC) </w:t>
      </w:r>
      <w:r w:rsidR="007D552E">
        <w:rPr>
          <w:lang w:val="en-CA"/>
        </w:rPr>
        <w:t xml:space="preserve">in the </w:t>
      </w:r>
      <w:r w:rsidR="002F6FD3">
        <w:rPr>
          <w:lang w:val="en-CA"/>
        </w:rPr>
        <w:t xml:space="preserve">joint exploration model (JEM)-7.0 </w:t>
      </w:r>
      <w:r w:rsidR="00632678">
        <w:rPr>
          <w:lang w:val="en-CA"/>
        </w:rPr>
        <w:t xml:space="preserve">is used as the base. </w:t>
      </w:r>
      <w:r w:rsidR="00D726B1">
        <w:rPr>
          <w:lang w:val="en-CA"/>
        </w:rPr>
        <w:t xml:space="preserve">Additionally, several simplifications are applied to reduce both the average and worst-case complexity of the bilateral matching mode: 1) one clustering-based motion search method to reduce the </w:t>
      </w:r>
      <w:r w:rsidR="00594B74">
        <w:rPr>
          <w:lang w:val="en-CA"/>
        </w:rPr>
        <w:t>number of initial motion vector (MV) candidates; 2) one multi-stage motion refinement to find the optimal MV within a limited number of iterations; 3) one early termination method to conditionally skip the sub-CU-level motion derivation</w:t>
      </w:r>
      <w:r w:rsidR="001A6085">
        <w:rPr>
          <w:lang w:val="en-CA"/>
        </w:rPr>
        <w:t>.</w:t>
      </w:r>
      <w:r w:rsidR="00C24AD4">
        <w:rPr>
          <w:lang w:val="en-CA"/>
        </w:rPr>
        <w:t xml:space="preserve"> Simulation results show that compared to VTM-1.0 anchors, the proposed BIO method provides on average {Y, U, V} BD-rate savings of {</w:t>
      </w:r>
      <w:r w:rsidR="00E12D5E">
        <w:rPr>
          <w:lang w:val="en-CA"/>
        </w:rPr>
        <w:t>2.45%, 2.25%, 2.22%</w:t>
      </w:r>
      <w:r w:rsidR="00C24AD4">
        <w:rPr>
          <w:lang w:val="en-CA"/>
        </w:rPr>
        <w:t>} for RA</w:t>
      </w:r>
      <w:r w:rsidR="003D4B68">
        <w:rPr>
          <w:lang w:val="en-CA"/>
        </w:rPr>
        <w:t xml:space="preserve"> and {1.26%, 1.36%, 1.48%}</w:t>
      </w:r>
      <w:r w:rsidR="00C24AD4">
        <w:rPr>
          <w:lang w:val="en-CA"/>
        </w:rPr>
        <w:t xml:space="preserve"> </w:t>
      </w:r>
      <w:r w:rsidR="003D4B68">
        <w:rPr>
          <w:lang w:val="en-CA"/>
        </w:rPr>
        <w:t xml:space="preserve">for LD. The </w:t>
      </w:r>
      <w:r w:rsidR="00C24AD4">
        <w:rPr>
          <w:lang w:val="en-CA"/>
        </w:rPr>
        <w:t>average encoding and decoding time</w:t>
      </w:r>
      <w:r w:rsidR="003D4B68">
        <w:rPr>
          <w:lang w:val="en-CA"/>
        </w:rPr>
        <w:t xml:space="preserve"> are </w:t>
      </w:r>
      <w:r w:rsidR="00C24AD4">
        <w:rPr>
          <w:lang w:val="en-CA"/>
        </w:rPr>
        <w:t>1</w:t>
      </w:r>
      <w:r w:rsidR="003D4B68">
        <w:rPr>
          <w:lang w:val="en-CA"/>
        </w:rPr>
        <w:t>25% and 162</w:t>
      </w:r>
      <w:r w:rsidR="00C24AD4">
        <w:rPr>
          <w:lang w:val="en-CA"/>
        </w:rPr>
        <w:t>%</w:t>
      </w:r>
      <w:r w:rsidR="003D4B68">
        <w:rPr>
          <w:lang w:val="en-CA"/>
        </w:rPr>
        <w:t xml:space="preserve"> for RA, and 142% and 179% for LD</w:t>
      </w:r>
      <w:r w:rsidR="00C24AD4">
        <w:rPr>
          <w:lang w:val="en-CA"/>
        </w:rPr>
        <w:t>.</w:t>
      </w:r>
    </w:p>
    <w:p w14:paraId="7D2AC1F0" w14:textId="65442E92" w:rsidR="00745F6B" w:rsidRPr="005B217D" w:rsidRDefault="00745F6B" w:rsidP="00C24AD4">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t>Introduction</w:t>
      </w:r>
    </w:p>
    <w:p w14:paraId="52733468" w14:textId="13EA6C32" w:rsidR="00E14C00" w:rsidRDefault="003E6EE0" w:rsidP="009F002F">
      <w:pPr>
        <w:rPr>
          <w:lang w:eastAsia="ko-KR"/>
        </w:rPr>
      </w:pPr>
      <w:r>
        <w:rPr>
          <w:lang w:val="en-CA"/>
        </w:rPr>
        <w:t>Bilateral matching</w:t>
      </w:r>
      <w:r w:rsidR="00E6303E">
        <w:rPr>
          <w:lang w:val="en-CA"/>
        </w:rPr>
        <w:t xml:space="preserve"> is one coding </w:t>
      </w:r>
      <w:r>
        <w:rPr>
          <w:lang w:val="en-CA"/>
        </w:rPr>
        <w:t>mode of the frame-rate up conversion (FRUC) tool</w:t>
      </w:r>
      <w:r w:rsidR="00E6303E">
        <w:rPr>
          <w:lang w:val="en-CA"/>
        </w:rPr>
        <w:t xml:space="preserve"> in joint exploration model (JEM)-7.0</w:t>
      </w:r>
      <w:r w:rsidR="00171BDF">
        <w:rPr>
          <w:lang w:val="en-CA"/>
        </w:rPr>
        <w:t xml:space="preserve"> </w:t>
      </w:r>
      <w:r w:rsidR="00171BDF">
        <w:rPr>
          <w:lang w:val="en-CA"/>
        </w:rPr>
        <w:fldChar w:fldCharType="begin"/>
      </w:r>
      <w:r w:rsidR="00171BDF">
        <w:rPr>
          <w:lang w:val="en-CA"/>
        </w:rPr>
        <w:instrText xml:space="preserve"> REF _Ref518314073 \r \h </w:instrText>
      </w:r>
      <w:r w:rsidR="00171BDF">
        <w:rPr>
          <w:lang w:val="en-CA"/>
        </w:rPr>
      </w:r>
      <w:r w:rsidR="00171BDF">
        <w:rPr>
          <w:lang w:val="en-CA"/>
        </w:rPr>
        <w:fldChar w:fldCharType="separate"/>
      </w:r>
      <w:r w:rsidR="00171BDF">
        <w:rPr>
          <w:lang w:val="en-CA"/>
        </w:rPr>
        <w:t>[1]</w:t>
      </w:r>
      <w:r w:rsidR="00171BDF">
        <w:rPr>
          <w:lang w:val="en-CA"/>
        </w:rPr>
        <w:fldChar w:fldCharType="end"/>
      </w:r>
      <w:r w:rsidR="00027E76">
        <w:rPr>
          <w:lang w:val="en-CA"/>
        </w:rPr>
        <w:t xml:space="preserve">, which derive the motion vectors (MVs) of one coding unit (CU) </w:t>
      </w:r>
      <w:r w:rsidR="00027E76">
        <w:rPr>
          <w:szCs w:val="22"/>
        </w:rPr>
        <w:t>by finding the best match between two reference blocks along the motion trajectory of the current CU in two different reference pictures</w:t>
      </w:r>
      <w:r w:rsidR="00E6303E">
        <w:rPr>
          <w:lang w:val="en-CA"/>
        </w:rPr>
        <w:t>.</w:t>
      </w:r>
      <w:r w:rsidR="001A6085">
        <w:rPr>
          <w:lang w:val="en-CA"/>
        </w:rPr>
        <w:t xml:space="preserve"> </w:t>
      </w:r>
      <w:r w:rsidR="001A6085">
        <w:t xml:space="preserve">The </w:t>
      </w:r>
      <w:r w:rsidR="00701632">
        <w:t>bilateral matching based motion derivation</w:t>
      </w:r>
      <w:r w:rsidR="001A6085">
        <w:t xml:space="preserve"> is composed of four steps:  CU-level motion search, CU-level motion refinement, sub-CU-level motion search and sub-CU-level motion refinement</w:t>
      </w:r>
      <w:r w:rsidR="00171BDF">
        <w:rPr>
          <w:lang w:val="en-CA"/>
        </w:rPr>
        <w:t xml:space="preserve"> </w:t>
      </w:r>
      <w:r w:rsidR="00171BDF">
        <w:rPr>
          <w:lang w:eastAsia="ko-KR"/>
        </w:rPr>
        <w:t xml:space="preserve">Although </w:t>
      </w:r>
      <w:r w:rsidR="00701632">
        <w:rPr>
          <w:lang w:eastAsia="ko-KR"/>
        </w:rPr>
        <w:t xml:space="preserve">it </w:t>
      </w:r>
      <w:r w:rsidR="00171BDF">
        <w:rPr>
          <w:lang w:eastAsia="ko-KR"/>
        </w:rPr>
        <w:t xml:space="preserve">can improve the coding efficiency, </w:t>
      </w:r>
      <w:r w:rsidR="00701632">
        <w:rPr>
          <w:lang w:eastAsia="ko-KR"/>
        </w:rPr>
        <w:t>the bilateral matching</w:t>
      </w:r>
      <w:r w:rsidR="00171BDF">
        <w:rPr>
          <w:lang w:eastAsia="ko-KR"/>
        </w:rPr>
        <w:t xml:space="preserve"> also introduces significant complexity increase to both encoder and decoder</w:t>
      </w:r>
      <w:r w:rsidR="00701632">
        <w:rPr>
          <w:lang w:eastAsia="ko-KR"/>
        </w:rPr>
        <w:t xml:space="preserve"> </w:t>
      </w:r>
      <w:r w:rsidR="00171BDF">
        <w:rPr>
          <w:lang w:val="en-CA"/>
        </w:rPr>
        <w:fldChar w:fldCharType="begin"/>
      </w:r>
      <w:r w:rsidR="00171BDF">
        <w:rPr>
          <w:lang w:val="en-CA"/>
        </w:rPr>
        <w:instrText xml:space="preserve"> REF _Ref518314073 \r \h </w:instrText>
      </w:r>
      <w:r w:rsidR="00171BDF">
        <w:rPr>
          <w:lang w:val="en-CA"/>
        </w:rPr>
      </w:r>
      <w:r w:rsidR="00171BDF">
        <w:rPr>
          <w:lang w:val="en-CA"/>
        </w:rPr>
        <w:fldChar w:fldCharType="separate"/>
      </w:r>
      <w:r w:rsidR="00171BDF">
        <w:rPr>
          <w:lang w:val="en-CA"/>
        </w:rPr>
        <w:t>[1]</w:t>
      </w:r>
      <w:r w:rsidR="00171BDF">
        <w:rPr>
          <w:lang w:val="en-CA"/>
        </w:rPr>
        <w:fldChar w:fldCharType="end"/>
      </w:r>
      <w:r w:rsidR="00171BDF">
        <w:rPr>
          <w:lang w:eastAsia="ko-KR"/>
        </w:rPr>
        <w:t>.</w:t>
      </w:r>
    </w:p>
    <w:p w14:paraId="3642C6AD" w14:textId="1F55B1A8" w:rsidR="00701632" w:rsidRDefault="00701632" w:rsidP="00361A25">
      <w:r>
        <w:t xml:space="preserve">To reduce the complexity of bilateral matching mode, several simplification methods are proposed in </w:t>
      </w:r>
      <w:r w:rsidR="00104AF3">
        <w:fldChar w:fldCharType="begin"/>
      </w:r>
      <w:r w:rsidR="00104AF3">
        <w:instrText xml:space="preserve"> REF _Ref518294263 \r \h </w:instrText>
      </w:r>
      <w:r w:rsidR="00104AF3">
        <w:fldChar w:fldCharType="separate"/>
      </w:r>
      <w:r w:rsidR="00104AF3">
        <w:t>[2]</w:t>
      </w:r>
      <w:r w:rsidR="00104AF3">
        <w:fldChar w:fldCharType="end"/>
      </w:r>
      <w:r>
        <w:t>, which includes:</w:t>
      </w:r>
    </w:p>
    <w:p w14:paraId="358D4BEE" w14:textId="15852EAE" w:rsidR="00701632" w:rsidRDefault="00701632" w:rsidP="00701632">
      <w:pPr>
        <w:numPr>
          <w:ilvl w:val="0"/>
          <w:numId w:val="31"/>
        </w:numPr>
        <w:rPr>
          <w:szCs w:val="22"/>
        </w:rPr>
      </w:pPr>
      <w:r w:rsidRPr="00701632">
        <w:rPr>
          <w:szCs w:val="22"/>
        </w:rPr>
        <w:t>For the CU-level motion search and sub-CU-level motion search, an MV clustering method is proposed to reduce the number of tested MVs searched at these two stages</w:t>
      </w:r>
      <w:r>
        <w:rPr>
          <w:szCs w:val="22"/>
        </w:rPr>
        <w:t>.</w:t>
      </w:r>
    </w:p>
    <w:p w14:paraId="163739E7" w14:textId="5E0222CA" w:rsidR="00701632" w:rsidRPr="00701632" w:rsidRDefault="00701632" w:rsidP="00C56DD6">
      <w:pPr>
        <w:numPr>
          <w:ilvl w:val="0"/>
          <w:numId w:val="31"/>
        </w:numPr>
        <w:spacing w:before="0"/>
      </w:pPr>
      <w:r w:rsidRPr="00701632">
        <w:rPr>
          <w:szCs w:val="22"/>
        </w:rPr>
        <w:t>For the CU-level motion refinement and the sub-CU-level motion refinement, a multi-stage motion refinement method is proposed to find the optimal MV within a limited number of search iterations</w:t>
      </w:r>
      <w:r>
        <w:rPr>
          <w:szCs w:val="22"/>
        </w:rPr>
        <w:t>.</w:t>
      </w:r>
    </w:p>
    <w:p w14:paraId="12FD9AB8" w14:textId="23A7ACA8" w:rsidR="00701632" w:rsidRDefault="00701632" w:rsidP="00C56DD6">
      <w:pPr>
        <w:numPr>
          <w:ilvl w:val="0"/>
          <w:numId w:val="31"/>
        </w:numPr>
        <w:spacing w:before="0"/>
      </w:pPr>
      <w:r w:rsidRPr="00701632">
        <w:rPr>
          <w:szCs w:val="22"/>
        </w:rPr>
        <w:t>Early termination methods are proposed to conditionally skip the entire sub-CU-level motion derivation process, that is, to skip both the sub-CU-level motion search and the sub-CU-level motion refinement.</w:t>
      </w:r>
    </w:p>
    <w:p w14:paraId="19B3A7A5" w14:textId="453B4578" w:rsidR="002445C8" w:rsidRPr="00361A25" w:rsidRDefault="00693381" w:rsidP="00361A25">
      <w:r>
        <w:t>The methods were</w:t>
      </w:r>
      <w:r w:rsidR="00486AC4">
        <w:t xml:space="preserve"> included in Core Experiment (CE) 9 as test </w:t>
      </w:r>
      <w:r>
        <w:t>2.2</w:t>
      </w:r>
      <w:r w:rsidR="00486AC4">
        <w:t xml:space="preserve"> for further evaluation </w:t>
      </w:r>
      <w:r w:rsidR="00486AC4">
        <w:fldChar w:fldCharType="begin"/>
      </w:r>
      <w:r w:rsidR="00486AC4">
        <w:instrText xml:space="preserve"> REF _Ref518297034 \r \h </w:instrText>
      </w:r>
      <w:r w:rsidR="00486AC4">
        <w:fldChar w:fldCharType="separate"/>
      </w:r>
      <w:r w:rsidR="00486AC4">
        <w:t>[3]</w:t>
      </w:r>
      <w:r w:rsidR="00486AC4">
        <w:fldChar w:fldCharType="end"/>
      </w:r>
      <w:r w:rsidR="00486AC4">
        <w:t>.</w:t>
      </w:r>
      <w:r w:rsidR="00361A25">
        <w:t xml:space="preserve"> This document reports the simulation results of the CE test.</w:t>
      </w:r>
    </w:p>
    <w:p w14:paraId="3F894ECC" w14:textId="1C0752FA" w:rsidR="00E74692" w:rsidRDefault="00E74692"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Technical descriptions</w:t>
      </w:r>
    </w:p>
    <w:p w14:paraId="6B6BE0AF" w14:textId="7DA30EFB" w:rsidR="00E74692" w:rsidRDefault="00E74692" w:rsidP="00E74692">
      <w:pPr>
        <w:pStyle w:val="Heading2"/>
        <w:rPr>
          <w:lang w:val="en-CA"/>
        </w:rPr>
      </w:pPr>
      <w:r>
        <w:rPr>
          <w:lang w:val="en-CA"/>
        </w:rPr>
        <w:t>Clustering-based initial motion search</w:t>
      </w:r>
    </w:p>
    <w:p w14:paraId="75186C78" w14:textId="77777777" w:rsidR="00C56DD6" w:rsidRDefault="00C56DD6" w:rsidP="00C56DD6">
      <w:r>
        <w:t>To reduce the number of initial MV candidates, one clustering-based motion search is proposed, which consists of the following steps:</w:t>
      </w:r>
    </w:p>
    <w:p w14:paraId="45062F1B" w14:textId="77777777" w:rsidR="00C56DD6" w:rsidRDefault="00C56DD6" w:rsidP="00C56DD6">
      <w:pPr>
        <w:numPr>
          <w:ilvl w:val="0"/>
          <w:numId w:val="32"/>
        </w:numPr>
        <w:tabs>
          <w:tab w:val="clear" w:pos="1800"/>
          <w:tab w:val="clear" w:pos="2160"/>
          <w:tab w:val="clear" w:pos="2520"/>
          <w:tab w:val="clear" w:pos="2880"/>
          <w:tab w:val="clear" w:pos="3240"/>
          <w:tab w:val="clear" w:pos="3600"/>
          <w:tab w:val="clear" w:pos="3960"/>
          <w:tab w:val="clear" w:pos="4320"/>
        </w:tabs>
        <w:textAlignment w:val="auto"/>
      </w:pPr>
      <w:r>
        <w:t>All the MV candidates generated from picture-level motion field interpolation are removed from the initial motion candidate list.</w:t>
      </w:r>
    </w:p>
    <w:p w14:paraId="1949EDDC" w14:textId="77777777" w:rsidR="00C56DD6" w:rsidRDefault="00C56DD6" w:rsidP="00C56DD6">
      <w:pPr>
        <w:numPr>
          <w:ilvl w:val="0"/>
          <w:numId w:val="32"/>
        </w:numPr>
        <w:tabs>
          <w:tab w:val="clear" w:pos="1800"/>
          <w:tab w:val="clear" w:pos="2160"/>
          <w:tab w:val="clear" w:pos="2520"/>
          <w:tab w:val="clear" w:pos="2880"/>
          <w:tab w:val="clear" w:pos="3240"/>
          <w:tab w:val="clear" w:pos="3600"/>
          <w:tab w:val="clear" w:pos="3960"/>
          <w:tab w:val="clear" w:pos="4320"/>
        </w:tabs>
        <w:spacing w:before="0"/>
        <w:textAlignment w:val="auto"/>
      </w:pPr>
      <w:r>
        <w:t>One reference picture selection method is used to pick one L0 refence picture (along with its paired L1 reference picture) which have the highest usage among the initial MV candidates.</w:t>
      </w:r>
    </w:p>
    <w:p w14:paraId="4436DC99" w14:textId="77777777" w:rsidR="00C56DD6" w:rsidRDefault="00C56DD6" w:rsidP="00C56DD6">
      <w:pPr>
        <w:numPr>
          <w:ilvl w:val="0"/>
          <w:numId w:val="32"/>
        </w:numPr>
        <w:tabs>
          <w:tab w:val="clear" w:pos="1800"/>
          <w:tab w:val="clear" w:pos="2160"/>
          <w:tab w:val="clear" w:pos="2520"/>
          <w:tab w:val="clear" w:pos="2880"/>
          <w:tab w:val="clear" w:pos="3240"/>
          <w:tab w:val="clear" w:pos="3600"/>
          <w:tab w:val="clear" w:pos="3960"/>
          <w:tab w:val="clear" w:pos="4320"/>
        </w:tabs>
        <w:spacing w:before="0"/>
        <w:textAlignment w:val="auto"/>
      </w:pPr>
      <w:r>
        <w:t>After the initial L0/L1 reference picture is selected, all the initial MV candidates are scaled to the selected reference pictures; additionally, pruning is also performed to remove any redundant MV candidates.</w:t>
      </w:r>
    </w:p>
    <w:p w14:paraId="07B9C4F5" w14:textId="402081E7" w:rsidR="00C56DD6" w:rsidRDefault="00C56DD6" w:rsidP="00C56DD6">
      <w:pPr>
        <w:numPr>
          <w:ilvl w:val="0"/>
          <w:numId w:val="32"/>
        </w:numPr>
        <w:tabs>
          <w:tab w:val="clear" w:pos="1800"/>
          <w:tab w:val="clear" w:pos="2160"/>
          <w:tab w:val="clear" w:pos="2520"/>
          <w:tab w:val="clear" w:pos="2880"/>
          <w:tab w:val="clear" w:pos="3240"/>
          <w:tab w:val="clear" w:pos="3600"/>
          <w:tab w:val="clear" w:pos="3960"/>
          <w:tab w:val="clear" w:pos="4320"/>
        </w:tabs>
        <w:spacing w:before="0"/>
        <w:textAlignment w:val="auto"/>
      </w:pPr>
      <w:r>
        <w:t>MV clustering is applied to group similar MV candidates into multiple sets; only the centroids of the resulting MV sets are used as the final MV candidates for the bilateral-matching based motion search at both CU-level and sub-CU-level.</w:t>
      </w:r>
    </w:p>
    <w:p w14:paraId="3A2442ED" w14:textId="07C04115" w:rsidR="005B4527" w:rsidRDefault="005B4527" w:rsidP="005B4527">
      <w:pPr>
        <w:pStyle w:val="Heading2"/>
        <w:rPr>
          <w:lang w:val="en-CA"/>
        </w:rPr>
      </w:pPr>
      <w:r w:rsidRPr="005B4527">
        <w:rPr>
          <w:lang w:val="en-CA"/>
        </w:rPr>
        <w:t>Multi-stage motion refinement</w:t>
      </w:r>
    </w:p>
    <w:p w14:paraId="397D95EC" w14:textId="138CFC0D" w:rsidR="00086C9A" w:rsidRDefault="00086C9A" w:rsidP="00086C9A">
      <w:r>
        <w:t xml:space="preserve">One multi-stage motion refinement method is applied at both CU-level and sub-CU-level to improve the accuracy of searched MVs, which consists of two steps: </w:t>
      </w:r>
    </w:p>
    <w:p w14:paraId="21ED4B03" w14:textId="77777777" w:rsidR="00086C9A" w:rsidRDefault="00086C9A" w:rsidP="00086C9A">
      <w:pPr>
        <w:numPr>
          <w:ilvl w:val="0"/>
          <w:numId w:val="36"/>
        </w:numPr>
        <w:tabs>
          <w:tab w:val="clear" w:pos="1800"/>
          <w:tab w:val="clear" w:pos="2160"/>
          <w:tab w:val="clear" w:pos="2520"/>
          <w:tab w:val="clear" w:pos="2880"/>
          <w:tab w:val="clear" w:pos="3240"/>
          <w:tab w:val="clear" w:pos="3600"/>
          <w:tab w:val="clear" w:pos="3960"/>
          <w:tab w:val="clear" w:pos="4320"/>
        </w:tabs>
        <w:textAlignment w:val="auto"/>
      </w:pPr>
      <w:r>
        <w:t>Integer motion refinement: the initial MV is rounded to the integer precision; the matching costs of a set of integer MVs based on a diamond pattern are calculated and the best integer MV that minimize the cost is maintained as new search center. The above search process continues until either the search center is not updated or the number of the search iterations reaches 12.</w:t>
      </w:r>
    </w:p>
    <w:p w14:paraId="2763887C" w14:textId="12177737" w:rsidR="00086C9A" w:rsidRDefault="00086C9A" w:rsidP="00086C9A">
      <w:pPr>
        <w:numPr>
          <w:ilvl w:val="0"/>
          <w:numId w:val="36"/>
        </w:numPr>
        <w:tabs>
          <w:tab w:val="clear" w:pos="1800"/>
          <w:tab w:val="clear" w:pos="2160"/>
          <w:tab w:val="clear" w:pos="2520"/>
          <w:tab w:val="clear" w:pos="2880"/>
          <w:tab w:val="clear" w:pos="3240"/>
          <w:tab w:val="clear" w:pos="3600"/>
          <w:tab w:val="clear" w:pos="3960"/>
          <w:tab w:val="clear" w:pos="4320"/>
        </w:tabs>
        <w:textAlignment w:val="auto"/>
      </w:pPr>
      <w:r>
        <w:t>Fractional motion refinement: after the best integer MV is identified, the MV precision is further improved progressively at fractional sample positions (including 1/2-, 1/4- and 1/8-pel precisions) based on the cross search; additionally, the fractional motion refinement is conditionally terminated when the SAD between the two L0/L1 prediction signals are smaller than one pre-defined threshold</w:t>
      </w:r>
      <w:r w:rsidR="00B87334">
        <w:t>, i.e.,</w:t>
      </w:r>
      <w:r w:rsidR="00433C08" w:rsidRPr="00433C08">
        <w:fldChar w:fldCharType="begin"/>
      </w:r>
      <w:r w:rsidR="00433C08" w:rsidRPr="00433C08">
        <w:instrText xml:space="preserve"> QUOTE </w:instrText>
      </w:r>
      <w:r w:rsidR="005575CE">
        <w:rPr>
          <w:position w:val="-5"/>
        </w:rPr>
        <w:pict w14:anchorId="3D93AA57">
          <v:shape id="_x0000_i1025" type="#_x0000_t75" style="width:2.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27E76&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86C9A&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AF3&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6085&quot;/&gt;&lt;wsp:rsid wsp:val=&quot;001A7329&quot;/&gt;&lt;wsp:rsid wsp:val=&quot;001A7714&quot;/&gt;&lt;wsp:rsid wsp:val=&quot;001A792F&quot;/&gt;&lt;wsp:rsid wsp:val=&quot;001B4E28&quot;/&gt;&lt;wsp:rsid wsp:val=&quot;001B7586&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38E8&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1A25&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4B68&quot;/&gt;&lt;wsp:rsid wsp:val=&quot;003D5DBF&quot;/&gt;&lt;wsp:rsid wsp:val=&quot;003D6342&quot;/&gt;&lt;wsp:rsid wsp:val=&quot;003D7410&quot;/&gt;&lt;wsp:rsid wsp:val=&quot;003E6EE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222B&quot;/&gt;&lt;wsp:rsid wsp:val=&quot;00433C08&quot;/&gt;&lt;wsp:rsid wsp:val=&quot;00433DDB&quot;/&gt;&lt;wsp:rsid wsp:val=&quot;00435A29&quot;/&gt;&lt;wsp:rsid wsp:val=&quot;00437619&quot;/&gt;&lt;wsp:rsid wsp:val=&quot;004516C6&quot;/&gt;&lt;wsp:rsid wsp:val=&quot;00461629&quot;/&gt;&lt;wsp:rsid wsp:val=&quot;00465A1E&quot;/&gt;&lt;wsp:rsid wsp:val=&quot;00486AC4&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3763&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4B74&quot;/&gt;&lt;wsp:rsid wsp:val=&quot;005952A5&quot;/&gt;&lt;wsp:rsid wsp:val=&quot;005A097C&quot;/&gt;&lt;wsp:rsid wsp:val=&quot;005A33A1&quot;/&gt;&lt;wsp:rsid wsp:val=&quot;005B0C9B&quot;/&gt;&lt;wsp:rsid wsp:val=&quot;005B217D&quot;/&gt;&lt;wsp:rsid wsp:val=&quot;005B4527&quot;/&gt;&lt;wsp:rsid wsp:val=&quot;005C1D23&quot;/&gt;&lt;wsp:rsid wsp:val=&quot;005C385F&quot;/&gt;&lt;wsp:rsid wsp:val=&quot;005D4109&quot;/&gt;&lt;wsp:rsid wsp:val=&quot;005D45C8&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3381&quot;/&gt;&lt;wsp:rsid wsp:val=&quot;00695817&quot;/&gt;&lt;wsp:rsid wsp:val=&quot;006A2CFC&quot;/&gt;&lt;wsp:rsid wsp:val=&quot;006A43B2&quot;/&gt;&lt;wsp:rsid wsp:val=&quot;006B6D19&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1632&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5E4B&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13A2C&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87334&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56DD6&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B7239&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15CC6&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726B1&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2B24&quot;/&gt;&lt;wsp:rsid wsp:val=&quot;00DF3636&quot;/&gt;&lt;wsp:rsid wsp:val=&quot;00E01C0D&quot;/&gt;&lt;wsp:rsid wsp:val=&quot;00E03111&quot;/&gt;&lt;wsp:rsid wsp:val=&quot;00E103A0&quot;/&gt;&lt;wsp:rsid wsp:val=&quot;00E10B88&quot;/&gt;&lt;wsp:rsid wsp:val=&quot;00E11923&quot;/&gt;&lt;wsp:rsid wsp:val=&quot;00E12D5E&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4692&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EF79D9&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13A2C&quot; wsp:rsidP=&quot;00913A2C&quot;&gt;&lt;m:oMathPara&gt;&lt;m:oMath&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433C08" w:rsidRPr="00433C08">
        <w:instrText xml:space="preserve"> </w:instrText>
      </w:r>
      <w:r w:rsidR="00433C08" w:rsidRPr="00433C08">
        <w:fldChar w:fldCharType="separate"/>
      </w:r>
      <w:r w:rsidR="005575CE">
        <w:rPr>
          <w:position w:val="-5"/>
        </w:rPr>
        <w:pict w14:anchorId="5A4B3405">
          <v:shape id="_x0000_i1026" type="#_x0000_t75" style="width:2.2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27E76&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86C9A&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AF3&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6085&quot;/&gt;&lt;wsp:rsid wsp:val=&quot;001A7329&quot;/&gt;&lt;wsp:rsid wsp:val=&quot;001A7714&quot;/&gt;&lt;wsp:rsid wsp:val=&quot;001A792F&quot;/&gt;&lt;wsp:rsid wsp:val=&quot;001B4E28&quot;/&gt;&lt;wsp:rsid wsp:val=&quot;001B7586&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38E8&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1A25&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4B68&quot;/&gt;&lt;wsp:rsid wsp:val=&quot;003D5DBF&quot;/&gt;&lt;wsp:rsid wsp:val=&quot;003D6342&quot;/&gt;&lt;wsp:rsid wsp:val=&quot;003D7410&quot;/&gt;&lt;wsp:rsid wsp:val=&quot;003E6EE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222B&quot;/&gt;&lt;wsp:rsid wsp:val=&quot;00433C08&quot;/&gt;&lt;wsp:rsid wsp:val=&quot;00433DDB&quot;/&gt;&lt;wsp:rsid wsp:val=&quot;00435A29&quot;/&gt;&lt;wsp:rsid wsp:val=&quot;00437619&quot;/&gt;&lt;wsp:rsid wsp:val=&quot;004516C6&quot;/&gt;&lt;wsp:rsid wsp:val=&quot;00461629&quot;/&gt;&lt;wsp:rsid wsp:val=&quot;00465A1E&quot;/&gt;&lt;wsp:rsid wsp:val=&quot;00486AC4&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3763&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4B74&quot;/&gt;&lt;wsp:rsid wsp:val=&quot;005952A5&quot;/&gt;&lt;wsp:rsid wsp:val=&quot;005A097C&quot;/&gt;&lt;wsp:rsid wsp:val=&quot;005A33A1&quot;/&gt;&lt;wsp:rsid wsp:val=&quot;005B0C9B&quot;/&gt;&lt;wsp:rsid wsp:val=&quot;005B217D&quot;/&gt;&lt;wsp:rsid wsp:val=&quot;005B4527&quot;/&gt;&lt;wsp:rsid wsp:val=&quot;005C1D23&quot;/&gt;&lt;wsp:rsid wsp:val=&quot;005C385F&quot;/&gt;&lt;wsp:rsid wsp:val=&quot;005D4109&quot;/&gt;&lt;wsp:rsid wsp:val=&quot;005D45C8&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3381&quot;/&gt;&lt;wsp:rsid wsp:val=&quot;00695817&quot;/&gt;&lt;wsp:rsid wsp:val=&quot;006A2CFC&quot;/&gt;&lt;wsp:rsid wsp:val=&quot;006A43B2&quot;/&gt;&lt;wsp:rsid wsp:val=&quot;006B6D19&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1632&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5E4B&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13A2C&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87334&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56DD6&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B7239&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15CC6&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726B1&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2B24&quot;/&gt;&lt;wsp:rsid wsp:val=&quot;00DF3636&quot;/&gt;&lt;wsp:rsid wsp:val=&quot;00E01C0D&quot;/&gt;&lt;wsp:rsid wsp:val=&quot;00E03111&quot;/&gt;&lt;wsp:rsid wsp:val=&quot;00E103A0&quot;/&gt;&lt;wsp:rsid wsp:val=&quot;00E10B88&quot;/&gt;&lt;wsp:rsid wsp:val=&quot;00E11923&quot;/&gt;&lt;wsp:rsid wsp:val=&quot;00E12D5E&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4692&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EF79D9&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13A2C&quot; wsp:rsidP=&quot;00913A2C&quot;&gt;&lt;m:oMathPara&gt;&lt;m:oMath&gt;&lt;m:r&gt;&lt;w:rPr&gt;&lt;w:rFonts w:ascii=&quot;Cambria Math&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433C08" w:rsidRPr="00433C08">
        <w:fldChar w:fldCharType="end"/>
      </w:r>
      <w:r w:rsidR="00B87334" w:rsidRPr="00B87334">
        <w:fldChar w:fldCharType="begin"/>
      </w:r>
      <w:r w:rsidR="00B87334" w:rsidRPr="00B87334">
        <w:instrText xml:space="preserve"> QUOTE </w:instrText>
      </w:r>
      <w:r w:rsidR="005575CE">
        <w:rPr>
          <w:position w:val="-5"/>
        </w:rPr>
        <w:pict w14:anchorId="2091C132">
          <v:shape id="_x0000_i1027" type="#_x0000_t75" style="width:57.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27E76&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86C9A&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AF3&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6085&quot;/&gt;&lt;wsp:rsid wsp:val=&quot;001A7329&quot;/&gt;&lt;wsp:rsid wsp:val=&quot;001A7714&quot;/&gt;&lt;wsp:rsid wsp:val=&quot;001A792F&quot;/&gt;&lt;wsp:rsid wsp:val=&quot;001B4E28&quot;/&gt;&lt;wsp:rsid wsp:val=&quot;001B7586&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38E8&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1A25&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4B68&quot;/&gt;&lt;wsp:rsid wsp:val=&quot;003D5DBF&quot;/&gt;&lt;wsp:rsid wsp:val=&quot;003D6342&quot;/&gt;&lt;wsp:rsid wsp:val=&quot;003D7410&quot;/&gt;&lt;wsp:rsid wsp:val=&quot;003E6EE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86AC4&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4B74&quot;/&gt;&lt;wsp:rsid wsp:val=&quot;005952A5&quot;/&gt;&lt;wsp:rsid wsp:val=&quot;005A097C&quot;/&gt;&lt;wsp:rsid wsp:val=&quot;005A33A1&quot;/&gt;&lt;wsp:rsid wsp:val=&quot;005B0C9B&quot;/&gt;&lt;wsp:rsid wsp:val=&quot;005B217D&quot;/&gt;&lt;wsp:rsid wsp:val=&quot;005B4527&quot;/&gt;&lt;wsp:rsid wsp:val=&quot;005C1D23&quot;/&gt;&lt;wsp:rsid wsp:val=&quot;005C385F&quot;/&gt;&lt;wsp:rsid wsp:val=&quot;005D45C8&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3381&quot;/&gt;&lt;wsp:rsid wsp:val=&quot;00695817&quot;/&gt;&lt;wsp:rsid wsp:val=&quot;006A2CFC&quot;/&gt;&lt;wsp:rsid wsp:val=&quot;006A43B2&quot;/&gt;&lt;wsp:rsid wsp:val=&quot;006A761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1632&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87334&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56DD6&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B7239&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15CC6&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726B1&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2B24&quot;/&gt;&lt;wsp:rsid wsp:val=&quot;00DF3636&quot;/&gt;&lt;wsp:rsid wsp:val=&quot;00E01C0D&quot;/&gt;&lt;wsp:rsid wsp:val=&quot;00E03111&quot;/&gt;&lt;wsp:rsid wsp:val=&quot;00E103A0&quot;/&gt;&lt;wsp:rsid wsp:val=&quot;00E10B88&quot;/&gt;&lt;wsp:rsid wsp:val=&quot;00E11923&quot;/&gt;&lt;wsp:rsid wsp:val=&quot;00E12D5E&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4692&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EF79D9&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6A7612&quot; wsp:rsidP=&quot;006A7612&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10&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B87334" w:rsidRPr="00B87334">
        <w:instrText xml:space="preserve"> </w:instrText>
      </w:r>
      <w:r w:rsidR="00B87334" w:rsidRPr="00B87334">
        <w:fldChar w:fldCharType="separate"/>
      </w:r>
      <w:r w:rsidR="005575CE">
        <w:rPr>
          <w:position w:val="-5"/>
        </w:rPr>
        <w:pict w14:anchorId="71CC96D4">
          <v:shape id="_x0000_i1028" type="#_x0000_t75" style="width:57.7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27E76&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86C9A&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AF3&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6085&quot;/&gt;&lt;wsp:rsid wsp:val=&quot;001A7329&quot;/&gt;&lt;wsp:rsid wsp:val=&quot;001A7714&quot;/&gt;&lt;wsp:rsid wsp:val=&quot;001A792F&quot;/&gt;&lt;wsp:rsid wsp:val=&quot;001B4E28&quot;/&gt;&lt;wsp:rsid wsp:val=&quot;001B7586&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38E8&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1A25&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4B68&quot;/&gt;&lt;wsp:rsid wsp:val=&quot;003D5DBF&quot;/&gt;&lt;wsp:rsid wsp:val=&quot;003D6342&quot;/&gt;&lt;wsp:rsid wsp:val=&quot;003D7410&quot;/&gt;&lt;wsp:rsid wsp:val=&quot;003E6EE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86AC4&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4B74&quot;/&gt;&lt;wsp:rsid wsp:val=&quot;005952A5&quot;/&gt;&lt;wsp:rsid wsp:val=&quot;005A097C&quot;/&gt;&lt;wsp:rsid wsp:val=&quot;005A33A1&quot;/&gt;&lt;wsp:rsid wsp:val=&quot;005B0C9B&quot;/&gt;&lt;wsp:rsid wsp:val=&quot;005B217D&quot;/&gt;&lt;wsp:rsid wsp:val=&quot;005B4527&quot;/&gt;&lt;wsp:rsid wsp:val=&quot;005C1D23&quot;/&gt;&lt;wsp:rsid wsp:val=&quot;005C385F&quot;/&gt;&lt;wsp:rsid wsp:val=&quot;005D45C8&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3381&quot;/&gt;&lt;wsp:rsid wsp:val=&quot;00695817&quot;/&gt;&lt;wsp:rsid wsp:val=&quot;006A2CFC&quot;/&gt;&lt;wsp:rsid wsp:val=&quot;006A43B2&quot;/&gt;&lt;wsp:rsid wsp:val=&quot;006A7612&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1632&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87334&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56DD6&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B7239&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15CC6&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726B1&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2B24&quot;/&gt;&lt;wsp:rsid wsp:val=&quot;00DF3636&quot;/&gt;&lt;wsp:rsid wsp:val=&quot;00E01C0D&quot;/&gt;&lt;wsp:rsid wsp:val=&quot;00E03111&quot;/&gt;&lt;wsp:rsid wsp:val=&quot;00E103A0&quot;/&gt;&lt;wsp:rsid wsp:val=&quot;00E10B88&quot;/&gt;&lt;wsp:rsid wsp:val=&quot;00E11923&quot;/&gt;&lt;wsp:rsid wsp:val=&quot;00E12D5E&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4692&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EF79D9&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6A7612&quot; wsp:rsidP=&quot;006A7612&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10&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B87334" w:rsidRPr="00B87334">
        <w:fldChar w:fldCharType="end"/>
      </w:r>
      <w:r>
        <w:t>.</w:t>
      </w:r>
    </w:p>
    <w:p w14:paraId="758D7FD8" w14:textId="7675C7AD" w:rsidR="00086C9A" w:rsidRDefault="00086C9A" w:rsidP="00086C9A">
      <w:pPr>
        <w:pStyle w:val="Heading2"/>
        <w:rPr>
          <w:lang w:val="en-CA"/>
        </w:rPr>
      </w:pPr>
      <w:r>
        <w:rPr>
          <w:lang w:val="en-CA"/>
        </w:rPr>
        <w:t>Early termination of sub-CU-level motion derivation</w:t>
      </w:r>
    </w:p>
    <w:p w14:paraId="1F7A404B" w14:textId="12B5F238" w:rsidR="00086C9A" w:rsidRPr="00086C9A" w:rsidRDefault="006B6D19" w:rsidP="00086C9A">
      <w:pPr>
        <w:rPr>
          <w:lang w:val="en-CA"/>
        </w:rPr>
      </w:pPr>
      <w:r>
        <w:rPr>
          <w:lang w:val="en-CA"/>
        </w:rPr>
        <w:t xml:space="preserve">One early termination method is applied to conditionally skip the sub-CU-level motion derivation process, i.e., sub-CU-level motion search and sub-CU-level motion refinement, when the SAD between two prediction signals at the CU-level is no larger than one predefined threshold, i.e., </w:t>
      </w:r>
      <w:r w:rsidRPr="006B6D19">
        <w:rPr>
          <w:lang w:val="en-CA"/>
        </w:rPr>
        <w:fldChar w:fldCharType="begin"/>
      </w:r>
      <w:r w:rsidRPr="006B6D19">
        <w:rPr>
          <w:lang w:val="en-CA"/>
        </w:rPr>
        <w:instrText xml:space="preserve"> QUOTE </w:instrText>
      </w:r>
      <w:r w:rsidR="005575CE">
        <w:rPr>
          <w:position w:val="-5"/>
        </w:rPr>
        <w:pict w14:anchorId="3E4F655C">
          <v:shape id="_x0000_i1029" type="#_x0000_t75" style="width:5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27E76&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86C9A&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AF3&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6085&quot;/&gt;&lt;wsp:rsid wsp:val=&quot;001A7329&quot;/&gt;&lt;wsp:rsid wsp:val=&quot;001A7714&quot;/&gt;&lt;wsp:rsid wsp:val=&quot;001A792F&quot;/&gt;&lt;wsp:rsid wsp:val=&quot;001B4E28&quot;/&gt;&lt;wsp:rsid wsp:val=&quot;001B7586&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38E8&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1A25&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4B68&quot;/&gt;&lt;wsp:rsid wsp:val=&quot;003D5DBF&quot;/&gt;&lt;wsp:rsid wsp:val=&quot;003D6342&quot;/&gt;&lt;wsp:rsid wsp:val=&quot;003D7410&quot;/&gt;&lt;wsp:rsid wsp:val=&quot;003E6EE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86AC4&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3763&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4B74&quot;/&gt;&lt;wsp:rsid wsp:val=&quot;005952A5&quot;/&gt;&lt;wsp:rsid wsp:val=&quot;005A097C&quot;/&gt;&lt;wsp:rsid wsp:val=&quot;005A33A1&quot;/&gt;&lt;wsp:rsid wsp:val=&quot;005B0C9B&quot;/&gt;&lt;wsp:rsid wsp:val=&quot;005B217D&quot;/&gt;&lt;wsp:rsid wsp:val=&quot;005B4527&quot;/&gt;&lt;wsp:rsid wsp:val=&quot;005C1D23&quot;/&gt;&lt;wsp:rsid wsp:val=&quot;005C385F&quot;/&gt;&lt;wsp:rsid wsp:val=&quot;005D45C8&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3381&quot;/&gt;&lt;wsp:rsid wsp:val=&quot;00695817&quot;/&gt;&lt;wsp:rsid wsp:val=&quot;006A2CFC&quot;/&gt;&lt;wsp:rsid wsp:val=&quot;006A43B2&quot;/&gt;&lt;wsp:rsid wsp:val=&quot;006B6D19&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1632&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3D7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87334&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56DD6&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B7239&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15CC6&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726B1&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2B24&quot;/&gt;&lt;wsp:rsid wsp:val=&quot;00DF3636&quot;/&gt;&lt;wsp:rsid wsp:val=&quot;00E01C0D&quot;/&gt;&lt;wsp:rsid wsp:val=&quot;00E03111&quot;/&gt;&lt;wsp:rsid wsp:val=&quot;00E103A0&quot;/&gt;&lt;wsp:rsid wsp:val=&quot;00E10B88&quot;/&gt;&lt;wsp:rsid wsp:val=&quot;00E11923&quot;/&gt;&lt;wsp:rsid wsp:val=&quot;00E12D5E&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4692&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EF79D9&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F3D7C&quot; wsp:rsidP=&quot;009F3D7C&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9&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B6D19">
        <w:rPr>
          <w:lang w:val="en-CA"/>
        </w:rPr>
        <w:instrText xml:space="preserve"> </w:instrText>
      </w:r>
      <w:r w:rsidRPr="006B6D19">
        <w:rPr>
          <w:lang w:val="en-CA"/>
        </w:rPr>
        <w:fldChar w:fldCharType="separate"/>
      </w:r>
      <w:r w:rsidR="005575CE">
        <w:rPr>
          <w:position w:val="-5"/>
        </w:rPr>
        <w:pict w14:anchorId="42069CB0">
          <v:shape id="_x0000_i1030" type="#_x0000_t75" style="width:52.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27E76&quot;/&gt;&lt;wsp:rsid wsp:val=&quot;000308A3&quot;/&gt;&lt;wsp:rsid wsp:val=&quot;000458BC&quot;/&gt;&lt;wsp:rsid wsp:val=&quot;00045C41&quot;/&gt;&lt;wsp:rsid wsp:val=&quot;00046C03&quot;/&gt;&lt;wsp:rsid wsp:val=&quot;00051F7D&quot;/&gt;&lt;wsp:rsid wsp:val=&quot;00065039&quot;/&gt;&lt;wsp:rsid wsp:val=&quot;00066A03&quot;/&gt;&lt;wsp:rsid wsp:val=&quot;0007614F&quot;/&gt;&lt;wsp:rsid wsp:val=&quot;00086ABF&quot;/&gt;&lt;wsp:rsid wsp:val=&quot;00086C9A&quot;/&gt;&lt;wsp:rsid wsp:val=&quot;000904B3&quot;/&gt;&lt;wsp:rsid wsp:val=&quot;000B0751&quot;/&gt;&lt;wsp:rsid wsp:val=&quot;000B0C0F&quot;/&gt;&lt;wsp:rsid wsp:val=&quot;000B1C6B&quot;/&gt;&lt;wsp:rsid wsp:val=&quot;000B24E1&quot;/&gt;&lt;wsp:rsid wsp:val=&quot;000B4FF9&quot;/&gt;&lt;wsp:rsid wsp:val=&quot;000C09AC&quot;/&gt;&lt;wsp:rsid wsp:val=&quot;000D0D5C&quot;/&gt;&lt;wsp:rsid wsp:val=&quot;000D2703&quot;/&gt;&lt;wsp:rsid wsp:val=&quot;000E00F3&quot;/&gt;&lt;wsp:rsid wsp:val=&quot;000E2556&quot;/&gt;&lt;wsp:rsid wsp:val=&quot;000E7C6D&quot;/&gt;&lt;wsp:rsid wsp:val=&quot;000F158C&quot;/&gt;&lt;wsp:rsid wsp:val=&quot;000F4A36&quot;/&gt;&lt;wsp:rsid wsp:val=&quot;00102F3D&quot;/&gt;&lt;wsp:rsid wsp:val=&quot;00104AF3&quot;/&gt;&lt;wsp:rsid wsp:val=&quot;00104D89&quot;/&gt;&lt;wsp:rsid wsp:val=&quot;00113CD4&quot;/&gt;&lt;wsp:rsid wsp:val=&quot;00117343&quot;/&gt;&lt;wsp:rsid wsp:val=&quot;00117D06&quot;/&gt;&lt;wsp:rsid wsp:val=&quot;00124E38&quot;/&gt;&lt;wsp:rsid wsp:val=&quot;0012580B&quot;/&gt;&lt;wsp:rsid wsp:val=&quot;00126FDC&quot;/&gt;&lt;wsp:rsid wsp:val=&quot;00131F90&quot;/&gt;&lt;wsp:rsid wsp:val=&quot;0013458C&quot;/&gt;&lt;wsp:rsid wsp:val=&quot;0013526E&quot;/&gt;&lt;wsp:rsid wsp:val=&quot;00135B41&quot;/&gt;&lt;wsp:rsid wsp:val=&quot;00146152&quot;/&gt;&lt;wsp:rsid wsp:val=&quot;00150C94&quot;/&gt;&lt;wsp:rsid wsp:val=&quot;00150E0C&quot;/&gt;&lt;wsp:rsid wsp:val=&quot;00155526&quot;/&gt;&lt;wsp:rsid wsp:val=&quot;00156221&quot;/&gt;&lt;wsp:rsid wsp:val=&quot;001669FC&quot;/&gt;&lt;wsp:rsid wsp:val=&quot;0016719C&quot;/&gt;&lt;wsp:rsid wsp:val=&quot;00171371&quot;/&gt;&lt;wsp:rsid wsp:val=&quot;00171AEA&quot;/&gt;&lt;wsp:rsid wsp:val=&quot;00171BDF&quot;/&gt;&lt;wsp:rsid wsp:val=&quot;00175A24&quot;/&gt;&lt;wsp:rsid wsp:val=&quot;00177E15&quot;/&gt;&lt;wsp:rsid wsp:val=&quot;00187E58&quot;/&gt;&lt;wsp:rsid wsp:val=&quot;001A297E&quot;/&gt;&lt;wsp:rsid wsp:val=&quot;001A368E&quot;/&gt;&lt;wsp:rsid wsp:val=&quot;001A6085&quot;/&gt;&lt;wsp:rsid wsp:val=&quot;001A7329&quot;/&gt;&lt;wsp:rsid wsp:val=&quot;001A7714&quot;/&gt;&lt;wsp:rsid wsp:val=&quot;001A792F&quot;/&gt;&lt;wsp:rsid wsp:val=&quot;001B4E28&quot;/&gt;&lt;wsp:rsid wsp:val=&quot;001B7586&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015A&quot;/&gt;&lt;wsp:rsid wsp:val=&quot;001F0EBE&quot;/&gt;&lt;wsp:rsid wsp:val=&quot;001F2594&quot;/&gt;&lt;wsp:rsid wsp:val=&quot;001F4BF6&quot;/&gt;&lt;wsp:rsid wsp:val=&quot;002038E8&quot;/&gt;&lt;wsp:rsid wsp:val=&quot;002055A6&quot;/&gt;&lt;wsp:rsid wsp:val=&quot;00206460&quot;/&gt;&lt;wsp:rsid wsp:val=&quot;002069B4&quot;/&gt;&lt;wsp:rsid wsp:val=&quot;00211AC0&quot;/&gt;&lt;wsp:rsid wsp:val=&quot;00215DFC&quot;/&gt;&lt;wsp:rsid wsp:val=&quot;002212DF&quot;/&gt;&lt;wsp:rsid wsp:val=&quot;00222CD4&quot;/&gt;&lt;wsp:rsid wsp:val=&quot;00225016&quot;/&gt;&lt;wsp:rsid wsp:val=&quot;00225A6A&quot;/&gt;&lt;wsp:rsid wsp:val=&quot;002264A6&quot;/&gt;&lt;wsp:rsid wsp:val=&quot;0022688B&quot;/&gt;&lt;wsp:rsid wsp:val=&quot;00227BA7&quot;/&gt;&lt;wsp:rsid wsp:val=&quot;0023011C&quot;/&gt;&lt;wsp:rsid wsp:val=&quot;00231918&quot;/&gt;&lt;wsp:rsid wsp:val=&quot;002375C1&quot;/&gt;&lt;wsp:rsid wsp:val=&quot;002445C8&quot;/&gt;&lt;wsp:rsid wsp:val=&quot;00257644&quot;/&gt;&lt;wsp:rsid wsp:val=&quot;00263398&quot;/&gt;&lt;wsp:rsid wsp:val=&quot;00266F06&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2C8F&quot;/&gt;&lt;wsp:rsid wsp:val=&quot;002C2B2C&quot;/&gt;&lt;wsp:rsid wsp:val=&quot;002C3788&quot;/&gt;&lt;wsp:rsid wsp:val=&quot;002C4151&quot;/&gt;&lt;wsp:rsid wsp:val=&quot;002C6ED6&quot;/&gt;&lt;wsp:rsid wsp:val=&quot;002D0AF6&quot;/&gt;&lt;wsp:rsid wsp:val=&quot;002D3B4D&quot;/&gt;&lt;wsp:rsid wsp:val=&quot;002E4429&quot;/&gt;&lt;wsp:rsid wsp:val=&quot;002F164D&quot;/&gt;&lt;wsp:rsid wsp:val=&quot;002F5F7D&quot;/&gt;&lt;wsp:rsid wsp:val=&quot;002F6FD3&quot;/&gt;&lt;wsp:rsid wsp:val=&quot;0030163D&quot;/&gt;&lt;wsp:rsid wsp:val=&quot;003021BC&quot;/&gt;&lt;wsp:rsid wsp:val=&quot;00306206&quot;/&gt;&lt;wsp:rsid wsp:val=&quot;00310F43&quot;/&gt;&lt;wsp:rsid wsp:val=&quot;00317D85&quot;/&gt;&lt;wsp:rsid wsp:val=&quot;00322508&quot;/&gt;&lt;wsp:rsid wsp:val=&quot;00327C56&quot;/&gt;&lt;wsp:rsid wsp:val=&quot;00330701&quot;/&gt;&lt;wsp:rsid wsp:val=&quot;003315A1&quot;/&gt;&lt;wsp:rsid wsp:val=&quot;00332E0B&quot;/&gt;&lt;wsp:rsid wsp:val=&quot;003332C8&quot;/&gt;&lt;wsp:rsid wsp:val=&quot;00335492&quot;/&gt;&lt;wsp:rsid wsp:val=&quot;003373EC&quot;/&gt;&lt;wsp:rsid wsp:val=&quot;00342FF4&quot;/&gt;&lt;wsp:rsid wsp:val=&quot;00345BAE&quot;/&gt;&lt;wsp:rsid wsp:val=&quot;00346148&quot;/&gt;&lt;wsp:rsid wsp:val=&quot;00347E2C&quot;/&gt;&lt;wsp:rsid wsp:val=&quot;003517E1&quot;/&gt;&lt;wsp:rsid wsp:val=&quot;00353BA5&quot;/&gt;&lt;wsp:rsid wsp:val=&quot;00354E1D&quot;/&gt;&lt;wsp:rsid wsp:val=&quot;00361A25&quot;/&gt;&lt;wsp:rsid wsp:val=&quot;003669EA&quot;/&gt;&lt;wsp:rsid wsp:val=&quot;003706CC&quot;/&gt;&lt;wsp:rsid wsp:val=&quot;00377710&quot;/&gt;&lt;wsp:rsid wsp:val=&quot;003831E1&quot;/&gt;&lt;wsp:rsid wsp:val=&quot;00393A8A&quot;/&gt;&lt;wsp:rsid wsp:val=&quot;003A2D8E&quot;/&gt;&lt;wsp:rsid wsp:val=&quot;003A7CE6&quot;/&gt;&lt;wsp:rsid wsp:val=&quot;003C20E4&quot;/&gt;&lt;wsp:rsid wsp:val=&quot;003C294A&quot;/&gt;&lt;wsp:rsid wsp:val=&quot;003C4E04&quot;/&gt;&lt;wsp:rsid wsp:val=&quot;003D4B68&quot;/&gt;&lt;wsp:rsid wsp:val=&quot;003D5DBF&quot;/&gt;&lt;wsp:rsid wsp:val=&quot;003D6342&quot;/&gt;&lt;wsp:rsid wsp:val=&quot;003D7410&quot;/&gt;&lt;wsp:rsid wsp:val=&quot;003E6EE0&quot;/&gt;&lt;wsp:rsid wsp:val=&quot;003E6F90&quot;/&gt;&lt;wsp:rsid wsp:val=&quot;003E73ED&quot;/&gt;&lt;wsp:rsid wsp:val=&quot;003F2A73&quot;/&gt;&lt;wsp:rsid wsp:val=&quot;003F5D0F&quot;/&gt;&lt;wsp:rsid wsp:val=&quot;00412CDC&quot;/&gt;&lt;wsp:rsid wsp:val=&quot;00414101&quot;/&gt;&lt;wsp:rsid wsp:val=&quot;00414B92&quot;/&gt;&lt;wsp:rsid wsp:val=&quot;004219CF&quot;/&gt;&lt;wsp:rsid wsp:val=&quot;004234F0&quot;/&gt;&lt;wsp:rsid wsp:val=&quot;00425CF0&quot;/&gt;&lt;wsp:rsid wsp:val=&quot;0043195F&quot;/&gt;&lt;wsp:rsid wsp:val=&quot;00433DDB&quot;/&gt;&lt;wsp:rsid wsp:val=&quot;00435A29&quot;/&gt;&lt;wsp:rsid wsp:val=&quot;00437619&quot;/&gt;&lt;wsp:rsid wsp:val=&quot;004516C6&quot;/&gt;&lt;wsp:rsid wsp:val=&quot;00461629&quot;/&gt;&lt;wsp:rsid wsp:val=&quot;00465A1E&quot;/&gt;&lt;wsp:rsid wsp:val=&quot;00486AC4&quot;/&gt;&lt;wsp:rsid wsp:val=&quot;00495F30&quot;/&gt;&lt;wsp:rsid wsp:val=&quot;004A0EAE&quot;/&gt;&lt;wsp:rsid wsp:val=&quot;004A2A63&quot;/&gt;&lt;wsp:rsid wsp:val=&quot;004A59E6&quot;/&gt;&lt;wsp:rsid wsp:val=&quot;004B0435&quot;/&gt;&lt;wsp:rsid wsp:val=&quot;004B210C&quot;/&gt;&lt;wsp:rsid wsp:val=&quot;004D405F&quot;/&gt;&lt;wsp:rsid wsp:val=&quot;004E4CAC&quot;/&gt;&lt;wsp:rsid wsp:val=&quot;004E4F4F&quot;/&gt;&lt;wsp:rsid wsp:val=&quot;004E6789&quot;/&gt;&lt;wsp:rsid wsp:val=&quot;004E7F8D&quot;/&gt;&lt;wsp:rsid wsp:val=&quot;004F3763&quot;/&gt;&lt;wsp:rsid wsp:val=&quot;004F61E3&quot;/&gt;&lt;wsp:rsid wsp:val=&quot;00502E10&quot;/&gt;&lt;wsp:rsid wsp:val=&quot;0051015C&quot;/&gt;&lt;wsp:rsid wsp:val=&quot;005130D0&quot;/&gt;&lt;wsp:rsid wsp:val=&quot;00516AAF&quot;/&gt;&lt;wsp:rsid wsp:val=&quot;00516CF1&quot;/&gt;&lt;wsp:rsid wsp:val=&quot;00522F18&quot;/&gt;&lt;wsp:rsid wsp:val=&quot;005249B0&quot;/&gt;&lt;wsp:rsid wsp:val=&quot;00525884&quot;/&gt;&lt;wsp:rsid wsp:val=&quot;00531AE9&quot;/&gt;&lt;wsp:rsid wsp:val=&quot;005379D0&quot;/&gt;&lt;wsp:rsid wsp:val=&quot;00550A66&quot;/&gt;&lt;wsp:rsid wsp:val=&quot;00567EC7&quot;/&gt;&lt;wsp:rsid wsp:val=&quot;00570013&quot;/&gt;&lt;wsp:rsid wsp:val=&quot;005755A9&quot;/&gt;&lt;wsp:rsid wsp:val=&quot;005801A2&quot;/&gt;&lt;wsp:rsid wsp:val=&quot;0058131C&quot;/&gt;&lt;wsp:rsid wsp:val=&quot;00594B74&quot;/&gt;&lt;wsp:rsid wsp:val=&quot;005952A5&quot;/&gt;&lt;wsp:rsid wsp:val=&quot;005A097C&quot;/&gt;&lt;wsp:rsid wsp:val=&quot;005A33A1&quot;/&gt;&lt;wsp:rsid wsp:val=&quot;005B0C9B&quot;/&gt;&lt;wsp:rsid wsp:val=&quot;005B217D&quot;/&gt;&lt;wsp:rsid wsp:val=&quot;005B4527&quot;/&gt;&lt;wsp:rsid wsp:val=&quot;005C1D23&quot;/&gt;&lt;wsp:rsid wsp:val=&quot;005C385F&quot;/&gt;&lt;wsp:rsid wsp:val=&quot;005D45C8&quot;/&gt;&lt;wsp:rsid wsp:val=&quot;005E1AC6&quot;/&gt;&lt;wsp:rsid wsp:val=&quot;005E1EB7&quot;/&gt;&lt;wsp:rsid wsp:val=&quot;005F4EC1&quot;/&gt;&lt;wsp:rsid wsp:val=&quot;005F6F1B&quot;/&gt;&lt;wsp:rsid wsp:val=&quot;00611DB8&quot;/&gt;&lt;wsp:rsid wsp:val=&quot;00615995&quot;/&gt;&lt;wsp:rsid wsp:val=&quot;00615DF9&quot;/&gt;&lt;wsp:rsid wsp:val=&quot;00616155&quot;/&gt;&lt;wsp:rsid wsp:val=&quot;00624B33&quot;/&gt;&lt;wsp:rsid wsp:val=&quot;00625105&quot;/&gt;&lt;wsp:rsid wsp:val=&quot;0063041A&quot;/&gt;&lt;wsp:rsid wsp:val=&quot;00630AA2&quot;/&gt;&lt;wsp:rsid wsp:val=&quot;00632678&quot;/&gt;&lt;wsp:rsid wsp:val=&quot;00640FA0&quot;/&gt;&lt;wsp:rsid wsp:val=&quot;00646707&quot;/&gt;&lt;wsp:rsid wsp:val=&quot;00657F7E&quot;/&gt;&lt;wsp:rsid wsp:val=&quot;00662E58&quot;/&gt;&lt;wsp:rsid wsp:val=&quot;00663170&quot;/&gt;&lt;wsp:rsid wsp:val=&quot;006637F2&quot;/&gt;&lt;wsp:rsid wsp:val=&quot;006642A5&quot;/&gt;&lt;wsp:rsid wsp:val=&quot;00664DCF&quot;/&gt;&lt;wsp:rsid wsp:val=&quot;00670C20&quot;/&gt;&lt;wsp:rsid wsp:val=&quot;00675DF8&quot;/&gt;&lt;wsp:rsid wsp:val=&quot;0067658F&quot;/&gt;&lt;wsp:rsid wsp:val=&quot;00677811&quot;/&gt;&lt;wsp:rsid wsp:val=&quot;0068741C&quot;/&gt;&lt;wsp:rsid wsp:val=&quot;00693381&quot;/&gt;&lt;wsp:rsid wsp:val=&quot;00695817&quot;/&gt;&lt;wsp:rsid wsp:val=&quot;006A2CFC&quot;/&gt;&lt;wsp:rsid wsp:val=&quot;006A43B2&quot;/&gt;&lt;wsp:rsid wsp:val=&quot;006B6D19&quot;/&gt;&lt;wsp:rsid wsp:val=&quot;006C0A14&quot;/&gt;&lt;wsp:rsid wsp:val=&quot;006C1403&quot;/&gt;&lt;wsp:rsid wsp:val=&quot;006C5D39&quot;/&gt;&lt;wsp:rsid wsp:val=&quot;006C7447&quot;/&gt;&lt;wsp:rsid wsp:val=&quot;006D6D9B&quot;/&gt;&lt;wsp:rsid wsp:val=&quot;006E2810&quot;/&gt;&lt;wsp:rsid wsp:val=&quot;006E5417&quot;/&gt;&lt;wsp:rsid wsp:val=&quot;006F0794&quot;/&gt;&lt;wsp:rsid wsp:val=&quot;00701632&quot;/&gt;&lt;wsp:rsid wsp:val=&quot;007023DE&quot;/&gt;&lt;wsp:rsid wsp:val=&quot;00707A10&quot;/&gt;&lt;wsp:rsid wsp:val=&quot;00712F60&quot;/&gt;&lt;wsp:rsid wsp:val=&quot;00713BDD&quot;/&gt;&lt;wsp:rsid wsp:val=&quot;00720E3B&quot;/&gt;&lt;wsp:rsid wsp:val=&quot;00734DF5&quot;/&gt;&lt;wsp:rsid wsp:val=&quot;00736B10&quot;/&gt;&lt;wsp:rsid wsp:val=&quot;0074393F&quot;/&gt;&lt;wsp:rsid wsp:val=&quot;00745F6B&quot;/&gt;&lt;wsp:rsid wsp:val=&quot;0075220E&quot;/&gt;&lt;wsp:rsid wsp:val=&quot;00753B94&quot;/&gt;&lt;wsp:rsid wsp:val=&quot;00754930&quot;/&gt;&lt;wsp:rsid wsp:val=&quot;0075585E&quot;/&gt;&lt;wsp:rsid wsp:val=&quot;00770571&quot;/&gt;&lt;wsp:rsid wsp:val=&quot;007768FF&quot;/&gt;&lt;wsp:rsid wsp:val=&quot;007824D3&quot;/&gt;&lt;wsp:rsid wsp:val=&quot;0078338F&quot;/&gt;&lt;wsp:rsid wsp:val=&quot;007833CA&quot;/&gt;&lt;wsp:rsid wsp:val=&quot;0078587F&quot;/&gt;&lt;wsp:rsid wsp:val=&quot;00786770&quot;/&gt;&lt;wsp:rsid wsp:val=&quot;00790239&quot;/&gt;&lt;wsp:rsid wsp:val=&quot;0079211A&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C74FC&quot;/&gt;&lt;wsp:rsid wsp:val=&quot;007D1181&quot;/&gt;&lt;wsp:rsid wsp:val=&quot;007D4BEE&quot;/&gt;&lt;wsp:rsid wsp:val=&quot;007D552E&quot;/&gt;&lt;wsp:rsid wsp:val=&quot;007E01A3&quot;/&gt;&lt;wsp:rsid wsp:val=&quot;007F1F8B&quot;/&gt;&lt;wsp:rsid wsp:val=&quot;007F67A1&quot;/&gt;&lt;wsp:rsid wsp:val=&quot;007F6D84&quot;/&gt;&lt;wsp:rsid wsp:val=&quot;00811C05&quot;/&gt;&lt;wsp:rsid wsp:val=&quot;0081437A&quot;/&gt;&lt;wsp:rsid wsp:val=&quot;00815948&quot;/&gt;&lt;wsp:rsid wsp:val=&quot;008206C8&quot;/&gt;&lt;wsp:rsid wsp:val=&quot;00850BA1&quot;/&gt;&lt;wsp:rsid wsp:val=&quot;008543FC&quot;/&gt;&lt;wsp:rsid wsp:val=&quot;00860A4A&quot;/&gt;&lt;wsp:rsid wsp:val=&quot;0086387C&quot;/&gt;&lt;wsp:rsid wsp:val=&quot;00867AB3&quot;/&gt;&lt;wsp:rsid wsp:val=&quot;00870E53&quot;/&gt;&lt;wsp:rsid wsp:val=&quot;00872D30&quot;/&gt;&lt;wsp:rsid wsp:val=&quot;008749CA&quot;/&gt;&lt;wsp:rsid wsp:val=&quot;00874A6C&quot;/&gt;&lt;wsp:rsid wsp:val=&quot;00875030&quot;/&gt;&lt;wsp:rsid wsp:val=&quot;00876C65&quot;/&gt;&lt;wsp:rsid wsp:val=&quot;008771F8&quot;/&gt;&lt;wsp:rsid wsp:val=&quot;00883CE5&quot;/&gt;&lt;wsp:rsid wsp:val=&quot;00884097&quot;/&gt;&lt;wsp:rsid wsp:val=&quot;008A4B4C&quot;/&gt;&lt;wsp:rsid wsp:val=&quot;008B3A04&quot;/&gt;&lt;wsp:rsid wsp:val=&quot;008B5727&quot;/&gt;&lt;wsp:rsid wsp:val=&quot;008C2011&quot;/&gt;&lt;wsp:rsid wsp:val=&quot;008C239F&quot;/&gt;&lt;wsp:rsid wsp:val=&quot;008D13F8&quot;/&gt;&lt;wsp:rsid wsp:val=&quot;008D22B9&quot;/&gt;&lt;wsp:rsid wsp:val=&quot;008E480C&quot;/&gt;&lt;wsp:rsid wsp:val=&quot;008F5CB3&quot;/&gt;&lt;wsp:rsid wsp:val=&quot;008F721E&quot;/&gt;&lt;wsp:rsid wsp:val=&quot;00907757&quot;/&gt;&lt;wsp:rsid wsp:val=&quot;009212B0&quot;/&gt;&lt;wsp:rsid wsp:val=&quot;00921FA1&quot;/&gt;&lt;wsp:rsid wsp:val=&quot;009234A5&quot;/&gt;&lt;wsp:rsid wsp:val=&quot;009302B8&quot;/&gt;&lt;wsp:rsid wsp:val=&quot;00933453&quot;/&gt;&lt;wsp:rsid wsp:val=&quot;009336F7&quot;/&gt;&lt;wsp:rsid wsp:val=&quot;0093636C&quot;/&gt;&lt;wsp:rsid wsp:val=&quot;009374A7&quot;/&gt;&lt;wsp:rsid wsp:val=&quot;009535D3&quot;/&gt;&lt;wsp:rsid wsp:val=&quot;00955F6D&quot;/&gt;&lt;wsp:rsid wsp:val=&quot;0096431D&quot;/&gt;&lt;wsp:rsid wsp:val=&quot;00977C16&quot;/&gt;&lt;wsp:rsid wsp:val=&quot;00977F11&quot;/&gt;&lt;wsp:rsid wsp:val=&quot;00984326&quot;/&gt;&lt;wsp:rsid wsp:val=&quot;0098551D&quot;/&gt;&lt;wsp:rsid wsp:val=&quot;009943ED&quot;/&gt;&lt;wsp:rsid wsp:val=&quot;0099518F&quot;/&gt;&lt;wsp:rsid wsp:val=&quot;009A12E9&quot;/&gt;&lt;wsp:rsid wsp:val=&quot;009A523D&quot;/&gt;&lt;wsp:rsid wsp:val=&quot;009A7682&quot;/&gt;&lt;wsp:rsid wsp:val=&quot;009B02A1&quot;/&gt;&lt;wsp:rsid wsp:val=&quot;009D0CC3&quot;/&gt;&lt;wsp:rsid wsp:val=&quot;009D7CE6&quot;/&gt;&lt;wsp:rsid wsp:val=&quot;009E046C&quot;/&gt;&lt;wsp:rsid wsp:val=&quot;009E288D&quot;/&gt;&lt;wsp:rsid wsp:val=&quot;009E6760&quot;/&gt;&lt;wsp:rsid wsp:val=&quot;009F002F&quot;/&gt;&lt;wsp:rsid wsp:val=&quot;009F3D7C&quot;/&gt;&lt;wsp:rsid wsp:val=&quot;009F496B&quot;/&gt;&lt;wsp:rsid wsp:val=&quot;00A00487&quot;/&gt;&lt;wsp:rsid wsp:val=&quot;00A01439&quot;/&gt;&lt;wsp:rsid wsp:val=&quot;00A02E61&quot;/&gt;&lt;wsp:rsid wsp:val=&quot;00A059BB&quot;/&gt;&lt;wsp:rsid wsp:val=&quot;00A05CFF&quot;/&gt;&lt;wsp:rsid wsp:val=&quot;00A078F2&quot;/&gt;&lt;wsp:rsid wsp:val=&quot;00A11A4E&quot;/&gt;&lt;wsp:rsid wsp:val=&quot;00A13048&quot;/&gt;&lt;wsp:rsid wsp:val=&quot;00A217CD&quot;/&gt;&lt;wsp:rsid wsp:val=&quot;00A22232&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526E&quot;/&gt;&lt;wsp:rsid wsp:val=&quot;00A869F7&quot;/&gt;&lt;wsp:rsid wsp:val=&quot;00A914EF&quot;/&gt;&lt;wsp:rsid wsp:val=&quot;00A941B6&quot;/&gt;&lt;wsp:rsid wsp:val=&quot;00A94931&quot;/&gt;&lt;wsp:rsid wsp:val=&quot;00AA179C&quot;/&gt;&lt;wsp:rsid wsp:val=&quot;00AA6BB2&quot;/&gt;&lt;wsp:rsid wsp:val=&quot;00AA6E84&quot;/&gt;&lt;wsp:rsid wsp:val=&quot;00AB04BB&quot;/&gt;&lt;wsp:rsid wsp:val=&quot;00AB09CE&quot;/&gt;&lt;wsp:rsid wsp:val=&quot;00AB1A1C&quot;/&gt;&lt;wsp:rsid wsp:val=&quot;00AD05A8&quot;/&gt;&lt;wsp:rsid wsp:val=&quot;00AD6765&quot;/&gt;&lt;wsp:rsid wsp:val=&quot;00AE341B&quot;/&gt;&lt;wsp:rsid wsp:val=&quot;00AF2225&quot;/&gt;&lt;wsp:rsid wsp:val=&quot;00B01905&quot;/&gt;&lt;wsp:rsid wsp:val=&quot;00B07CA7&quot;/&gt;&lt;wsp:rsid wsp:val=&quot;00B1279A&quot;/&gt;&lt;wsp:rsid wsp:val=&quot;00B20ECD&quot;/&gt;&lt;wsp:rsid wsp:val=&quot;00B21944&quot;/&gt;&lt;wsp:rsid wsp:val=&quot;00B235FE&quot;/&gt;&lt;wsp:rsid wsp:val=&quot;00B23CC4&quot;/&gt;&lt;wsp:rsid wsp:val=&quot;00B33EE9&quot;/&gt;&lt;wsp:rsid wsp:val=&quot;00B4194A&quot;/&gt;&lt;wsp:rsid wsp:val=&quot;00B437E8&quot;/&gt;&lt;wsp:rsid wsp:val=&quot;00B5058D&quot;/&gt;&lt;wsp:rsid wsp:val=&quot;00B5222E&quot;/&gt;&lt;wsp:rsid wsp:val=&quot;00B53179&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865D6&quot;/&gt;&lt;wsp:rsid wsp:val=&quot;00B87334&quot;/&gt;&lt;wsp:rsid wsp:val=&quot;00B91707&quot;/&gt;&lt;wsp:rsid wsp:val=&quot;00B94261&quot;/&gt;&lt;wsp:rsid wsp:val=&quot;00B94581&quot;/&gt;&lt;wsp:rsid wsp:val=&quot;00B94B06&quot;/&gt;&lt;wsp:rsid wsp:val=&quot;00B94C28&quot;/&gt;&lt;wsp:rsid wsp:val=&quot;00BC10BA&quot;/&gt;&lt;wsp:rsid wsp:val=&quot;00BC5AFD&quot;/&gt;&lt;wsp:rsid wsp:val=&quot;00BC776A&quot;/&gt;&lt;wsp:rsid wsp:val=&quot;00BF3BCE&quot;/&gt;&lt;wsp:rsid wsp:val=&quot;00C00DDE&quot;/&gt;&lt;wsp:rsid wsp:val=&quot;00C04F43&quot;/&gt;&lt;wsp:rsid wsp:val=&quot;00C05E08&quot;/&gt;&lt;wsp:rsid wsp:val=&quot;00C0609D&quot;/&gt;&lt;wsp:rsid wsp:val=&quot;00C115AB&quot;/&gt;&lt;wsp:rsid wsp:val=&quot;00C128BC&quot;/&gt;&lt;wsp:rsid wsp:val=&quot;00C24AD4&quot;/&gt;&lt;wsp:rsid wsp:val=&quot;00C26CCB&quot;/&gt;&lt;wsp:rsid wsp:val=&quot;00C30249&quot;/&gt;&lt;wsp:rsid wsp:val=&quot;00C32F6D&quot;/&gt;&lt;wsp:rsid wsp:val=&quot;00C3723B&quot;/&gt;&lt;wsp:rsid wsp:val=&quot;00C41B57&quot;/&gt;&lt;wsp:rsid wsp:val=&quot;00C41E02&quot;/&gt;&lt;wsp:rsid wsp:val=&quot;00C42466&quot;/&gt;&lt;wsp:rsid wsp:val=&quot;00C50C41&quot;/&gt;&lt;wsp:rsid wsp:val=&quot;00C5330E&quot;/&gt;&lt;wsp:rsid wsp:val=&quot;00C56DD6&quot;/&gt;&lt;wsp:rsid wsp:val=&quot;00C606C9&quot;/&gt;&lt;wsp:rsid wsp:val=&quot;00C622CA&quot;/&gt;&lt;wsp:rsid wsp:val=&quot;00C766C5&quot;/&gt;&lt;wsp:rsid wsp:val=&quot;00C80288&quot;/&gt;&lt;wsp:rsid wsp:val=&quot;00C804D3&quot;/&gt;&lt;wsp:rsid wsp:val=&quot;00C84003&quot;/&gt;&lt;wsp:rsid wsp:val=&quot;00C90650&quot;/&gt;&lt;wsp:rsid wsp:val=&quot;00C90EB1&quot;/&gt;&lt;wsp:rsid wsp:val=&quot;00C91AA8&quot;/&gt;&lt;wsp:rsid wsp:val=&quot;00C97D78&quot;/&gt;&lt;wsp:rsid wsp:val=&quot;00CB7239&quot;/&gt;&lt;wsp:rsid wsp:val=&quot;00CC0E7F&quot;/&gt;&lt;wsp:rsid wsp:val=&quot;00CC2AAE&quot;/&gt;&lt;wsp:rsid wsp:val=&quot;00CC5A42&quot;/&gt;&lt;wsp:rsid wsp:val=&quot;00CD0C41&quot;/&gt;&lt;wsp:rsid wsp:val=&quot;00CD0EAB&quot;/&gt;&lt;wsp:rsid wsp:val=&quot;00CD7A32&quot;/&gt;&lt;wsp:rsid wsp:val=&quot;00CE4851&quot;/&gt;&lt;wsp:rsid wsp:val=&quot;00CE5E02&quot;/&gt;&lt;wsp:rsid wsp:val=&quot;00CF34DB&quot;/&gt;&lt;wsp:rsid wsp:val=&quot;00CF558F&quot;/&gt;&lt;wsp:rsid wsp:val=&quot;00CF7F92&quot;/&gt;&lt;wsp:rsid wsp:val=&quot;00D010C0&quot;/&gt;&lt;wsp:rsid wsp:val=&quot;00D04566&quot;/&gt;&lt;wsp:rsid wsp:val=&quot;00D073E2&quot;/&gt;&lt;wsp:rsid wsp:val=&quot;00D12951&quot;/&gt;&lt;wsp:rsid wsp:val=&quot;00D15CC6&quot;/&gt;&lt;wsp:rsid wsp:val=&quot;00D20637&quot;/&gt;&lt;wsp:rsid wsp:val=&quot;00D23F37&quot;/&gt;&lt;wsp:rsid wsp:val=&quot;00D253C3&quot;/&gt;&lt;wsp:rsid wsp:val=&quot;00D446EC&quot;/&gt;&lt;wsp:rsid wsp:val=&quot;00D51BF0&quot;/&gt;&lt;wsp:rsid wsp:val=&quot;00D531DB&quot;/&gt;&lt;wsp:rsid wsp:val=&quot;00D54D01&quot;/&gt;&lt;wsp:rsid wsp:val=&quot;00D55942&quot;/&gt;&lt;wsp:rsid wsp:val=&quot;00D57574&quot;/&gt;&lt;wsp:rsid wsp:val=&quot;00D640AF&quot;/&gt;&lt;wsp:rsid wsp:val=&quot;00D6590B&quot;/&gt;&lt;wsp:rsid wsp:val=&quot;00D67863&quot;/&gt;&lt;wsp:rsid wsp:val=&quot;00D720E2&quot;/&gt;&lt;wsp:rsid wsp:val=&quot;00D726B1&quot;/&gt;&lt;wsp:rsid wsp:val=&quot;00D807BF&quot;/&gt;&lt;wsp:rsid wsp:val=&quot;00D82FCC&quot;/&gt;&lt;wsp:rsid wsp:val=&quot;00D927AA&quot;/&gt;&lt;wsp:rsid wsp:val=&quot;00D94B12&quot;/&gt;&lt;wsp:rsid wsp:val=&quot;00DA17FC&quot;/&gt;&lt;wsp:rsid wsp:val=&quot;00DA7887&quot;/&gt;&lt;wsp:rsid wsp:val=&quot;00DB2C26&quot;/&gt;&lt;wsp:rsid wsp:val=&quot;00DB4163&quot;/&gt;&lt;wsp:rsid wsp:val=&quot;00DB5AC8&quot;/&gt;&lt;wsp:rsid wsp:val=&quot;00DC548B&quot;/&gt;&lt;wsp:rsid wsp:val=&quot;00DD02F4&quot;/&gt;&lt;wsp:rsid wsp:val=&quot;00DD6622&quot;/&gt;&lt;wsp:rsid wsp:val=&quot;00DE1C7C&quot;/&gt;&lt;wsp:rsid wsp:val=&quot;00DE6B43&quot;/&gt;&lt;wsp:rsid wsp:val=&quot;00DE6D6D&quot;/&gt;&lt;wsp:rsid wsp:val=&quot;00DF24AE&quot;/&gt;&lt;wsp:rsid wsp:val=&quot;00DF2B24&quot;/&gt;&lt;wsp:rsid wsp:val=&quot;00DF3636&quot;/&gt;&lt;wsp:rsid wsp:val=&quot;00E01C0D&quot;/&gt;&lt;wsp:rsid wsp:val=&quot;00E03111&quot;/&gt;&lt;wsp:rsid wsp:val=&quot;00E103A0&quot;/&gt;&lt;wsp:rsid wsp:val=&quot;00E10B88&quot;/&gt;&lt;wsp:rsid wsp:val=&quot;00E11923&quot;/&gt;&lt;wsp:rsid wsp:val=&quot;00E12D5E&quot;/&gt;&lt;wsp:rsid wsp:val=&quot;00E14C00&quot;/&gt;&lt;wsp:rsid wsp:val=&quot;00E262D4&quot;/&gt;&lt;wsp:rsid wsp:val=&quot;00E36250&quot;/&gt;&lt;wsp:rsid wsp:val=&quot;00E441AE&quot;/&gt;&lt;wsp:rsid wsp:val=&quot;00E47F2D&quot;/&gt;&lt;wsp:rsid wsp:val=&quot;00E54511&quot;/&gt;&lt;wsp:rsid wsp:val=&quot;00E57B07&quot;/&gt;&lt;wsp:rsid wsp:val=&quot;00E61268&quot;/&gt;&lt;wsp:rsid wsp:val=&quot;00E61DAC&quot;/&gt;&lt;wsp:rsid wsp:val=&quot;00E6303E&quot;/&gt;&lt;wsp:rsid wsp:val=&quot;00E67651&quot;/&gt;&lt;wsp:rsid wsp:val=&quot;00E71997&quot;/&gt;&lt;wsp:rsid wsp:val=&quot;00E72B80&quot;/&gt;&lt;wsp:rsid wsp:val=&quot;00E74692&quot;/&gt;&lt;wsp:rsid wsp:val=&quot;00E75FE3&quot;/&gt;&lt;wsp:rsid wsp:val=&quot;00E86C4C&quot;/&gt;&lt;wsp:rsid wsp:val=&quot;00E907A3&quot;/&gt;&lt;wsp:rsid wsp:val=&quot;00EA5AE0&quot;/&gt;&lt;wsp:rsid wsp:val=&quot;00EB56E1&quot;/&gt;&lt;wsp:rsid wsp:val=&quot;00EB7AB1&quot;/&gt;&lt;wsp:rsid wsp:val=&quot;00EC02CA&quot;/&gt;&lt;wsp:rsid wsp:val=&quot;00EC14CA&quot;/&gt;&lt;wsp:rsid wsp:val=&quot;00EC43B1&quot;/&gt;&lt;wsp:rsid wsp:val=&quot;00ED0655&quot;/&gt;&lt;wsp:rsid wsp:val=&quot;00ED113F&quot;/&gt;&lt;wsp:rsid wsp:val=&quot;00ED3797&quot;/&gt;&lt;wsp:rsid wsp:val=&quot;00ED39BF&quot;/&gt;&lt;wsp:rsid wsp:val=&quot;00EE0A53&quot;/&gt;&lt;wsp:rsid wsp:val=&quot;00EE7CD8&quot;/&gt;&lt;wsp:rsid wsp:val=&quot;00EF0D34&quot;/&gt;&lt;wsp:rsid wsp:val=&quot;00EF33D4&quot;/&gt;&lt;wsp:rsid wsp:val=&quot;00EF48CC&quot;/&gt;&lt;wsp:rsid wsp:val=&quot;00EF60C5&quot;/&gt;&lt;wsp:rsid wsp:val=&quot;00EF79D9&quot;/&gt;&lt;wsp:rsid wsp:val=&quot;00F00801&quot;/&gt;&lt;wsp:rsid wsp:val=&quot;00F12BA0&quot;/&gt;&lt;wsp:rsid wsp:val=&quot;00F208AF&quot;/&gt;&lt;wsp:rsid wsp:val=&quot;00F2488D&quot;/&gt;&lt;wsp:rsid wsp:val=&quot;00F32157&quot;/&gt;&lt;wsp:rsid wsp:val=&quot;00F41564&quot;/&gt;&lt;wsp:rsid wsp:val=&quot;00F50C0F&quot;/&gt;&lt;wsp:rsid wsp:val=&quot;00F57050&quot;/&gt;&lt;wsp:rsid wsp:val=&quot;00F601A0&quot;/&gt;&lt;wsp:rsid wsp:val=&quot;00F712E9&quot;/&gt;&lt;wsp:rsid wsp:val=&quot;00F72EB3&quot;/&gt;&lt;wsp:rsid wsp:val=&quot;00F73032&quot;/&gt;&lt;wsp:rsid wsp:val=&quot;00F747F8&quot;/&gt;&lt;wsp:rsid wsp:val=&quot;00F848FC&quot;/&gt;&lt;wsp:rsid wsp:val=&quot;00F85BCE&quot;/&gt;&lt;wsp:rsid wsp:val=&quot;00F906F6&quot;/&gt;&lt;wsp:rsid wsp:val=&quot;00F9282A&quot;/&gt;&lt;wsp:rsid wsp:val=&quot;00F9439C&quot;/&gt;&lt;wsp:rsid wsp:val=&quot;00F96BAD&quot;/&gt;&lt;wsp:rsid wsp:val=&quot;00F96C4A&quot;/&gt;&lt;wsp:rsid wsp:val=&quot;00FA050C&quot;/&gt;&lt;wsp:rsid wsp:val=&quot;00FA139D&quot;/&gt;&lt;wsp:rsid wsp:val=&quot;00FA537C&quot;/&gt;&lt;wsp:rsid wsp:val=&quot;00FB018B&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F3D7C&quot; wsp:rsidP=&quot;009F3D7C&quot;&gt;&lt;m:oMathPara&gt;&lt;m:oMath&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lt;/m:t&gt;&lt;/m:r&gt;&lt;/m:e&gt;&lt;m:sup&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BDepth-&lt;/m:t&gt;&lt;/m:r&gt;&lt;m:r&gt;&lt;w:rPr&gt;&lt;w:rFonts w:ascii=&quot;Cambria Math&quot; w:h-ansi=&quot;Cambria Math&quot;/&gt;&lt;wx:font wx:val=&quot;Cambria Math&quot;/&gt;&lt;w:i/&gt;&lt;/w:rPr&gt;&lt;m:t&gt;9&lt;/m:t&gt;&lt;/m:r&gt;&lt;/m:e&gt;&lt;/m:d&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B6D19">
        <w:rPr>
          <w:lang w:val="en-CA"/>
        </w:rPr>
        <w:fldChar w:fldCharType="end"/>
      </w:r>
      <w:r>
        <w:rPr>
          <w:lang w:val="en-CA"/>
        </w:rPr>
        <w:t>.</w:t>
      </w:r>
    </w:p>
    <w:p w14:paraId="4AD56DD4" w14:textId="384EBBD9" w:rsidR="003C294A" w:rsidRPr="006F54C4" w:rsidRDefault="003C294A" w:rsidP="003C29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570A0BE8" w14:textId="27EDF048" w:rsidR="008D22B9" w:rsidRDefault="00150E0C" w:rsidP="000B0751">
      <w:pPr>
        <w:spacing w:before="60"/>
        <w:rPr>
          <w:szCs w:val="22"/>
          <w:lang w:val="en-CA"/>
        </w:rPr>
      </w:pPr>
      <w:r>
        <w:rPr>
          <w:szCs w:val="22"/>
          <w:lang w:val="en-CA"/>
        </w:rPr>
        <w:t xml:space="preserve">The proposed method was implemented based on the BMS-1.0 reference software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and tested using both VTM and BMS configurations. The test condition and evaluation criteria that are used in CE9 </w:t>
      </w:r>
      <w:r>
        <w:rPr>
          <w:szCs w:val="22"/>
          <w:lang w:val="en-CA"/>
        </w:rPr>
        <w:fldChar w:fldCharType="begin"/>
      </w:r>
      <w:r>
        <w:rPr>
          <w:szCs w:val="22"/>
          <w:lang w:val="en-CA"/>
        </w:rPr>
        <w:instrText xml:space="preserve"> REF _Ref518297034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are applied. Specifically, the proposed method is compared with two anchors: for the VTM test, the anchor is the BD-rate performance of VTM-1.0; for the BMS test, the anchor is the BD-rate performance of BMS-1.0.</w:t>
      </w:r>
    </w:p>
    <w:p w14:paraId="6E27CDB3" w14:textId="203AEDCE" w:rsidR="0043222B" w:rsidRDefault="0043222B" w:rsidP="000B0751">
      <w:pPr>
        <w:spacing w:before="60"/>
        <w:rPr>
          <w:szCs w:val="22"/>
          <w:lang w:val="en-CA"/>
        </w:rPr>
      </w:pPr>
    </w:p>
    <w:p w14:paraId="0FC1B43B" w14:textId="3E44360D" w:rsidR="0043222B" w:rsidRDefault="0043222B" w:rsidP="000B0751">
      <w:pPr>
        <w:spacing w:before="60"/>
        <w:rPr>
          <w:szCs w:val="22"/>
          <w:lang w:val="en-CA"/>
        </w:rPr>
      </w:pPr>
    </w:p>
    <w:p w14:paraId="59DA6431" w14:textId="2DDAAA32" w:rsidR="0043222B" w:rsidRDefault="0043222B" w:rsidP="000B0751">
      <w:pPr>
        <w:spacing w:before="60"/>
        <w:rPr>
          <w:szCs w:val="22"/>
          <w:lang w:val="en-CA"/>
        </w:rPr>
      </w:pPr>
    </w:p>
    <w:p w14:paraId="38C01A87" w14:textId="462C165D" w:rsidR="0043222B" w:rsidRDefault="0043222B" w:rsidP="000B0751">
      <w:pPr>
        <w:spacing w:before="60"/>
        <w:rPr>
          <w:szCs w:val="22"/>
          <w:lang w:val="en-CA"/>
        </w:rPr>
      </w:pPr>
    </w:p>
    <w:p w14:paraId="2462CCAF" w14:textId="77777777" w:rsidR="0043222B" w:rsidRDefault="0043222B" w:rsidP="000B0751">
      <w:pPr>
        <w:spacing w:before="60"/>
        <w:rPr>
          <w:szCs w:val="22"/>
          <w:lang w:val="en-CA"/>
        </w:rPr>
      </w:pPr>
    </w:p>
    <w:p w14:paraId="45FD1AA1" w14:textId="11096768" w:rsidR="00E441AE" w:rsidRDefault="00E441AE" w:rsidP="00E441AE">
      <w:pPr>
        <w:pStyle w:val="Caption"/>
        <w:spacing w:after="120"/>
        <w:jc w:val="center"/>
        <w:rPr>
          <w:b w:val="0"/>
          <w:sz w:val="22"/>
          <w:szCs w:val="22"/>
        </w:rPr>
      </w:pPr>
      <w:r w:rsidRPr="009E288D">
        <w:rPr>
          <w:b w:val="0"/>
          <w:sz w:val="22"/>
          <w:szCs w:val="22"/>
        </w:rPr>
        <w:lastRenderedPageBreak/>
        <w:t xml:space="preserve">Table </w:t>
      </w:r>
      <w:r w:rsidRPr="009E288D">
        <w:rPr>
          <w:b w:val="0"/>
          <w:sz w:val="22"/>
          <w:szCs w:val="22"/>
        </w:rPr>
        <w:fldChar w:fldCharType="begin"/>
      </w:r>
      <w:r w:rsidRPr="009E288D">
        <w:rPr>
          <w:b w:val="0"/>
          <w:sz w:val="22"/>
          <w:szCs w:val="22"/>
        </w:rPr>
        <w:instrText xml:space="preserve"> SEQ Table \* ARABIC </w:instrText>
      </w:r>
      <w:r w:rsidRPr="009E288D">
        <w:rPr>
          <w:b w:val="0"/>
          <w:sz w:val="22"/>
          <w:szCs w:val="22"/>
        </w:rPr>
        <w:fldChar w:fldCharType="separate"/>
      </w:r>
      <w:r w:rsidRPr="009E288D">
        <w:rPr>
          <w:b w:val="0"/>
          <w:noProof/>
          <w:sz w:val="22"/>
          <w:szCs w:val="22"/>
        </w:rPr>
        <w:t>1</w:t>
      </w:r>
      <w:r w:rsidRPr="009E288D">
        <w:rPr>
          <w:b w:val="0"/>
          <w:sz w:val="22"/>
          <w:szCs w:val="22"/>
        </w:rPr>
        <w:fldChar w:fldCharType="end"/>
      </w:r>
      <w:r>
        <w:rPr>
          <w:b w:val="0"/>
          <w:sz w:val="22"/>
          <w:szCs w:val="22"/>
        </w:rPr>
        <w:t xml:space="preserve"> The performance of the proposed </w:t>
      </w:r>
      <w:r w:rsidR="0043222B">
        <w:rPr>
          <w:b w:val="0"/>
          <w:sz w:val="22"/>
          <w:szCs w:val="22"/>
        </w:rPr>
        <w:t>bilateral matching</w:t>
      </w:r>
      <w:r>
        <w:rPr>
          <w:b w:val="0"/>
          <w:sz w:val="22"/>
          <w:szCs w:val="22"/>
        </w:rPr>
        <w:t xml:space="preserve"> method, compared to VTM-1.0 anchor</w:t>
      </w:r>
      <w:r w:rsidR="00E67651">
        <w:rPr>
          <w:b w:val="0"/>
          <w:sz w:val="22"/>
          <w:szCs w:val="22"/>
        </w:rPr>
        <w:t xml:space="preserve"> and BMS-1.0 anchor</w:t>
      </w:r>
    </w:p>
    <w:tbl>
      <w:tblPr>
        <w:tblW w:w="9467" w:type="dxa"/>
        <w:tblInd w:w="108" w:type="dxa"/>
        <w:tblLook w:val="04A0" w:firstRow="1" w:lastRow="0" w:firstColumn="1" w:lastColumn="0" w:noHBand="0" w:noVBand="1"/>
      </w:tblPr>
      <w:tblGrid>
        <w:gridCol w:w="1037"/>
        <w:gridCol w:w="887"/>
        <w:gridCol w:w="887"/>
        <w:gridCol w:w="887"/>
        <w:gridCol w:w="777"/>
        <w:gridCol w:w="777"/>
        <w:gridCol w:w="887"/>
        <w:gridCol w:w="887"/>
        <w:gridCol w:w="887"/>
        <w:gridCol w:w="777"/>
        <w:gridCol w:w="777"/>
      </w:tblGrid>
      <w:tr w:rsidR="005D4109" w:rsidRPr="005D4109" w14:paraId="0900FAB9" w14:textId="77777777" w:rsidTr="005D4109">
        <w:trPr>
          <w:trHeight w:val="255"/>
        </w:trPr>
        <w:tc>
          <w:tcPr>
            <w:tcW w:w="1037" w:type="dxa"/>
            <w:tcBorders>
              <w:top w:val="nil"/>
              <w:left w:val="nil"/>
              <w:bottom w:val="nil"/>
              <w:right w:val="nil"/>
            </w:tcBorders>
            <w:shd w:val="clear" w:color="auto" w:fill="auto"/>
            <w:noWrap/>
            <w:vAlign w:val="center"/>
            <w:hideMark/>
          </w:tcPr>
          <w:p w14:paraId="6D09433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43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76496F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Random Access Main 10</w:t>
            </w:r>
          </w:p>
        </w:tc>
      </w:tr>
      <w:tr w:rsidR="005D4109" w:rsidRPr="005D4109" w14:paraId="0831B2A5" w14:textId="77777777" w:rsidTr="005D4109">
        <w:trPr>
          <w:trHeight w:val="255"/>
        </w:trPr>
        <w:tc>
          <w:tcPr>
            <w:tcW w:w="1037" w:type="dxa"/>
            <w:tcBorders>
              <w:top w:val="nil"/>
              <w:left w:val="nil"/>
              <w:bottom w:val="nil"/>
              <w:right w:val="nil"/>
            </w:tcBorders>
            <w:shd w:val="clear" w:color="auto" w:fill="auto"/>
            <w:noWrap/>
            <w:vAlign w:val="center"/>
            <w:hideMark/>
          </w:tcPr>
          <w:p w14:paraId="059F2F0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DBCC4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Over VTM-1.0</w:t>
            </w:r>
          </w:p>
        </w:tc>
        <w:tc>
          <w:tcPr>
            <w:tcW w:w="4215" w:type="dxa"/>
            <w:gridSpan w:val="5"/>
            <w:tcBorders>
              <w:top w:val="single" w:sz="8" w:space="0" w:color="auto"/>
              <w:left w:val="nil"/>
              <w:bottom w:val="nil"/>
              <w:right w:val="single" w:sz="8" w:space="0" w:color="000000"/>
            </w:tcBorders>
            <w:shd w:val="clear" w:color="auto" w:fill="auto"/>
            <w:noWrap/>
            <w:vAlign w:val="center"/>
            <w:hideMark/>
          </w:tcPr>
          <w:p w14:paraId="7938842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Over BMS-1.0</w:t>
            </w:r>
          </w:p>
        </w:tc>
      </w:tr>
      <w:tr w:rsidR="005D4109" w:rsidRPr="005D4109" w14:paraId="4799BC60" w14:textId="77777777" w:rsidTr="005D4109">
        <w:trPr>
          <w:trHeight w:val="255"/>
        </w:trPr>
        <w:tc>
          <w:tcPr>
            <w:tcW w:w="1037" w:type="dxa"/>
            <w:tcBorders>
              <w:top w:val="nil"/>
              <w:left w:val="nil"/>
              <w:bottom w:val="nil"/>
              <w:right w:val="nil"/>
            </w:tcBorders>
            <w:shd w:val="clear" w:color="auto" w:fill="auto"/>
            <w:noWrap/>
            <w:vAlign w:val="center"/>
            <w:hideMark/>
          </w:tcPr>
          <w:p w14:paraId="759F108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7249C17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128EE11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0E5E35D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4F44C7C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1CB035F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2F13326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0E82567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393AF48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25C3EA3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67FBF2A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DecT</w:t>
            </w:r>
          </w:p>
        </w:tc>
      </w:tr>
      <w:tr w:rsidR="005D4109" w:rsidRPr="005D4109" w14:paraId="533E8057" w14:textId="77777777" w:rsidTr="005D4109">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6FDC8D6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7B2ABE0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-2.05%</w:t>
            </w:r>
          </w:p>
        </w:tc>
        <w:tc>
          <w:tcPr>
            <w:tcW w:w="887" w:type="dxa"/>
            <w:tcBorders>
              <w:top w:val="nil"/>
              <w:left w:val="nil"/>
              <w:bottom w:val="nil"/>
              <w:right w:val="nil"/>
            </w:tcBorders>
            <w:shd w:val="clear" w:color="auto" w:fill="auto"/>
            <w:noWrap/>
            <w:vAlign w:val="center"/>
            <w:hideMark/>
          </w:tcPr>
          <w:p w14:paraId="31C80EB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-1.88%</w:t>
            </w:r>
          </w:p>
        </w:tc>
        <w:tc>
          <w:tcPr>
            <w:tcW w:w="887" w:type="dxa"/>
            <w:tcBorders>
              <w:top w:val="nil"/>
              <w:left w:val="nil"/>
              <w:bottom w:val="nil"/>
              <w:right w:val="single" w:sz="4" w:space="0" w:color="auto"/>
            </w:tcBorders>
            <w:shd w:val="clear" w:color="auto" w:fill="auto"/>
            <w:noWrap/>
            <w:vAlign w:val="center"/>
            <w:hideMark/>
          </w:tcPr>
          <w:p w14:paraId="62EA7BE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-2.04%</w:t>
            </w:r>
          </w:p>
        </w:tc>
        <w:tc>
          <w:tcPr>
            <w:tcW w:w="777" w:type="dxa"/>
            <w:tcBorders>
              <w:top w:val="nil"/>
              <w:left w:val="nil"/>
              <w:bottom w:val="nil"/>
              <w:right w:val="nil"/>
            </w:tcBorders>
            <w:shd w:val="clear" w:color="auto" w:fill="auto"/>
            <w:noWrap/>
            <w:vAlign w:val="center"/>
            <w:hideMark/>
          </w:tcPr>
          <w:p w14:paraId="589FD71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118%</w:t>
            </w:r>
          </w:p>
        </w:tc>
        <w:tc>
          <w:tcPr>
            <w:tcW w:w="777" w:type="dxa"/>
            <w:tcBorders>
              <w:top w:val="nil"/>
              <w:left w:val="nil"/>
              <w:bottom w:val="nil"/>
              <w:right w:val="nil"/>
            </w:tcBorders>
            <w:shd w:val="clear" w:color="auto" w:fill="auto"/>
            <w:noWrap/>
            <w:vAlign w:val="center"/>
            <w:hideMark/>
          </w:tcPr>
          <w:p w14:paraId="070C1BA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138%</w:t>
            </w:r>
          </w:p>
        </w:tc>
        <w:tc>
          <w:tcPr>
            <w:tcW w:w="887" w:type="dxa"/>
            <w:tcBorders>
              <w:top w:val="nil"/>
              <w:left w:val="single" w:sz="8" w:space="0" w:color="auto"/>
              <w:bottom w:val="nil"/>
              <w:right w:val="nil"/>
            </w:tcBorders>
            <w:shd w:val="clear" w:color="auto" w:fill="auto"/>
            <w:noWrap/>
            <w:vAlign w:val="center"/>
            <w:hideMark/>
          </w:tcPr>
          <w:p w14:paraId="768C836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-0.82%</w:t>
            </w:r>
          </w:p>
        </w:tc>
        <w:tc>
          <w:tcPr>
            <w:tcW w:w="887" w:type="dxa"/>
            <w:tcBorders>
              <w:top w:val="nil"/>
              <w:left w:val="nil"/>
              <w:bottom w:val="nil"/>
              <w:right w:val="nil"/>
            </w:tcBorders>
            <w:shd w:val="clear" w:color="auto" w:fill="auto"/>
            <w:noWrap/>
            <w:vAlign w:val="center"/>
            <w:hideMark/>
          </w:tcPr>
          <w:p w14:paraId="079A85D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-0.98%</w:t>
            </w:r>
          </w:p>
        </w:tc>
        <w:tc>
          <w:tcPr>
            <w:tcW w:w="887" w:type="dxa"/>
            <w:tcBorders>
              <w:top w:val="nil"/>
              <w:left w:val="nil"/>
              <w:bottom w:val="nil"/>
              <w:right w:val="single" w:sz="4" w:space="0" w:color="auto"/>
            </w:tcBorders>
            <w:shd w:val="clear" w:color="auto" w:fill="auto"/>
            <w:noWrap/>
            <w:vAlign w:val="center"/>
            <w:hideMark/>
          </w:tcPr>
          <w:p w14:paraId="4E0DB7E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-0.94%</w:t>
            </w:r>
          </w:p>
        </w:tc>
        <w:tc>
          <w:tcPr>
            <w:tcW w:w="777" w:type="dxa"/>
            <w:tcBorders>
              <w:top w:val="nil"/>
              <w:left w:val="nil"/>
              <w:bottom w:val="nil"/>
              <w:right w:val="nil"/>
            </w:tcBorders>
            <w:shd w:val="clear" w:color="auto" w:fill="auto"/>
            <w:noWrap/>
            <w:vAlign w:val="center"/>
            <w:hideMark/>
          </w:tcPr>
          <w:p w14:paraId="7F555CE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106%</w:t>
            </w:r>
          </w:p>
        </w:tc>
        <w:tc>
          <w:tcPr>
            <w:tcW w:w="777" w:type="dxa"/>
            <w:tcBorders>
              <w:top w:val="nil"/>
              <w:left w:val="nil"/>
              <w:bottom w:val="nil"/>
              <w:right w:val="single" w:sz="8" w:space="0" w:color="auto"/>
            </w:tcBorders>
            <w:shd w:val="clear" w:color="auto" w:fill="auto"/>
            <w:noWrap/>
            <w:vAlign w:val="center"/>
            <w:hideMark/>
          </w:tcPr>
          <w:p w14:paraId="08DAF6E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105%</w:t>
            </w:r>
          </w:p>
        </w:tc>
      </w:tr>
      <w:tr w:rsidR="005D4109" w:rsidRPr="005D4109" w14:paraId="7B3E39D2"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FCE589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A2910D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-2.72%</w:t>
            </w:r>
          </w:p>
        </w:tc>
        <w:tc>
          <w:tcPr>
            <w:tcW w:w="887" w:type="dxa"/>
            <w:tcBorders>
              <w:top w:val="nil"/>
              <w:left w:val="nil"/>
              <w:bottom w:val="nil"/>
              <w:right w:val="nil"/>
            </w:tcBorders>
            <w:shd w:val="clear" w:color="auto" w:fill="auto"/>
            <w:noWrap/>
            <w:vAlign w:val="center"/>
            <w:hideMark/>
          </w:tcPr>
          <w:p w14:paraId="2477D13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-2.61%</w:t>
            </w:r>
          </w:p>
        </w:tc>
        <w:tc>
          <w:tcPr>
            <w:tcW w:w="887" w:type="dxa"/>
            <w:tcBorders>
              <w:top w:val="nil"/>
              <w:left w:val="nil"/>
              <w:bottom w:val="nil"/>
              <w:right w:val="single" w:sz="4" w:space="0" w:color="auto"/>
            </w:tcBorders>
            <w:shd w:val="clear" w:color="auto" w:fill="auto"/>
            <w:noWrap/>
            <w:vAlign w:val="center"/>
            <w:hideMark/>
          </w:tcPr>
          <w:p w14:paraId="23A2CF6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-2.48%</w:t>
            </w:r>
          </w:p>
        </w:tc>
        <w:tc>
          <w:tcPr>
            <w:tcW w:w="777" w:type="dxa"/>
            <w:tcBorders>
              <w:top w:val="nil"/>
              <w:left w:val="nil"/>
              <w:bottom w:val="nil"/>
              <w:right w:val="nil"/>
            </w:tcBorders>
            <w:shd w:val="clear" w:color="auto" w:fill="auto"/>
            <w:noWrap/>
            <w:vAlign w:val="center"/>
            <w:hideMark/>
          </w:tcPr>
          <w:p w14:paraId="37FC604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123%</w:t>
            </w:r>
          </w:p>
        </w:tc>
        <w:tc>
          <w:tcPr>
            <w:tcW w:w="777" w:type="dxa"/>
            <w:tcBorders>
              <w:top w:val="nil"/>
              <w:left w:val="nil"/>
              <w:bottom w:val="nil"/>
              <w:right w:val="nil"/>
            </w:tcBorders>
            <w:shd w:val="clear" w:color="auto" w:fill="auto"/>
            <w:noWrap/>
            <w:vAlign w:val="center"/>
            <w:hideMark/>
          </w:tcPr>
          <w:p w14:paraId="6805D81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154%</w:t>
            </w:r>
          </w:p>
        </w:tc>
        <w:tc>
          <w:tcPr>
            <w:tcW w:w="887" w:type="dxa"/>
            <w:tcBorders>
              <w:top w:val="nil"/>
              <w:left w:val="single" w:sz="8" w:space="0" w:color="auto"/>
              <w:bottom w:val="nil"/>
              <w:right w:val="nil"/>
            </w:tcBorders>
            <w:shd w:val="clear" w:color="auto" w:fill="auto"/>
            <w:noWrap/>
            <w:vAlign w:val="center"/>
            <w:hideMark/>
          </w:tcPr>
          <w:p w14:paraId="434087F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-0.88%</w:t>
            </w:r>
          </w:p>
        </w:tc>
        <w:tc>
          <w:tcPr>
            <w:tcW w:w="887" w:type="dxa"/>
            <w:tcBorders>
              <w:top w:val="nil"/>
              <w:left w:val="nil"/>
              <w:bottom w:val="nil"/>
              <w:right w:val="nil"/>
            </w:tcBorders>
            <w:shd w:val="clear" w:color="auto" w:fill="auto"/>
            <w:noWrap/>
            <w:vAlign w:val="center"/>
            <w:hideMark/>
          </w:tcPr>
          <w:p w14:paraId="1DAD91E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-0.98%</w:t>
            </w:r>
          </w:p>
        </w:tc>
        <w:tc>
          <w:tcPr>
            <w:tcW w:w="887" w:type="dxa"/>
            <w:tcBorders>
              <w:top w:val="nil"/>
              <w:left w:val="nil"/>
              <w:bottom w:val="nil"/>
              <w:right w:val="single" w:sz="4" w:space="0" w:color="auto"/>
            </w:tcBorders>
            <w:shd w:val="clear" w:color="auto" w:fill="auto"/>
            <w:noWrap/>
            <w:vAlign w:val="center"/>
            <w:hideMark/>
          </w:tcPr>
          <w:p w14:paraId="26C3567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-0.92%</w:t>
            </w:r>
          </w:p>
        </w:tc>
        <w:tc>
          <w:tcPr>
            <w:tcW w:w="777" w:type="dxa"/>
            <w:tcBorders>
              <w:top w:val="nil"/>
              <w:left w:val="nil"/>
              <w:bottom w:val="nil"/>
              <w:right w:val="nil"/>
            </w:tcBorders>
            <w:shd w:val="clear" w:color="auto" w:fill="auto"/>
            <w:noWrap/>
            <w:vAlign w:val="center"/>
            <w:hideMark/>
          </w:tcPr>
          <w:p w14:paraId="2ED7C26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108%</w:t>
            </w:r>
          </w:p>
        </w:tc>
        <w:tc>
          <w:tcPr>
            <w:tcW w:w="777" w:type="dxa"/>
            <w:tcBorders>
              <w:top w:val="nil"/>
              <w:left w:val="nil"/>
              <w:bottom w:val="nil"/>
              <w:right w:val="single" w:sz="8" w:space="0" w:color="auto"/>
            </w:tcBorders>
            <w:shd w:val="clear" w:color="auto" w:fill="auto"/>
            <w:noWrap/>
            <w:vAlign w:val="center"/>
            <w:hideMark/>
          </w:tcPr>
          <w:p w14:paraId="2649E0B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107%</w:t>
            </w:r>
          </w:p>
        </w:tc>
      </w:tr>
      <w:tr w:rsidR="005D4109" w:rsidRPr="005D4109" w14:paraId="69BEA3E7"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D3D24B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4DB6BBB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-2.27%</w:t>
            </w:r>
          </w:p>
        </w:tc>
        <w:tc>
          <w:tcPr>
            <w:tcW w:w="887" w:type="dxa"/>
            <w:tcBorders>
              <w:top w:val="nil"/>
              <w:left w:val="nil"/>
              <w:bottom w:val="nil"/>
              <w:right w:val="nil"/>
            </w:tcBorders>
            <w:shd w:val="clear" w:color="auto" w:fill="auto"/>
            <w:noWrap/>
            <w:vAlign w:val="center"/>
            <w:hideMark/>
          </w:tcPr>
          <w:p w14:paraId="764CA55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-1.94%</w:t>
            </w:r>
          </w:p>
        </w:tc>
        <w:tc>
          <w:tcPr>
            <w:tcW w:w="887" w:type="dxa"/>
            <w:tcBorders>
              <w:top w:val="nil"/>
              <w:left w:val="nil"/>
              <w:bottom w:val="nil"/>
              <w:right w:val="single" w:sz="4" w:space="0" w:color="auto"/>
            </w:tcBorders>
            <w:shd w:val="clear" w:color="auto" w:fill="auto"/>
            <w:noWrap/>
            <w:vAlign w:val="center"/>
            <w:hideMark/>
          </w:tcPr>
          <w:p w14:paraId="756FBB1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-1.89%</w:t>
            </w:r>
          </w:p>
        </w:tc>
        <w:tc>
          <w:tcPr>
            <w:tcW w:w="777" w:type="dxa"/>
            <w:tcBorders>
              <w:top w:val="nil"/>
              <w:left w:val="nil"/>
              <w:bottom w:val="nil"/>
              <w:right w:val="nil"/>
            </w:tcBorders>
            <w:shd w:val="clear" w:color="auto" w:fill="auto"/>
            <w:noWrap/>
            <w:vAlign w:val="center"/>
            <w:hideMark/>
          </w:tcPr>
          <w:p w14:paraId="5A6A56D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126%</w:t>
            </w:r>
          </w:p>
        </w:tc>
        <w:tc>
          <w:tcPr>
            <w:tcW w:w="777" w:type="dxa"/>
            <w:tcBorders>
              <w:top w:val="nil"/>
              <w:left w:val="nil"/>
              <w:bottom w:val="nil"/>
              <w:right w:val="nil"/>
            </w:tcBorders>
            <w:shd w:val="clear" w:color="auto" w:fill="auto"/>
            <w:noWrap/>
            <w:vAlign w:val="center"/>
            <w:hideMark/>
          </w:tcPr>
          <w:p w14:paraId="3C93954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159%</w:t>
            </w:r>
          </w:p>
        </w:tc>
        <w:tc>
          <w:tcPr>
            <w:tcW w:w="887" w:type="dxa"/>
            <w:tcBorders>
              <w:top w:val="nil"/>
              <w:left w:val="single" w:sz="8" w:space="0" w:color="auto"/>
              <w:bottom w:val="nil"/>
              <w:right w:val="nil"/>
            </w:tcBorders>
            <w:shd w:val="clear" w:color="auto" w:fill="auto"/>
            <w:noWrap/>
            <w:vAlign w:val="center"/>
            <w:hideMark/>
          </w:tcPr>
          <w:p w14:paraId="04D2D70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-0.91%</w:t>
            </w:r>
          </w:p>
        </w:tc>
        <w:tc>
          <w:tcPr>
            <w:tcW w:w="887" w:type="dxa"/>
            <w:tcBorders>
              <w:top w:val="nil"/>
              <w:left w:val="nil"/>
              <w:bottom w:val="nil"/>
              <w:right w:val="nil"/>
            </w:tcBorders>
            <w:shd w:val="clear" w:color="auto" w:fill="auto"/>
            <w:noWrap/>
            <w:vAlign w:val="center"/>
            <w:hideMark/>
          </w:tcPr>
          <w:p w14:paraId="2790FD2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-0.96%</w:t>
            </w:r>
          </w:p>
        </w:tc>
        <w:tc>
          <w:tcPr>
            <w:tcW w:w="887" w:type="dxa"/>
            <w:tcBorders>
              <w:top w:val="nil"/>
              <w:left w:val="nil"/>
              <w:bottom w:val="nil"/>
              <w:right w:val="single" w:sz="4" w:space="0" w:color="auto"/>
            </w:tcBorders>
            <w:shd w:val="clear" w:color="auto" w:fill="auto"/>
            <w:noWrap/>
            <w:vAlign w:val="center"/>
            <w:hideMark/>
          </w:tcPr>
          <w:p w14:paraId="004C2BB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-0.92%</w:t>
            </w:r>
          </w:p>
        </w:tc>
        <w:tc>
          <w:tcPr>
            <w:tcW w:w="777" w:type="dxa"/>
            <w:tcBorders>
              <w:top w:val="nil"/>
              <w:left w:val="nil"/>
              <w:bottom w:val="nil"/>
              <w:right w:val="nil"/>
            </w:tcBorders>
            <w:shd w:val="clear" w:color="auto" w:fill="auto"/>
            <w:noWrap/>
            <w:vAlign w:val="center"/>
            <w:hideMark/>
          </w:tcPr>
          <w:p w14:paraId="0536CD7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107%</w:t>
            </w:r>
          </w:p>
        </w:tc>
        <w:tc>
          <w:tcPr>
            <w:tcW w:w="777" w:type="dxa"/>
            <w:tcBorders>
              <w:top w:val="nil"/>
              <w:left w:val="nil"/>
              <w:bottom w:val="nil"/>
              <w:right w:val="single" w:sz="8" w:space="0" w:color="auto"/>
            </w:tcBorders>
            <w:shd w:val="clear" w:color="auto" w:fill="auto"/>
            <w:noWrap/>
            <w:vAlign w:val="center"/>
            <w:hideMark/>
          </w:tcPr>
          <w:p w14:paraId="22747BD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111%</w:t>
            </w:r>
          </w:p>
        </w:tc>
      </w:tr>
      <w:tr w:rsidR="005D4109" w:rsidRPr="005D4109" w14:paraId="0706C07D"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1A2B78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6A68DAF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-2.79%</w:t>
            </w:r>
          </w:p>
        </w:tc>
        <w:tc>
          <w:tcPr>
            <w:tcW w:w="887" w:type="dxa"/>
            <w:tcBorders>
              <w:top w:val="nil"/>
              <w:left w:val="nil"/>
              <w:bottom w:val="nil"/>
              <w:right w:val="nil"/>
            </w:tcBorders>
            <w:shd w:val="clear" w:color="auto" w:fill="auto"/>
            <w:noWrap/>
            <w:vAlign w:val="center"/>
            <w:hideMark/>
          </w:tcPr>
          <w:p w14:paraId="53A6074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-2.62%</w:t>
            </w:r>
          </w:p>
        </w:tc>
        <w:tc>
          <w:tcPr>
            <w:tcW w:w="887" w:type="dxa"/>
            <w:tcBorders>
              <w:top w:val="nil"/>
              <w:left w:val="nil"/>
              <w:bottom w:val="nil"/>
              <w:right w:val="single" w:sz="4" w:space="0" w:color="auto"/>
            </w:tcBorders>
            <w:shd w:val="clear" w:color="auto" w:fill="auto"/>
            <w:noWrap/>
            <w:vAlign w:val="center"/>
            <w:hideMark/>
          </w:tcPr>
          <w:p w14:paraId="23723A2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-2.59%</w:t>
            </w:r>
          </w:p>
        </w:tc>
        <w:tc>
          <w:tcPr>
            <w:tcW w:w="777" w:type="dxa"/>
            <w:tcBorders>
              <w:top w:val="nil"/>
              <w:left w:val="nil"/>
              <w:bottom w:val="nil"/>
              <w:right w:val="nil"/>
            </w:tcBorders>
            <w:shd w:val="clear" w:color="auto" w:fill="auto"/>
            <w:noWrap/>
            <w:vAlign w:val="center"/>
            <w:hideMark/>
          </w:tcPr>
          <w:p w14:paraId="702E0B0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130%</w:t>
            </w:r>
          </w:p>
        </w:tc>
        <w:tc>
          <w:tcPr>
            <w:tcW w:w="777" w:type="dxa"/>
            <w:tcBorders>
              <w:top w:val="nil"/>
              <w:left w:val="nil"/>
              <w:bottom w:val="nil"/>
              <w:right w:val="nil"/>
            </w:tcBorders>
            <w:shd w:val="clear" w:color="auto" w:fill="auto"/>
            <w:noWrap/>
            <w:vAlign w:val="center"/>
            <w:hideMark/>
          </w:tcPr>
          <w:p w14:paraId="316A57C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196%</w:t>
            </w:r>
          </w:p>
        </w:tc>
        <w:tc>
          <w:tcPr>
            <w:tcW w:w="887" w:type="dxa"/>
            <w:tcBorders>
              <w:top w:val="nil"/>
              <w:left w:val="single" w:sz="8" w:space="0" w:color="auto"/>
              <w:bottom w:val="nil"/>
              <w:right w:val="nil"/>
            </w:tcBorders>
            <w:shd w:val="clear" w:color="auto" w:fill="auto"/>
            <w:noWrap/>
            <w:vAlign w:val="center"/>
            <w:hideMark/>
          </w:tcPr>
          <w:p w14:paraId="57B70CF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-1.40%</w:t>
            </w:r>
          </w:p>
        </w:tc>
        <w:tc>
          <w:tcPr>
            <w:tcW w:w="887" w:type="dxa"/>
            <w:tcBorders>
              <w:top w:val="nil"/>
              <w:left w:val="nil"/>
              <w:bottom w:val="nil"/>
              <w:right w:val="nil"/>
            </w:tcBorders>
            <w:shd w:val="clear" w:color="auto" w:fill="auto"/>
            <w:noWrap/>
            <w:vAlign w:val="center"/>
            <w:hideMark/>
          </w:tcPr>
          <w:p w14:paraId="24785F9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-1.46%</w:t>
            </w:r>
          </w:p>
        </w:tc>
        <w:tc>
          <w:tcPr>
            <w:tcW w:w="887" w:type="dxa"/>
            <w:tcBorders>
              <w:top w:val="nil"/>
              <w:left w:val="nil"/>
              <w:bottom w:val="nil"/>
              <w:right w:val="single" w:sz="4" w:space="0" w:color="auto"/>
            </w:tcBorders>
            <w:shd w:val="clear" w:color="auto" w:fill="auto"/>
            <w:noWrap/>
            <w:vAlign w:val="center"/>
            <w:hideMark/>
          </w:tcPr>
          <w:p w14:paraId="38F87FE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-1.50%</w:t>
            </w:r>
          </w:p>
        </w:tc>
        <w:tc>
          <w:tcPr>
            <w:tcW w:w="777" w:type="dxa"/>
            <w:tcBorders>
              <w:top w:val="nil"/>
              <w:left w:val="nil"/>
              <w:bottom w:val="nil"/>
              <w:right w:val="nil"/>
            </w:tcBorders>
            <w:shd w:val="clear" w:color="auto" w:fill="auto"/>
            <w:noWrap/>
            <w:vAlign w:val="center"/>
            <w:hideMark/>
          </w:tcPr>
          <w:p w14:paraId="3050469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108%</w:t>
            </w:r>
          </w:p>
        </w:tc>
        <w:tc>
          <w:tcPr>
            <w:tcW w:w="777" w:type="dxa"/>
            <w:tcBorders>
              <w:top w:val="nil"/>
              <w:left w:val="nil"/>
              <w:bottom w:val="nil"/>
              <w:right w:val="single" w:sz="8" w:space="0" w:color="auto"/>
            </w:tcBorders>
            <w:shd w:val="clear" w:color="auto" w:fill="auto"/>
            <w:noWrap/>
            <w:vAlign w:val="center"/>
            <w:hideMark/>
          </w:tcPr>
          <w:p w14:paraId="12B00D9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124%</w:t>
            </w:r>
          </w:p>
        </w:tc>
      </w:tr>
      <w:tr w:rsidR="005D4109" w:rsidRPr="005D4109" w14:paraId="5F67D4E2"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2913325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607EC63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7A85FB1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00FDE75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7A19E2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7E3CD69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single" w:sz="8" w:space="0" w:color="auto"/>
              <w:bottom w:val="nil"/>
              <w:right w:val="nil"/>
            </w:tcBorders>
            <w:shd w:val="clear" w:color="auto" w:fill="auto"/>
            <w:noWrap/>
            <w:vAlign w:val="center"/>
            <w:hideMark/>
          </w:tcPr>
          <w:p w14:paraId="7F0172C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759E022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9C590B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B4DDB1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34DB62B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r>
      <w:tr w:rsidR="005D4109" w:rsidRPr="005D4109" w14:paraId="57593EBC" w14:textId="77777777" w:rsidTr="005D4109">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2D5ED55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2A2B526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-2.45%</w:t>
            </w:r>
          </w:p>
        </w:tc>
        <w:tc>
          <w:tcPr>
            <w:tcW w:w="887" w:type="dxa"/>
            <w:tcBorders>
              <w:top w:val="single" w:sz="8" w:space="0" w:color="auto"/>
              <w:left w:val="nil"/>
              <w:bottom w:val="nil"/>
              <w:right w:val="nil"/>
            </w:tcBorders>
            <w:shd w:val="clear" w:color="auto" w:fill="auto"/>
            <w:noWrap/>
            <w:vAlign w:val="center"/>
            <w:hideMark/>
          </w:tcPr>
          <w:p w14:paraId="5B04430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-2.25%</w:t>
            </w:r>
          </w:p>
        </w:tc>
        <w:tc>
          <w:tcPr>
            <w:tcW w:w="887" w:type="dxa"/>
            <w:tcBorders>
              <w:top w:val="single" w:sz="8" w:space="0" w:color="auto"/>
              <w:left w:val="nil"/>
              <w:bottom w:val="nil"/>
              <w:right w:val="single" w:sz="4" w:space="0" w:color="auto"/>
            </w:tcBorders>
            <w:shd w:val="clear" w:color="auto" w:fill="auto"/>
            <w:noWrap/>
            <w:vAlign w:val="center"/>
            <w:hideMark/>
          </w:tcPr>
          <w:p w14:paraId="4D8C640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-2.22%</w:t>
            </w:r>
          </w:p>
        </w:tc>
        <w:tc>
          <w:tcPr>
            <w:tcW w:w="777" w:type="dxa"/>
            <w:tcBorders>
              <w:top w:val="single" w:sz="8" w:space="0" w:color="auto"/>
              <w:left w:val="nil"/>
              <w:bottom w:val="nil"/>
              <w:right w:val="nil"/>
            </w:tcBorders>
            <w:shd w:val="clear" w:color="auto" w:fill="auto"/>
            <w:noWrap/>
            <w:vAlign w:val="center"/>
            <w:hideMark/>
          </w:tcPr>
          <w:p w14:paraId="1DE6E78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125%</w:t>
            </w:r>
          </w:p>
        </w:tc>
        <w:tc>
          <w:tcPr>
            <w:tcW w:w="777" w:type="dxa"/>
            <w:tcBorders>
              <w:top w:val="single" w:sz="8" w:space="0" w:color="auto"/>
              <w:left w:val="nil"/>
              <w:bottom w:val="nil"/>
              <w:right w:val="nil"/>
            </w:tcBorders>
            <w:shd w:val="clear" w:color="auto" w:fill="auto"/>
            <w:noWrap/>
            <w:vAlign w:val="center"/>
            <w:hideMark/>
          </w:tcPr>
          <w:p w14:paraId="3E4D886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162%</w:t>
            </w:r>
          </w:p>
        </w:tc>
        <w:tc>
          <w:tcPr>
            <w:tcW w:w="887" w:type="dxa"/>
            <w:tcBorders>
              <w:top w:val="single" w:sz="8" w:space="0" w:color="auto"/>
              <w:left w:val="single" w:sz="8" w:space="0" w:color="auto"/>
              <w:bottom w:val="nil"/>
              <w:right w:val="nil"/>
            </w:tcBorders>
            <w:shd w:val="clear" w:color="auto" w:fill="auto"/>
            <w:noWrap/>
            <w:vAlign w:val="center"/>
            <w:hideMark/>
          </w:tcPr>
          <w:p w14:paraId="3F76A72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-1.02%</w:t>
            </w:r>
          </w:p>
        </w:tc>
        <w:tc>
          <w:tcPr>
            <w:tcW w:w="887" w:type="dxa"/>
            <w:tcBorders>
              <w:top w:val="single" w:sz="8" w:space="0" w:color="auto"/>
              <w:left w:val="nil"/>
              <w:bottom w:val="nil"/>
              <w:right w:val="nil"/>
            </w:tcBorders>
            <w:shd w:val="clear" w:color="auto" w:fill="auto"/>
            <w:noWrap/>
            <w:vAlign w:val="center"/>
            <w:hideMark/>
          </w:tcPr>
          <w:p w14:paraId="45F6F41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-1.10%</w:t>
            </w:r>
          </w:p>
        </w:tc>
        <w:tc>
          <w:tcPr>
            <w:tcW w:w="887" w:type="dxa"/>
            <w:tcBorders>
              <w:top w:val="single" w:sz="8" w:space="0" w:color="auto"/>
              <w:left w:val="nil"/>
              <w:bottom w:val="nil"/>
              <w:right w:val="single" w:sz="4" w:space="0" w:color="auto"/>
            </w:tcBorders>
            <w:shd w:val="clear" w:color="auto" w:fill="auto"/>
            <w:noWrap/>
            <w:vAlign w:val="center"/>
            <w:hideMark/>
          </w:tcPr>
          <w:p w14:paraId="2DFF9C7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-1.08%</w:t>
            </w:r>
          </w:p>
        </w:tc>
        <w:tc>
          <w:tcPr>
            <w:tcW w:w="777" w:type="dxa"/>
            <w:tcBorders>
              <w:top w:val="single" w:sz="8" w:space="0" w:color="auto"/>
              <w:left w:val="nil"/>
              <w:bottom w:val="nil"/>
              <w:right w:val="nil"/>
            </w:tcBorders>
            <w:shd w:val="clear" w:color="auto" w:fill="auto"/>
            <w:noWrap/>
            <w:vAlign w:val="center"/>
            <w:hideMark/>
          </w:tcPr>
          <w:p w14:paraId="4221F68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107%</w:t>
            </w:r>
          </w:p>
        </w:tc>
        <w:tc>
          <w:tcPr>
            <w:tcW w:w="777" w:type="dxa"/>
            <w:tcBorders>
              <w:top w:val="single" w:sz="8" w:space="0" w:color="auto"/>
              <w:left w:val="nil"/>
              <w:bottom w:val="nil"/>
              <w:right w:val="single" w:sz="8" w:space="0" w:color="auto"/>
            </w:tcBorders>
            <w:shd w:val="clear" w:color="auto" w:fill="auto"/>
            <w:noWrap/>
            <w:vAlign w:val="center"/>
            <w:hideMark/>
          </w:tcPr>
          <w:p w14:paraId="2BFB00C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112%</w:t>
            </w:r>
          </w:p>
        </w:tc>
      </w:tr>
      <w:tr w:rsidR="005D4109" w:rsidRPr="005D4109" w14:paraId="41D9FCDA" w14:textId="77777777" w:rsidTr="005D4109">
        <w:trPr>
          <w:trHeight w:val="255"/>
        </w:trPr>
        <w:tc>
          <w:tcPr>
            <w:tcW w:w="10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C8A2D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000000" w:fill="CCFFCC"/>
            <w:noWrap/>
            <w:vAlign w:val="center"/>
            <w:hideMark/>
          </w:tcPr>
          <w:p w14:paraId="4D1BE53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D4109">
              <w:rPr>
                <w:rFonts w:ascii="Arial" w:hAnsi="Arial" w:cs="Arial"/>
                <w:sz w:val="18"/>
                <w:szCs w:val="18"/>
              </w:rPr>
              <w:t>-3.49%</w:t>
            </w:r>
          </w:p>
        </w:tc>
        <w:tc>
          <w:tcPr>
            <w:tcW w:w="887" w:type="dxa"/>
            <w:tcBorders>
              <w:top w:val="single" w:sz="8" w:space="0" w:color="auto"/>
              <w:left w:val="nil"/>
              <w:bottom w:val="single" w:sz="8" w:space="0" w:color="auto"/>
              <w:right w:val="nil"/>
            </w:tcBorders>
            <w:shd w:val="clear" w:color="auto" w:fill="auto"/>
            <w:noWrap/>
            <w:vAlign w:val="center"/>
            <w:hideMark/>
          </w:tcPr>
          <w:p w14:paraId="4234C03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-2.81%</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7CBF3DB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-2.98%</w:t>
            </w:r>
          </w:p>
        </w:tc>
        <w:tc>
          <w:tcPr>
            <w:tcW w:w="777" w:type="dxa"/>
            <w:tcBorders>
              <w:top w:val="single" w:sz="8" w:space="0" w:color="auto"/>
              <w:left w:val="nil"/>
              <w:bottom w:val="single" w:sz="8" w:space="0" w:color="auto"/>
              <w:right w:val="nil"/>
            </w:tcBorders>
            <w:shd w:val="clear" w:color="auto" w:fill="auto"/>
            <w:noWrap/>
            <w:vAlign w:val="center"/>
            <w:hideMark/>
          </w:tcPr>
          <w:p w14:paraId="4FAFB51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136%</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22C2963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227%</w:t>
            </w:r>
          </w:p>
        </w:tc>
        <w:tc>
          <w:tcPr>
            <w:tcW w:w="887" w:type="dxa"/>
            <w:tcBorders>
              <w:top w:val="single" w:sz="8" w:space="0" w:color="auto"/>
              <w:left w:val="nil"/>
              <w:bottom w:val="single" w:sz="8" w:space="0" w:color="auto"/>
              <w:right w:val="nil"/>
            </w:tcBorders>
            <w:shd w:val="clear" w:color="auto" w:fill="auto"/>
            <w:noWrap/>
            <w:vAlign w:val="center"/>
            <w:hideMark/>
          </w:tcPr>
          <w:p w14:paraId="1E09563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-1.95%</w:t>
            </w:r>
          </w:p>
        </w:tc>
        <w:tc>
          <w:tcPr>
            <w:tcW w:w="887" w:type="dxa"/>
            <w:tcBorders>
              <w:top w:val="single" w:sz="8" w:space="0" w:color="auto"/>
              <w:left w:val="nil"/>
              <w:bottom w:val="single" w:sz="8" w:space="0" w:color="auto"/>
              <w:right w:val="nil"/>
            </w:tcBorders>
            <w:shd w:val="clear" w:color="auto" w:fill="auto"/>
            <w:noWrap/>
            <w:vAlign w:val="center"/>
            <w:hideMark/>
          </w:tcPr>
          <w:p w14:paraId="673CF8C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-1.87%</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29200B9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-1.84%</w:t>
            </w:r>
          </w:p>
        </w:tc>
        <w:tc>
          <w:tcPr>
            <w:tcW w:w="777" w:type="dxa"/>
            <w:tcBorders>
              <w:top w:val="single" w:sz="8" w:space="0" w:color="auto"/>
              <w:left w:val="nil"/>
              <w:bottom w:val="single" w:sz="8" w:space="0" w:color="auto"/>
              <w:right w:val="nil"/>
            </w:tcBorders>
            <w:shd w:val="clear" w:color="auto" w:fill="auto"/>
            <w:noWrap/>
            <w:vAlign w:val="center"/>
            <w:hideMark/>
          </w:tcPr>
          <w:p w14:paraId="4D693C8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109%</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5944DCD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136%</w:t>
            </w:r>
          </w:p>
        </w:tc>
      </w:tr>
    </w:tbl>
    <w:p w14:paraId="30D0C5F1" w14:textId="389C980E" w:rsidR="005D4109" w:rsidRDefault="005D4109" w:rsidP="005D4109"/>
    <w:tbl>
      <w:tblPr>
        <w:tblW w:w="9624" w:type="dxa"/>
        <w:tblInd w:w="108" w:type="dxa"/>
        <w:tblLook w:val="04A0" w:firstRow="1" w:lastRow="0" w:firstColumn="1" w:lastColumn="0" w:noHBand="0" w:noVBand="1"/>
      </w:tblPr>
      <w:tblGrid>
        <w:gridCol w:w="1037"/>
        <w:gridCol w:w="887"/>
        <w:gridCol w:w="887"/>
        <w:gridCol w:w="887"/>
        <w:gridCol w:w="777"/>
        <w:gridCol w:w="777"/>
        <w:gridCol w:w="887"/>
        <w:gridCol w:w="887"/>
        <w:gridCol w:w="887"/>
        <w:gridCol w:w="934"/>
        <w:gridCol w:w="777"/>
      </w:tblGrid>
      <w:tr w:rsidR="005D4109" w:rsidRPr="005D4109" w14:paraId="613B1E88" w14:textId="77777777" w:rsidTr="005D4109">
        <w:trPr>
          <w:trHeight w:val="255"/>
        </w:trPr>
        <w:tc>
          <w:tcPr>
            <w:tcW w:w="1037" w:type="dxa"/>
            <w:tcBorders>
              <w:top w:val="nil"/>
              <w:left w:val="nil"/>
              <w:bottom w:val="nil"/>
              <w:right w:val="nil"/>
            </w:tcBorders>
            <w:shd w:val="clear" w:color="auto" w:fill="auto"/>
            <w:noWrap/>
            <w:vAlign w:val="center"/>
            <w:hideMark/>
          </w:tcPr>
          <w:p w14:paraId="32D0C20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58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DB12DE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 xml:space="preserve">Low delay B Main10 </w:t>
            </w:r>
          </w:p>
        </w:tc>
      </w:tr>
      <w:tr w:rsidR="005D4109" w:rsidRPr="005D4109" w14:paraId="34C00C19" w14:textId="77777777" w:rsidTr="005D4109">
        <w:trPr>
          <w:trHeight w:val="255"/>
        </w:trPr>
        <w:tc>
          <w:tcPr>
            <w:tcW w:w="1037" w:type="dxa"/>
            <w:tcBorders>
              <w:top w:val="nil"/>
              <w:left w:val="nil"/>
              <w:bottom w:val="nil"/>
              <w:right w:val="nil"/>
            </w:tcBorders>
            <w:shd w:val="clear" w:color="auto" w:fill="auto"/>
            <w:noWrap/>
            <w:vAlign w:val="center"/>
            <w:hideMark/>
          </w:tcPr>
          <w:p w14:paraId="340F2DE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1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6109B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Over VTM-1.0</w:t>
            </w:r>
          </w:p>
        </w:tc>
        <w:tc>
          <w:tcPr>
            <w:tcW w:w="4372" w:type="dxa"/>
            <w:gridSpan w:val="5"/>
            <w:tcBorders>
              <w:top w:val="single" w:sz="8" w:space="0" w:color="auto"/>
              <w:left w:val="nil"/>
              <w:bottom w:val="nil"/>
              <w:right w:val="single" w:sz="8" w:space="0" w:color="000000"/>
            </w:tcBorders>
            <w:shd w:val="clear" w:color="auto" w:fill="auto"/>
            <w:noWrap/>
            <w:vAlign w:val="center"/>
            <w:hideMark/>
          </w:tcPr>
          <w:p w14:paraId="36BE11D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Over BMS-1.0</w:t>
            </w:r>
          </w:p>
        </w:tc>
      </w:tr>
      <w:tr w:rsidR="005D4109" w:rsidRPr="005D4109" w14:paraId="7FEC9DCF" w14:textId="77777777" w:rsidTr="005D4109">
        <w:trPr>
          <w:trHeight w:val="255"/>
        </w:trPr>
        <w:tc>
          <w:tcPr>
            <w:tcW w:w="1037" w:type="dxa"/>
            <w:tcBorders>
              <w:top w:val="nil"/>
              <w:left w:val="nil"/>
              <w:bottom w:val="nil"/>
              <w:right w:val="nil"/>
            </w:tcBorders>
            <w:shd w:val="clear" w:color="auto" w:fill="auto"/>
            <w:noWrap/>
            <w:vAlign w:val="center"/>
            <w:hideMark/>
          </w:tcPr>
          <w:p w14:paraId="469CF97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7" w:type="dxa"/>
            <w:tcBorders>
              <w:top w:val="nil"/>
              <w:left w:val="single" w:sz="8" w:space="0" w:color="auto"/>
              <w:bottom w:val="single" w:sz="8" w:space="0" w:color="auto"/>
              <w:right w:val="nil"/>
            </w:tcBorders>
            <w:shd w:val="clear" w:color="auto" w:fill="auto"/>
            <w:noWrap/>
            <w:vAlign w:val="center"/>
            <w:hideMark/>
          </w:tcPr>
          <w:p w14:paraId="0F1C2B8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46BE518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0E49809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34D688E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254DF4C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DecT</w:t>
            </w:r>
          </w:p>
        </w:tc>
        <w:tc>
          <w:tcPr>
            <w:tcW w:w="887" w:type="dxa"/>
            <w:tcBorders>
              <w:top w:val="nil"/>
              <w:left w:val="nil"/>
              <w:bottom w:val="single" w:sz="8" w:space="0" w:color="auto"/>
              <w:right w:val="nil"/>
            </w:tcBorders>
            <w:shd w:val="clear" w:color="auto" w:fill="auto"/>
            <w:noWrap/>
            <w:vAlign w:val="center"/>
            <w:hideMark/>
          </w:tcPr>
          <w:p w14:paraId="3AB47CB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14:paraId="39214D1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U</w:t>
            </w:r>
          </w:p>
        </w:tc>
        <w:tc>
          <w:tcPr>
            <w:tcW w:w="887" w:type="dxa"/>
            <w:tcBorders>
              <w:top w:val="nil"/>
              <w:left w:val="nil"/>
              <w:bottom w:val="single" w:sz="8" w:space="0" w:color="auto"/>
              <w:right w:val="single" w:sz="4" w:space="0" w:color="auto"/>
            </w:tcBorders>
            <w:shd w:val="clear" w:color="auto" w:fill="auto"/>
            <w:noWrap/>
            <w:vAlign w:val="center"/>
            <w:hideMark/>
          </w:tcPr>
          <w:p w14:paraId="4D96AE8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8B1C4E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EncT</w:t>
            </w:r>
          </w:p>
        </w:tc>
        <w:tc>
          <w:tcPr>
            <w:tcW w:w="777" w:type="dxa"/>
            <w:tcBorders>
              <w:top w:val="nil"/>
              <w:left w:val="nil"/>
              <w:bottom w:val="single" w:sz="8" w:space="0" w:color="auto"/>
              <w:right w:val="single" w:sz="8" w:space="0" w:color="auto"/>
            </w:tcBorders>
            <w:shd w:val="clear" w:color="auto" w:fill="auto"/>
            <w:noWrap/>
            <w:vAlign w:val="center"/>
            <w:hideMark/>
          </w:tcPr>
          <w:p w14:paraId="46DBF90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DecT</w:t>
            </w:r>
          </w:p>
        </w:tc>
      </w:tr>
      <w:tr w:rsidR="005D4109" w:rsidRPr="005D4109" w14:paraId="2E0DAC80" w14:textId="77777777" w:rsidTr="005D4109">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336F177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14:paraId="47E4277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16C9F38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5C8FE42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17304D7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33178E0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single" w:sz="8" w:space="0" w:color="auto"/>
              <w:bottom w:val="nil"/>
              <w:right w:val="nil"/>
            </w:tcBorders>
            <w:shd w:val="clear" w:color="auto" w:fill="auto"/>
            <w:noWrap/>
            <w:vAlign w:val="center"/>
            <w:hideMark/>
          </w:tcPr>
          <w:p w14:paraId="29B0F2F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0466E08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single" w:sz="4" w:space="0" w:color="auto"/>
            </w:tcBorders>
            <w:shd w:val="clear" w:color="auto" w:fill="auto"/>
            <w:noWrap/>
            <w:vAlign w:val="center"/>
            <w:hideMark/>
          </w:tcPr>
          <w:p w14:paraId="79C158B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9762A7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154909E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r>
      <w:tr w:rsidR="005D4109" w:rsidRPr="005D4109" w14:paraId="34299AA8"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5D9F6C3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14:paraId="480738E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581F7F6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B66E80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45DF75E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hideMark/>
          </w:tcPr>
          <w:p w14:paraId="28BB35A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single" w:sz="8" w:space="0" w:color="auto"/>
              <w:bottom w:val="nil"/>
              <w:right w:val="nil"/>
            </w:tcBorders>
            <w:shd w:val="clear" w:color="auto" w:fill="auto"/>
            <w:noWrap/>
            <w:vAlign w:val="center"/>
            <w:hideMark/>
          </w:tcPr>
          <w:p w14:paraId="3106F30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887" w:type="dxa"/>
            <w:tcBorders>
              <w:top w:val="nil"/>
              <w:left w:val="nil"/>
              <w:bottom w:val="nil"/>
              <w:right w:val="nil"/>
            </w:tcBorders>
            <w:shd w:val="clear" w:color="auto" w:fill="auto"/>
            <w:noWrap/>
            <w:vAlign w:val="center"/>
            <w:hideMark/>
          </w:tcPr>
          <w:p w14:paraId="72A5604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7" w:type="dxa"/>
            <w:tcBorders>
              <w:top w:val="nil"/>
              <w:left w:val="nil"/>
              <w:bottom w:val="nil"/>
              <w:right w:val="single" w:sz="4" w:space="0" w:color="auto"/>
            </w:tcBorders>
            <w:shd w:val="clear" w:color="auto" w:fill="auto"/>
            <w:noWrap/>
            <w:vAlign w:val="center"/>
            <w:hideMark/>
          </w:tcPr>
          <w:p w14:paraId="4D6C5C3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11B6A2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c>
          <w:tcPr>
            <w:tcW w:w="777" w:type="dxa"/>
            <w:tcBorders>
              <w:top w:val="nil"/>
              <w:left w:val="nil"/>
              <w:bottom w:val="nil"/>
              <w:right w:val="single" w:sz="8" w:space="0" w:color="auto"/>
            </w:tcBorders>
            <w:shd w:val="clear" w:color="auto" w:fill="auto"/>
            <w:noWrap/>
            <w:vAlign w:val="center"/>
            <w:hideMark/>
          </w:tcPr>
          <w:p w14:paraId="23C4136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 </w:t>
            </w:r>
          </w:p>
        </w:tc>
      </w:tr>
      <w:tr w:rsidR="005D4109" w:rsidRPr="005D4109" w14:paraId="3370F973"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3B1EEE0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14:paraId="2C9D877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-0.96%</w:t>
            </w:r>
          </w:p>
        </w:tc>
        <w:tc>
          <w:tcPr>
            <w:tcW w:w="887" w:type="dxa"/>
            <w:tcBorders>
              <w:top w:val="nil"/>
              <w:left w:val="nil"/>
              <w:bottom w:val="nil"/>
              <w:right w:val="nil"/>
            </w:tcBorders>
            <w:shd w:val="clear" w:color="auto" w:fill="auto"/>
            <w:noWrap/>
            <w:vAlign w:val="center"/>
            <w:hideMark/>
          </w:tcPr>
          <w:p w14:paraId="32619CD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-1.23%</w:t>
            </w:r>
          </w:p>
        </w:tc>
        <w:tc>
          <w:tcPr>
            <w:tcW w:w="887" w:type="dxa"/>
            <w:tcBorders>
              <w:top w:val="nil"/>
              <w:left w:val="nil"/>
              <w:bottom w:val="nil"/>
              <w:right w:val="single" w:sz="4" w:space="0" w:color="auto"/>
            </w:tcBorders>
            <w:shd w:val="clear" w:color="auto" w:fill="auto"/>
            <w:noWrap/>
            <w:vAlign w:val="center"/>
            <w:hideMark/>
          </w:tcPr>
          <w:p w14:paraId="65C9E28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-1.28%</w:t>
            </w:r>
          </w:p>
        </w:tc>
        <w:tc>
          <w:tcPr>
            <w:tcW w:w="777" w:type="dxa"/>
            <w:tcBorders>
              <w:top w:val="nil"/>
              <w:left w:val="nil"/>
              <w:bottom w:val="nil"/>
              <w:right w:val="nil"/>
            </w:tcBorders>
            <w:shd w:val="clear" w:color="auto" w:fill="auto"/>
            <w:noWrap/>
            <w:vAlign w:val="center"/>
            <w:hideMark/>
          </w:tcPr>
          <w:p w14:paraId="0D05394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137%</w:t>
            </w:r>
          </w:p>
        </w:tc>
        <w:tc>
          <w:tcPr>
            <w:tcW w:w="777" w:type="dxa"/>
            <w:tcBorders>
              <w:top w:val="nil"/>
              <w:left w:val="nil"/>
              <w:bottom w:val="nil"/>
              <w:right w:val="nil"/>
            </w:tcBorders>
            <w:shd w:val="clear" w:color="auto" w:fill="auto"/>
            <w:noWrap/>
            <w:vAlign w:val="center"/>
            <w:hideMark/>
          </w:tcPr>
          <w:p w14:paraId="1C723A0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132%</w:t>
            </w:r>
          </w:p>
        </w:tc>
        <w:tc>
          <w:tcPr>
            <w:tcW w:w="887" w:type="dxa"/>
            <w:tcBorders>
              <w:top w:val="nil"/>
              <w:left w:val="single" w:sz="8" w:space="0" w:color="auto"/>
              <w:bottom w:val="nil"/>
              <w:right w:val="nil"/>
            </w:tcBorders>
            <w:shd w:val="clear" w:color="auto" w:fill="auto"/>
            <w:noWrap/>
            <w:vAlign w:val="center"/>
            <w:hideMark/>
          </w:tcPr>
          <w:p w14:paraId="6528AFA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-0.37%</w:t>
            </w:r>
          </w:p>
        </w:tc>
        <w:tc>
          <w:tcPr>
            <w:tcW w:w="887" w:type="dxa"/>
            <w:tcBorders>
              <w:top w:val="nil"/>
              <w:left w:val="nil"/>
              <w:bottom w:val="nil"/>
              <w:right w:val="nil"/>
            </w:tcBorders>
            <w:shd w:val="clear" w:color="auto" w:fill="auto"/>
            <w:noWrap/>
            <w:vAlign w:val="center"/>
            <w:hideMark/>
          </w:tcPr>
          <w:p w14:paraId="64E676D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-1.18%</w:t>
            </w:r>
          </w:p>
        </w:tc>
        <w:tc>
          <w:tcPr>
            <w:tcW w:w="887" w:type="dxa"/>
            <w:tcBorders>
              <w:top w:val="nil"/>
              <w:left w:val="nil"/>
              <w:bottom w:val="nil"/>
              <w:right w:val="single" w:sz="4" w:space="0" w:color="auto"/>
            </w:tcBorders>
            <w:shd w:val="clear" w:color="auto" w:fill="auto"/>
            <w:noWrap/>
            <w:vAlign w:val="center"/>
            <w:hideMark/>
          </w:tcPr>
          <w:p w14:paraId="786A47F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205870A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112%</w:t>
            </w:r>
          </w:p>
        </w:tc>
        <w:tc>
          <w:tcPr>
            <w:tcW w:w="777" w:type="dxa"/>
            <w:tcBorders>
              <w:top w:val="nil"/>
              <w:left w:val="nil"/>
              <w:bottom w:val="nil"/>
              <w:right w:val="single" w:sz="8" w:space="0" w:color="auto"/>
            </w:tcBorders>
            <w:shd w:val="clear" w:color="auto" w:fill="auto"/>
            <w:noWrap/>
            <w:vAlign w:val="center"/>
            <w:hideMark/>
          </w:tcPr>
          <w:p w14:paraId="7BE5A17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109%</w:t>
            </w:r>
          </w:p>
        </w:tc>
      </w:tr>
      <w:tr w:rsidR="005D4109" w:rsidRPr="005D4109" w14:paraId="7F04667D"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101E7DB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14:paraId="7CCA375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-1.21%</w:t>
            </w:r>
          </w:p>
        </w:tc>
        <w:tc>
          <w:tcPr>
            <w:tcW w:w="887" w:type="dxa"/>
            <w:tcBorders>
              <w:top w:val="nil"/>
              <w:left w:val="nil"/>
              <w:bottom w:val="nil"/>
              <w:right w:val="nil"/>
            </w:tcBorders>
            <w:shd w:val="clear" w:color="auto" w:fill="auto"/>
            <w:noWrap/>
            <w:vAlign w:val="center"/>
            <w:hideMark/>
          </w:tcPr>
          <w:p w14:paraId="74B8E3B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-1.37%</w:t>
            </w:r>
          </w:p>
        </w:tc>
        <w:tc>
          <w:tcPr>
            <w:tcW w:w="887" w:type="dxa"/>
            <w:tcBorders>
              <w:top w:val="nil"/>
              <w:left w:val="nil"/>
              <w:bottom w:val="nil"/>
              <w:right w:val="single" w:sz="4" w:space="0" w:color="auto"/>
            </w:tcBorders>
            <w:shd w:val="clear" w:color="auto" w:fill="auto"/>
            <w:noWrap/>
            <w:vAlign w:val="center"/>
            <w:hideMark/>
          </w:tcPr>
          <w:p w14:paraId="74057DE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-1.53%</w:t>
            </w:r>
          </w:p>
        </w:tc>
        <w:tc>
          <w:tcPr>
            <w:tcW w:w="777" w:type="dxa"/>
            <w:tcBorders>
              <w:top w:val="nil"/>
              <w:left w:val="nil"/>
              <w:bottom w:val="nil"/>
              <w:right w:val="nil"/>
            </w:tcBorders>
            <w:shd w:val="clear" w:color="auto" w:fill="auto"/>
            <w:noWrap/>
            <w:vAlign w:val="center"/>
            <w:hideMark/>
          </w:tcPr>
          <w:p w14:paraId="11BB382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139%</w:t>
            </w:r>
          </w:p>
        </w:tc>
        <w:tc>
          <w:tcPr>
            <w:tcW w:w="777" w:type="dxa"/>
            <w:tcBorders>
              <w:top w:val="nil"/>
              <w:left w:val="nil"/>
              <w:bottom w:val="nil"/>
              <w:right w:val="nil"/>
            </w:tcBorders>
            <w:shd w:val="clear" w:color="auto" w:fill="auto"/>
            <w:noWrap/>
            <w:vAlign w:val="center"/>
            <w:hideMark/>
          </w:tcPr>
          <w:p w14:paraId="5666A73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159%</w:t>
            </w:r>
          </w:p>
        </w:tc>
        <w:tc>
          <w:tcPr>
            <w:tcW w:w="887" w:type="dxa"/>
            <w:tcBorders>
              <w:top w:val="nil"/>
              <w:left w:val="single" w:sz="8" w:space="0" w:color="auto"/>
              <w:bottom w:val="nil"/>
              <w:right w:val="nil"/>
            </w:tcBorders>
            <w:shd w:val="clear" w:color="auto" w:fill="auto"/>
            <w:noWrap/>
            <w:vAlign w:val="center"/>
            <w:hideMark/>
          </w:tcPr>
          <w:p w14:paraId="3B29711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-0.61%</w:t>
            </w:r>
          </w:p>
        </w:tc>
        <w:tc>
          <w:tcPr>
            <w:tcW w:w="887" w:type="dxa"/>
            <w:tcBorders>
              <w:top w:val="nil"/>
              <w:left w:val="nil"/>
              <w:bottom w:val="nil"/>
              <w:right w:val="nil"/>
            </w:tcBorders>
            <w:shd w:val="clear" w:color="auto" w:fill="auto"/>
            <w:noWrap/>
            <w:vAlign w:val="center"/>
            <w:hideMark/>
          </w:tcPr>
          <w:p w14:paraId="3FE3B10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-0.98%</w:t>
            </w:r>
          </w:p>
        </w:tc>
        <w:tc>
          <w:tcPr>
            <w:tcW w:w="887" w:type="dxa"/>
            <w:tcBorders>
              <w:top w:val="nil"/>
              <w:left w:val="nil"/>
              <w:bottom w:val="nil"/>
              <w:right w:val="single" w:sz="4" w:space="0" w:color="auto"/>
            </w:tcBorders>
            <w:shd w:val="clear" w:color="auto" w:fill="auto"/>
            <w:noWrap/>
            <w:vAlign w:val="center"/>
            <w:hideMark/>
          </w:tcPr>
          <w:p w14:paraId="1D0C470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-1.48%</w:t>
            </w:r>
          </w:p>
        </w:tc>
        <w:tc>
          <w:tcPr>
            <w:tcW w:w="934" w:type="dxa"/>
            <w:tcBorders>
              <w:top w:val="nil"/>
              <w:left w:val="nil"/>
              <w:bottom w:val="nil"/>
              <w:right w:val="nil"/>
            </w:tcBorders>
            <w:shd w:val="clear" w:color="auto" w:fill="auto"/>
            <w:noWrap/>
            <w:vAlign w:val="center"/>
            <w:hideMark/>
          </w:tcPr>
          <w:p w14:paraId="7B0E4C7B"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114%</w:t>
            </w:r>
          </w:p>
        </w:tc>
        <w:tc>
          <w:tcPr>
            <w:tcW w:w="777" w:type="dxa"/>
            <w:tcBorders>
              <w:top w:val="nil"/>
              <w:left w:val="nil"/>
              <w:bottom w:val="nil"/>
              <w:right w:val="single" w:sz="8" w:space="0" w:color="auto"/>
            </w:tcBorders>
            <w:shd w:val="clear" w:color="auto" w:fill="auto"/>
            <w:noWrap/>
            <w:vAlign w:val="center"/>
            <w:hideMark/>
          </w:tcPr>
          <w:p w14:paraId="6E99029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119%</w:t>
            </w:r>
          </w:p>
        </w:tc>
      </w:tr>
      <w:tr w:rsidR="005D4109" w:rsidRPr="005D4109" w14:paraId="62092D16" w14:textId="77777777" w:rsidTr="005D4109">
        <w:trPr>
          <w:trHeight w:val="255"/>
        </w:trPr>
        <w:tc>
          <w:tcPr>
            <w:tcW w:w="1037" w:type="dxa"/>
            <w:tcBorders>
              <w:top w:val="nil"/>
              <w:left w:val="single" w:sz="8" w:space="0" w:color="auto"/>
              <w:bottom w:val="nil"/>
              <w:right w:val="single" w:sz="8" w:space="0" w:color="auto"/>
            </w:tcBorders>
            <w:shd w:val="clear" w:color="auto" w:fill="auto"/>
            <w:noWrap/>
            <w:vAlign w:val="center"/>
            <w:hideMark/>
          </w:tcPr>
          <w:p w14:paraId="66DCC65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E</w:t>
            </w:r>
          </w:p>
        </w:tc>
        <w:tc>
          <w:tcPr>
            <w:tcW w:w="887" w:type="dxa"/>
            <w:tcBorders>
              <w:top w:val="nil"/>
              <w:left w:val="nil"/>
              <w:bottom w:val="nil"/>
              <w:right w:val="nil"/>
            </w:tcBorders>
            <w:shd w:val="clear" w:color="auto" w:fill="auto"/>
            <w:noWrap/>
            <w:vAlign w:val="center"/>
            <w:hideMark/>
          </w:tcPr>
          <w:p w14:paraId="3EB0E37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-1.82%</w:t>
            </w:r>
          </w:p>
        </w:tc>
        <w:tc>
          <w:tcPr>
            <w:tcW w:w="887" w:type="dxa"/>
            <w:tcBorders>
              <w:top w:val="nil"/>
              <w:left w:val="nil"/>
              <w:bottom w:val="nil"/>
              <w:right w:val="nil"/>
            </w:tcBorders>
            <w:shd w:val="clear" w:color="auto" w:fill="auto"/>
            <w:noWrap/>
            <w:vAlign w:val="center"/>
            <w:hideMark/>
          </w:tcPr>
          <w:p w14:paraId="23136ED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-1.57%</w:t>
            </w:r>
          </w:p>
        </w:tc>
        <w:tc>
          <w:tcPr>
            <w:tcW w:w="887" w:type="dxa"/>
            <w:tcBorders>
              <w:top w:val="nil"/>
              <w:left w:val="nil"/>
              <w:bottom w:val="nil"/>
              <w:right w:val="single" w:sz="4" w:space="0" w:color="auto"/>
            </w:tcBorders>
            <w:shd w:val="clear" w:color="auto" w:fill="auto"/>
            <w:noWrap/>
            <w:vAlign w:val="center"/>
            <w:hideMark/>
          </w:tcPr>
          <w:p w14:paraId="3B8F74A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-1.74%</w:t>
            </w:r>
          </w:p>
        </w:tc>
        <w:tc>
          <w:tcPr>
            <w:tcW w:w="777" w:type="dxa"/>
            <w:tcBorders>
              <w:top w:val="nil"/>
              <w:left w:val="nil"/>
              <w:bottom w:val="nil"/>
              <w:right w:val="nil"/>
            </w:tcBorders>
            <w:shd w:val="clear" w:color="auto" w:fill="auto"/>
            <w:noWrap/>
            <w:vAlign w:val="center"/>
            <w:hideMark/>
          </w:tcPr>
          <w:p w14:paraId="097A5ED8"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138%</w:t>
            </w:r>
          </w:p>
        </w:tc>
        <w:tc>
          <w:tcPr>
            <w:tcW w:w="777" w:type="dxa"/>
            <w:tcBorders>
              <w:top w:val="nil"/>
              <w:left w:val="nil"/>
              <w:bottom w:val="nil"/>
              <w:right w:val="nil"/>
            </w:tcBorders>
            <w:shd w:val="clear" w:color="auto" w:fill="auto"/>
            <w:noWrap/>
            <w:vAlign w:val="center"/>
            <w:hideMark/>
          </w:tcPr>
          <w:p w14:paraId="36953ED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162%</w:t>
            </w:r>
          </w:p>
        </w:tc>
        <w:tc>
          <w:tcPr>
            <w:tcW w:w="887" w:type="dxa"/>
            <w:tcBorders>
              <w:top w:val="nil"/>
              <w:left w:val="single" w:sz="8" w:space="0" w:color="auto"/>
              <w:bottom w:val="nil"/>
              <w:right w:val="nil"/>
            </w:tcBorders>
            <w:shd w:val="clear" w:color="auto" w:fill="auto"/>
            <w:noWrap/>
            <w:vAlign w:val="center"/>
            <w:hideMark/>
          </w:tcPr>
          <w:p w14:paraId="169884B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-0.87%</w:t>
            </w:r>
          </w:p>
        </w:tc>
        <w:tc>
          <w:tcPr>
            <w:tcW w:w="887" w:type="dxa"/>
            <w:tcBorders>
              <w:top w:val="nil"/>
              <w:left w:val="nil"/>
              <w:bottom w:val="nil"/>
              <w:right w:val="nil"/>
            </w:tcBorders>
            <w:shd w:val="clear" w:color="auto" w:fill="auto"/>
            <w:noWrap/>
            <w:vAlign w:val="center"/>
            <w:hideMark/>
          </w:tcPr>
          <w:p w14:paraId="742731D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0.37%</w:t>
            </w:r>
          </w:p>
        </w:tc>
        <w:tc>
          <w:tcPr>
            <w:tcW w:w="887" w:type="dxa"/>
            <w:tcBorders>
              <w:top w:val="nil"/>
              <w:left w:val="nil"/>
              <w:bottom w:val="nil"/>
              <w:right w:val="single" w:sz="4" w:space="0" w:color="auto"/>
            </w:tcBorders>
            <w:shd w:val="clear" w:color="auto" w:fill="auto"/>
            <w:noWrap/>
            <w:vAlign w:val="center"/>
            <w:hideMark/>
          </w:tcPr>
          <w:p w14:paraId="1EAF35F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42B6BF3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113%</w:t>
            </w:r>
          </w:p>
        </w:tc>
        <w:tc>
          <w:tcPr>
            <w:tcW w:w="777" w:type="dxa"/>
            <w:tcBorders>
              <w:top w:val="nil"/>
              <w:left w:val="nil"/>
              <w:bottom w:val="nil"/>
              <w:right w:val="single" w:sz="8" w:space="0" w:color="auto"/>
            </w:tcBorders>
            <w:shd w:val="clear" w:color="auto" w:fill="auto"/>
            <w:noWrap/>
            <w:vAlign w:val="center"/>
            <w:hideMark/>
          </w:tcPr>
          <w:p w14:paraId="77D2836F"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130%</w:t>
            </w:r>
          </w:p>
        </w:tc>
      </w:tr>
      <w:tr w:rsidR="005D4109" w:rsidRPr="005D4109" w14:paraId="2C290E6A" w14:textId="77777777" w:rsidTr="005D4109">
        <w:trPr>
          <w:trHeight w:val="255"/>
        </w:trPr>
        <w:tc>
          <w:tcPr>
            <w:tcW w:w="1037" w:type="dxa"/>
            <w:tcBorders>
              <w:top w:val="single" w:sz="8" w:space="0" w:color="auto"/>
              <w:left w:val="single" w:sz="8" w:space="0" w:color="auto"/>
              <w:bottom w:val="nil"/>
              <w:right w:val="single" w:sz="8" w:space="0" w:color="auto"/>
            </w:tcBorders>
            <w:shd w:val="clear" w:color="auto" w:fill="auto"/>
            <w:noWrap/>
            <w:vAlign w:val="center"/>
            <w:hideMark/>
          </w:tcPr>
          <w:p w14:paraId="1513974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D4109">
              <w:rPr>
                <w:rFonts w:ascii="Arial" w:hAnsi="Arial" w:cs="Arial"/>
                <w:b/>
                <w:bCs/>
                <w:color w:val="000000"/>
                <w:sz w:val="18"/>
                <w:szCs w:val="18"/>
              </w:rPr>
              <w:t>Overall</w:t>
            </w:r>
          </w:p>
        </w:tc>
        <w:tc>
          <w:tcPr>
            <w:tcW w:w="887" w:type="dxa"/>
            <w:tcBorders>
              <w:top w:val="single" w:sz="8" w:space="0" w:color="auto"/>
              <w:left w:val="nil"/>
              <w:bottom w:val="nil"/>
              <w:right w:val="nil"/>
            </w:tcBorders>
            <w:shd w:val="clear" w:color="auto" w:fill="auto"/>
            <w:noWrap/>
            <w:vAlign w:val="center"/>
            <w:hideMark/>
          </w:tcPr>
          <w:p w14:paraId="2B9E98E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-1.26%</w:t>
            </w:r>
          </w:p>
        </w:tc>
        <w:tc>
          <w:tcPr>
            <w:tcW w:w="887" w:type="dxa"/>
            <w:tcBorders>
              <w:top w:val="single" w:sz="8" w:space="0" w:color="auto"/>
              <w:left w:val="nil"/>
              <w:bottom w:val="nil"/>
              <w:right w:val="nil"/>
            </w:tcBorders>
            <w:shd w:val="clear" w:color="auto" w:fill="auto"/>
            <w:noWrap/>
            <w:vAlign w:val="center"/>
            <w:hideMark/>
          </w:tcPr>
          <w:p w14:paraId="7E5C3B7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-1.36%</w:t>
            </w:r>
          </w:p>
        </w:tc>
        <w:tc>
          <w:tcPr>
            <w:tcW w:w="887" w:type="dxa"/>
            <w:tcBorders>
              <w:top w:val="single" w:sz="8" w:space="0" w:color="auto"/>
              <w:left w:val="nil"/>
              <w:bottom w:val="nil"/>
              <w:right w:val="single" w:sz="4" w:space="0" w:color="auto"/>
            </w:tcBorders>
            <w:shd w:val="clear" w:color="auto" w:fill="auto"/>
            <w:noWrap/>
            <w:vAlign w:val="center"/>
            <w:hideMark/>
          </w:tcPr>
          <w:p w14:paraId="33623FD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-1.48%</w:t>
            </w:r>
          </w:p>
        </w:tc>
        <w:tc>
          <w:tcPr>
            <w:tcW w:w="777" w:type="dxa"/>
            <w:tcBorders>
              <w:top w:val="single" w:sz="8" w:space="0" w:color="auto"/>
              <w:left w:val="nil"/>
              <w:bottom w:val="nil"/>
              <w:right w:val="nil"/>
            </w:tcBorders>
            <w:shd w:val="clear" w:color="auto" w:fill="auto"/>
            <w:noWrap/>
            <w:vAlign w:val="center"/>
            <w:hideMark/>
          </w:tcPr>
          <w:p w14:paraId="5B38D00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138%</w:t>
            </w:r>
          </w:p>
        </w:tc>
        <w:tc>
          <w:tcPr>
            <w:tcW w:w="777" w:type="dxa"/>
            <w:tcBorders>
              <w:top w:val="single" w:sz="8" w:space="0" w:color="auto"/>
              <w:left w:val="nil"/>
              <w:bottom w:val="nil"/>
              <w:right w:val="nil"/>
            </w:tcBorders>
            <w:shd w:val="clear" w:color="auto" w:fill="auto"/>
            <w:noWrap/>
            <w:vAlign w:val="center"/>
            <w:hideMark/>
          </w:tcPr>
          <w:p w14:paraId="2D91BF70"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148%</w:t>
            </w:r>
          </w:p>
        </w:tc>
        <w:tc>
          <w:tcPr>
            <w:tcW w:w="887" w:type="dxa"/>
            <w:tcBorders>
              <w:top w:val="single" w:sz="8" w:space="0" w:color="auto"/>
              <w:left w:val="single" w:sz="8" w:space="0" w:color="auto"/>
              <w:bottom w:val="nil"/>
              <w:right w:val="nil"/>
            </w:tcBorders>
            <w:shd w:val="clear" w:color="auto" w:fill="auto"/>
            <w:noWrap/>
            <w:vAlign w:val="center"/>
            <w:hideMark/>
          </w:tcPr>
          <w:p w14:paraId="4B6A012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-0.57%</w:t>
            </w:r>
          </w:p>
        </w:tc>
        <w:tc>
          <w:tcPr>
            <w:tcW w:w="887" w:type="dxa"/>
            <w:tcBorders>
              <w:top w:val="single" w:sz="8" w:space="0" w:color="auto"/>
              <w:left w:val="nil"/>
              <w:bottom w:val="nil"/>
              <w:right w:val="nil"/>
            </w:tcBorders>
            <w:shd w:val="clear" w:color="auto" w:fill="auto"/>
            <w:noWrap/>
            <w:vAlign w:val="center"/>
            <w:hideMark/>
          </w:tcPr>
          <w:p w14:paraId="3CBC253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-0.73%</w:t>
            </w:r>
          </w:p>
        </w:tc>
        <w:tc>
          <w:tcPr>
            <w:tcW w:w="887" w:type="dxa"/>
            <w:tcBorders>
              <w:top w:val="single" w:sz="8" w:space="0" w:color="auto"/>
              <w:left w:val="nil"/>
              <w:bottom w:val="nil"/>
              <w:right w:val="single" w:sz="4" w:space="0" w:color="auto"/>
            </w:tcBorders>
            <w:shd w:val="clear" w:color="auto" w:fill="auto"/>
            <w:noWrap/>
            <w:vAlign w:val="center"/>
            <w:hideMark/>
          </w:tcPr>
          <w:p w14:paraId="18EC9137"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-0.72%</w:t>
            </w:r>
          </w:p>
        </w:tc>
        <w:tc>
          <w:tcPr>
            <w:tcW w:w="934" w:type="dxa"/>
            <w:tcBorders>
              <w:top w:val="single" w:sz="8" w:space="0" w:color="auto"/>
              <w:left w:val="nil"/>
              <w:bottom w:val="nil"/>
              <w:right w:val="nil"/>
            </w:tcBorders>
            <w:shd w:val="clear" w:color="auto" w:fill="auto"/>
            <w:noWrap/>
            <w:vAlign w:val="center"/>
            <w:hideMark/>
          </w:tcPr>
          <w:p w14:paraId="468BA37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113%</w:t>
            </w:r>
          </w:p>
        </w:tc>
        <w:tc>
          <w:tcPr>
            <w:tcW w:w="777" w:type="dxa"/>
            <w:tcBorders>
              <w:top w:val="single" w:sz="8" w:space="0" w:color="auto"/>
              <w:left w:val="nil"/>
              <w:bottom w:val="nil"/>
              <w:right w:val="single" w:sz="8" w:space="0" w:color="auto"/>
            </w:tcBorders>
            <w:shd w:val="clear" w:color="auto" w:fill="auto"/>
            <w:noWrap/>
            <w:vAlign w:val="center"/>
            <w:hideMark/>
          </w:tcPr>
          <w:p w14:paraId="760B5782"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117%</w:t>
            </w:r>
          </w:p>
        </w:tc>
      </w:tr>
      <w:tr w:rsidR="005D4109" w:rsidRPr="005D4109" w14:paraId="12618FA0" w14:textId="77777777" w:rsidTr="005D4109">
        <w:trPr>
          <w:trHeight w:val="255"/>
        </w:trPr>
        <w:tc>
          <w:tcPr>
            <w:tcW w:w="1037" w:type="dxa"/>
            <w:tcBorders>
              <w:top w:val="single" w:sz="8" w:space="0" w:color="auto"/>
              <w:left w:val="single" w:sz="8" w:space="0" w:color="auto"/>
              <w:bottom w:val="single" w:sz="8" w:space="0" w:color="auto"/>
              <w:right w:val="nil"/>
            </w:tcBorders>
            <w:shd w:val="clear" w:color="auto" w:fill="auto"/>
            <w:noWrap/>
            <w:vAlign w:val="center"/>
            <w:hideMark/>
          </w:tcPr>
          <w:p w14:paraId="3E1AB97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Class D</w:t>
            </w:r>
          </w:p>
        </w:tc>
        <w:tc>
          <w:tcPr>
            <w:tcW w:w="887" w:type="dxa"/>
            <w:tcBorders>
              <w:top w:val="single" w:sz="8" w:space="0" w:color="auto"/>
              <w:left w:val="single" w:sz="8" w:space="0" w:color="auto"/>
              <w:bottom w:val="single" w:sz="8" w:space="0" w:color="auto"/>
              <w:right w:val="nil"/>
            </w:tcBorders>
            <w:shd w:val="clear" w:color="auto" w:fill="auto"/>
            <w:noWrap/>
            <w:vAlign w:val="center"/>
            <w:hideMark/>
          </w:tcPr>
          <w:p w14:paraId="224A1CF1"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-1.80%</w:t>
            </w:r>
          </w:p>
        </w:tc>
        <w:tc>
          <w:tcPr>
            <w:tcW w:w="887" w:type="dxa"/>
            <w:tcBorders>
              <w:top w:val="single" w:sz="8" w:space="0" w:color="auto"/>
              <w:left w:val="nil"/>
              <w:bottom w:val="single" w:sz="8" w:space="0" w:color="auto"/>
              <w:right w:val="nil"/>
            </w:tcBorders>
            <w:shd w:val="clear" w:color="auto" w:fill="auto"/>
            <w:noWrap/>
            <w:vAlign w:val="center"/>
            <w:hideMark/>
          </w:tcPr>
          <w:p w14:paraId="1045160E"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-1.89%</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456BDC05"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-1.88%</w:t>
            </w:r>
          </w:p>
        </w:tc>
        <w:tc>
          <w:tcPr>
            <w:tcW w:w="777" w:type="dxa"/>
            <w:tcBorders>
              <w:top w:val="single" w:sz="8" w:space="0" w:color="auto"/>
              <w:left w:val="nil"/>
              <w:bottom w:val="single" w:sz="8" w:space="0" w:color="auto"/>
              <w:right w:val="nil"/>
            </w:tcBorders>
            <w:shd w:val="clear" w:color="auto" w:fill="auto"/>
            <w:noWrap/>
            <w:vAlign w:val="center"/>
            <w:hideMark/>
          </w:tcPr>
          <w:p w14:paraId="55E489DA"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142%</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3B894876"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179%</w:t>
            </w:r>
          </w:p>
        </w:tc>
        <w:tc>
          <w:tcPr>
            <w:tcW w:w="887" w:type="dxa"/>
            <w:tcBorders>
              <w:top w:val="single" w:sz="8" w:space="0" w:color="auto"/>
              <w:left w:val="nil"/>
              <w:bottom w:val="single" w:sz="8" w:space="0" w:color="auto"/>
              <w:right w:val="nil"/>
            </w:tcBorders>
            <w:shd w:val="clear" w:color="auto" w:fill="auto"/>
            <w:noWrap/>
            <w:vAlign w:val="center"/>
            <w:hideMark/>
          </w:tcPr>
          <w:p w14:paraId="1CADAFA9"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-0.81%</w:t>
            </w:r>
          </w:p>
        </w:tc>
        <w:tc>
          <w:tcPr>
            <w:tcW w:w="887" w:type="dxa"/>
            <w:tcBorders>
              <w:top w:val="single" w:sz="8" w:space="0" w:color="auto"/>
              <w:left w:val="nil"/>
              <w:bottom w:val="single" w:sz="8" w:space="0" w:color="auto"/>
              <w:right w:val="nil"/>
            </w:tcBorders>
            <w:shd w:val="clear" w:color="auto" w:fill="auto"/>
            <w:noWrap/>
            <w:vAlign w:val="center"/>
            <w:hideMark/>
          </w:tcPr>
          <w:p w14:paraId="4E38A33C"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-1.49%</w:t>
            </w:r>
          </w:p>
        </w:tc>
        <w:tc>
          <w:tcPr>
            <w:tcW w:w="887" w:type="dxa"/>
            <w:tcBorders>
              <w:top w:val="single" w:sz="8" w:space="0" w:color="auto"/>
              <w:left w:val="nil"/>
              <w:bottom w:val="single" w:sz="8" w:space="0" w:color="auto"/>
              <w:right w:val="single" w:sz="4" w:space="0" w:color="auto"/>
            </w:tcBorders>
            <w:shd w:val="clear" w:color="auto" w:fill="auto"/>
            <w:noWrap/>
            <w:vAlign w:val="center"/>
            <w:hideMark/>
          </w:tcPr>
          <w:p w14:paraId="6DDB2184"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-1.98%</w:t>
            </w:r>
          </w:p>
        </w:tc>
        <w:tc>
          <w:tcPr>
            <w:tcW w:w="934" w:type="dxa"/>
            <w:tcBorders>
              <w:top w:val="single" w:sz="8" w:space="0" w:color="auto"/>
              <w:left w:val="nil"/>
              <w:bottom w:val="single" w:sz="8" w:space="0" w:color="auto"/>
              <w:right w:val="nil"/>
            </w:tcBorders>
            <w:shd w:val="clear" w:color="auto" w:fill="auto"/>
            <w:noWrap/>
            <w:vAlign w:val="center"/>
            <w:hideMark/>
          </w:tcPr>
          <w:p w14:paraId="0AA1B44D"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115%</w:t>
            </w:r>
          </w:p>
        </w:tc>
        <w:tc>
          <w:tcPr>
            <w:tcW w:w="777" w:type="dxa"/>
            <w:tcBorders>
              <w:top w:val="single" w:sz="8" w:space="0" w:color="auto"/>
              <w:left w:val="nil"/>
              <w:bottom w:val="single" w:sz="8" w:space="0" w:color="auto"/>
              <w:right w:val="single" w:sz="8" w:space="0" w:color="auto"/>
            </w:tcBorders>
            <w:shd w:val="clear" w:color="auto" w:fill="auto"/>
            <w:noWrap/>
            <w:vAlign w:val="center"/>
            <w:hideMark/>
          </w:tcPr>
          <w:p w14:paraId="788E9E73" w14:textId="77777777" w:rsidR="005D4109" w:rsidRPr="005D4109" w:rsidRDefault="005D4109" w:rsidP="005D41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D4109">
              <w:rPr>
                <w:rFonts w:ascii="Arial" w:hAnsi="Arial" w:cs="Arial"/>
                <w:color w:val="000000"/>
                <w:sz w:val="18"/>
                <w:szCs w:val="18"/>
              </w:rPr>
              <w:t>132%</w:t>
            </w:r>
          </w:p>
        </w:tc>
      </w:tr>
    </w:tbl>
    <w:p w14:paraId="6D38DC6E" w14:textId="13AEC653" w:rsidR="00860A4A" w:rsidRPr="006F54C4" w:rsidRDefault="00860A4A" w:rsidP="00860A4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F54C4">
        <w:rPr>
          <w:lang w:val="en-CA"/>
        </w:rPr>
        <w:t>References</w:t>
      </w:r>
    </w:p>
    <w:p w14:paraId="40ED2EAD" w14:textId="50CA63CA" w:rsidR="00E6303E" w:rsidRDefault="00E6303E" w:rsidP="004E7F8D">
      <w:pPr>
        <w:pStyle w:val="References"/>
        <w:rPr>
          <w:sz w:val="22"/>
          <w:szCs w:val="22"/>
        </w:rPr>
      </w:pPr>
      <w:bookmarkStart w:id="1" w:name="_Ref518314073"/>
      <w:bookmarkStart w:id="2" w:name="_Ref516585053"/>
      <w:bookmarkStart w:id="3" w:name="_Ref518065912"/>
      <w:r>
        <w:rPr>
          <w:sz w:val="22"/>
          <w:szCs w:val="22"/>
        </w:rPr>
        <w:t>J. Chen, E. Alshina, G. J. Sullivan, J.-R. Ohm, J. Boyce, “Algorithm description of joint exploration test mode (JEM7)”, JVET-G1001, August. 2017, Torino, Italy.</w:t>
      </w:r>
      <w:bookmarkEnd w:id="1"/>
    </w:p>
    <w:p w14:paraId="0086C1F8" w14:textId="0FAB9427" w:rsidR="004E7F8D" w:rsidRDefault="004E7F8D" w:rsidP="00EE0A53">
      <w:pPr>
        <w:pStyle w:val="References"/>
        <w:jc w:val="both"/>
        <w:rPr>
          <w:sz w:val="22"/>
          <w:szCs w:val="22"/>
        </w:rPr>
      </w:pPr>
      <w:bookmarkStart w:id="4" w:name="_Ref518294263"/>
      <w:bookmarkStart w:id="5" w:name="_Ref518066334"/>
      <w:bookmarkEnd w:id="2"/>
      <w:bookmarkEnd w:id="3"/>
      <w:r>
        <w:rPr>
          <w:sz w:val="22"/>
          <w:szCs w:val="22"/>
        </w:rPr>
        <w:t xml:space="preserve">X. Xiu, P. Hanhart, R. Vanam, Y. He, Y. He, “Description of SDR, HDR and </w:t>
      </w:r>
      <w:r w:rsidRPr="004E7F8D">
        <w:rPr>
          <w:sz w:val="22"/>
          <w:szCs w:val="22"/>
        </w:rPr>
        <w:t>360° video coding technology proposal by InterDigital Communications and Dolby Laboratories</w:t>
      </w:r>
      <w:r>
        <w:rPr>
          <w:sz w:val="22"/>
          <w:szCs w:val="22"/>
        </w:rPr>
        <w:t>”,</w:t>
      </w:r>
      <w:r w:rsidR="00D6590B">
        <w:rPr>
          <w:sz w:val="22"/>
          <w:szCs w:val="22"/>
        </w:rPr>
        <w:t xml:space="preserve"> JVET-J0015, April 2018, San Diego, USA.</w:t>
      </w:r>
      <w:bookmarkEnd w:id="4"/>
    </w:p>
    <w:p w14:paraId="103C7F60" w14:textId="51D75C05" w:rsidR="00126FDC" w:rsidRPr="00883CE5" w:rsidRDefault="00883CE5" w:rsidP="00E441AE">
      <w:pPr>
        <w:pStyle w:val="References"/>
        <w:jc w:val="both"/>
        <w:rPr>
          <w:sz w:val="22"/>
          <w:szCs w:val="22"/>
        </w:rPr>
      </w:pPr>
      <w:bookmarkStart w:id="6" w:name="_Ref518297034"/>
      <w:bookmarkStart w:id="7" w:name="_Ref518162436"/>
      <w:r w:rsidRPr="00883CE5">
        <w:rPr>
          <w:sz w:val="22"/>
          <w:szCs w:val="22"/>
        </w:rPr>
        <w:t>S. Esenlik, Y.-W. Chen, X. Xiu, A. Robert, X. Chen, T.-D. Chuang, B. Choi, J. Kang, N. Park,, “Description of Core Experiment 9 (CE9): Decoder-side motion vector derivation”, JVET-J1029, April 2018, San Diego, USA.</w:t>
      </w:r>
      <w:bookmarkEnd w:id="5"/>
      <w:bookmarkEnd w:id="6"/>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61E7A8B" w14:textId="2B1639E7" w:rsidR="00860A4A" w:rsidRPr="00B20ECD" w:rsidRDefault="00B20ECD" w:rsidP="009234A5">
      <w:pPr>
        <w:rPr>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lang w:val="en-CA"/>
        </w:rPr>
        <w:tab/>
      </w:r>
    </w:p>
    <w:sectPr w:rsidR="00860A4A" w:rsidRPr="00B20EC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D1623" w14:textId="77777777" w:rsidR="005575CE" w:rsidRDefault="005575CE">
      <w:r>
        <w:separator/>
      </w:r>
    </w:p>
  </w:endnote>
  <w:endnote w:type="continuationSeparator" w:id="0">
    <w:p w14:paraId="48EC7DFC" w14:textId="77777777" w:rsidR="005575CE" w:rsidRDefault="0055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2E5F134" w:rsidR="00E12D5E" w:rsidRPr="00C00DDE" w:rsidRDefault="00E12D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8000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0009">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9945B" w14:textId="77777777" w:rsidR="005575CE" w:rsidRDefault="005575CE">
      <w:r>
        <w:separator/>
      </w:r>
    </w:p>
  </w:footnote>
  <w:footnote w:type="continuationSeparator" w:id="0">
    <w:p w14:paraId="2F7F99C8" w14:textId="77777777" w:rsidR="005575CE" w:rsidRDefault="00557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742CC"/>
    <w:multiLevelType w:val="hybridMultilevel"/>
    <w:tmpl w:val="BA1EAECA"/>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5C469A"/>
    <w:multiLevelType w:val="hybridMultilevel"/>
    <w:tmpl w:val="6BEE2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55F0F"/>
    <w:multiLevelType w:val="hybridMultilevel"/>
    <w:tmpl w:val="FA96F4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EFD2691"/>
    <w:multiLevelType w:val="hybridMultilevel"/>
    <w:tmpl w:val="BED8FF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0360E40"/>
    <w:multiLevelType w:val="hybridMultilevel"/>
    <w:tmpl w:val="BED8FF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60912EE"/>
    <w:multiLevelType w:val="hybridMultilevel"/>
    <w:tmpl w:val="C2D0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819FC"/>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95604D"/>
    <w:multiLevelType w:val="hybridMultilevel"/>
    <w:tmpl w:val="876E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4F1D2C"/>
    <w:multiLevelType w:val="hybridMultilevel"/>
    <w:tmpl w:val="B3D81B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284B92"/>
    <w:multiLevelType w:val="hybridMultilevel"/>
    <w:tmpl w:val="542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3B2A44"/>
    <w:multiLevelType w:val="hybridMultilevel"/>
    <w:tmpl w:val="4F90D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9E3E98"/>
    <w:multiLevelType w:val="hybridMultilevel"/>
    <w:tmpl w:val="89A4D1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8"/>
  </w:num>
  <w:num w:numId="4">
    <w:abstractNumId w:val="16"/>
  </w:num>
  <w:num w:numId="5">
    <w:abstractNumId w:val="17"/>
  </w:num>
  <w:num w:numId="6">
    <w:abstractNumId w:val="6"/>
  </w:num>
  <w:num w:numId="7">
    <w:abstractNumId w:val="9"/>
  </w:num>
  <w:num w:numId="8">
    <w:abstractNumId w:val="6"/>
  </w:num>
  <w:num w:numId="9">
    <w:abstractNumId w:val="2"/>
  </w:num>
  <w:num w:numId="10">
    <w:abstractNumId w:val="5"/>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22"/>
  </w:num>
  <w:num w:numId="16">
    <w:abstractNumId w:val="23"/>
  </w:num>
  <w:num w:numId="17">
    <w:abstractNumId w:val="6"/>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5"/>
  </w:num>
  <w:num w:numId="22">
    <w:abstractNumId w:val="6"/>
  </w:num>
  <w:num w:numId="23">
    <w:abstractNumId w:val="6"/>
  </w:num>
  <w:num w:numId="24">
    <w:abstractNumId w:val="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6"/>
  </w:num>
  <w:num w:numId="28">
    <w:abstractNumId w:val="21"/>
  </w:num>
  <w:num w:numId="29">
    <w:abstractNumId w:val="4"/>
  </w:num>
  <w:num w:numId="30">
    <w:abstractNumId w:val="19"/>
  </w:num>
  <w:num w:numId="31">
    <w:abstractNumId w:val="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1"/>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27E76"/>
    <w:rsid w:val="000308A3"/>
    <w:rsid w:val="000458BC"/>
    <w:rsid w:val="00045C41"/>
    <w:rsid w:val="00046C03"/>
    <w:rsid w:val="00051F7D"/>
    <w:rsid w:val="00065039"/>
    <w:rsid w:val="00066A03"/>
    <w:rsid w:val="0007614F"/>
    <w:rsid w:val="00086ABF"/>
    <w:rsid w:val="00086C9A"/>
    <w:rsid w:val="000904B3"/>
    <w:rsid w:val="000B0751"/>
    <w:rsid w:val="000B0C0F"/>
    <w:rsid w:val="000B1C6B"/>
    <w:rsid w:val="000B24E1"/>
    <w:rsid w:val="000B4FF9"/>
    <w:rsid w:val="000C09AC"/>
    <w:rsid w:val="000D0D5C"/>
    <w:rsid w:val="000D2703"/>
    <w:rsid w:val="000E00F3"/>
    <w:rsid w:val="000E2556"/>
    <w:rsid w:val="000E7C6D"/>
    <w:rsid w:val="000F158C"/>
    <w:rsid w:val="000F4A36"/>
    <w:rsid w:val="00102F3D"/>
    <w:rsid w:val="00104AF3"/>
    <w:rsid w:val="00104D89"/>
    <w:rsid w:val="00113CD4"/>
    <w:rsid w:val="00117343"/>
    <w:rsid w:val="00117D06"/>
    <w:rsid w:val="00124E38"/>
    <w:rsid w:val="0012580B"/>
    <w:rsid w:val="00126FDC"/>
    <w:rsid w:val="00131F90"/>
    <w:rsid w:val="0013458C"/>
    <w:rsid w:val="0013526E"/>
    <w:rsid w:val="00135B41"/>
    <w:rsid w:val="00146152"/>
    <w:rsid w:val="00150C94"/>
    <w:rsid w:val="00150E0C"/>
    <w:rsid w:val="00155526"/>
    <w:rsid w:val="00156221"/>
    <w:rsid w:val="001669FC"/>
    <w:rsid w:val="0016719C"/>
    <w:rsid w:val="00171371"/>
    <w:rsid w:val="00171AEA"/>
    <w:rsid w:val="00171BDF"/>
    <w:rsid w:val="00175A24"/>
    <w:rsid w:val="00177E15"/>
    <w:rsid w:val="00187E58"/>
    <w:rsid w:val="001A297E"/>
    <w:rsid w:val="001A368E"/>
    <w:rsid w:val="001A6085"/>
    <w:rsid w:val="001A7329"/>
    <w:rsid w:val="001A7714"/>
    <w:rsid w:val="001A792F"/>
    <w:rsid w:val="001B4E28"/>
    <w:rsid w:val="001B7586"/>
    <w:rsid w:val="001C2A61"/>
    <w:rsid w:val="001C3525"/>
    <w:rsid w:val="001C3AFB"/>
    <w:rsid w:val="001D1BD2"/>
    <w:rsid w:val="001D7D70"/>
    <w:rsid w:val="001D7DF2"/>
    <w:rsid w:val="001E0248"/>
    <w:rsid w:val="001E02BE"/>
    <w:rsid w:val="001E3B37"/>
    <w:rsid w:val="001F015A"/>
    <w:rsid w:val="001F0EBE"/>
    <w:rsid w:val="001F2594"/>
    <w:rsid w:val="001F4BF6"/>
    <w:rsid w:val="002038E8"/>
    <w:rsid w:val="002055A6"/>
    <w:rsid w:val="00206460"/>
    <w:rsid w:val="002069B4"/>
    <w:rsid w:val="00211AC0"/>
    <w:rsid w:val="00215DFC"/>
    <w:rsid w:val="002212DF"/>
    <w:rsid w:val="00222CD4"/>
    <w:rsid w:val="00225016"/>
    <w:rsid w:val="00225A6A"/>
    <w:rsid w:val="002264A6"/>
    <w:rsid w:val="0022688B"/>
    <w:rsid w:val="00227BA7"/>
    <w:rsid w:val="0023011C"/>
    <w:rsid w:val="00231918"/>
    <w:rsid w:val="002375C1"/>
    <w:rsid w:val="002445C8"/>
    <w:rsid w:val="00257644"/>
    <w:rsid w:val="00263398"/>
    <w:rsid w:val="00266F06"/>
    <w:rsid w:val="00275BCF"/>
    <w:rsid w:val="002760E2"/>
    <w:rsid w:val="00281D4E"/>
    <w:rsid w:val="0028788F"/>
    <w:rsid w:val="00291E36"/>
    <w:rsid w:val="00292257"/>
    <w:rsid w:val="002923DE"/>
    <w:rsid w:val="002A54E0"/>
    <w:rsid w:val="002B1595"/>
    <w:rsid w:val="002B191D"/>
    <w:rsid w:val="002B2C8F"/>
    <w:rsid w:val="002C2B2C"/>
    <w:rsid w:val="002C3788"/>
    <w:rsid w:val="002C4151"/>
    <w:rsid w:val="002C6ED6"/>
    <w:rsid w:val="002D0AF6"/>
    <w:rsid w:val="002D3B4D"/>
    <w:rsid w:val="002E4429"/>
    <w:rsid w:val="002F164D"/>
    <w:rsid w:val="002F5F7D"/>
    <w:rsid w:val="002F6FD3"/>
    <w:rsid w:val="0030163D"/>
    <w:rsid w:val="003021BC"/>
    <w:rsid w:val="00306206"/>
    <w:rsid w:val="00310F43"/>
    <w:rsid w:val="00317D85"/>
    <w:rsid w:val="00322508"/>
    <w:rsid w:val="00327C56"/>
    <w:rsid w:val="00330701"/>
    <w:rsid w:val="003315A1"/>
    <w:rsid w:val="00332E0B"/>
    <w:rsid w:val="003332C8"/>
    <w:rsid w:val="00335492"/>
    <w:rsid w:val="003373EC"/>
    <w:rsid w:val="00342FF4"/>
    <w:rsid w:val="00345BAE"/>
    <w:rsid w:val="00346148"/>
    <w:rsid w:val="00347E2C"/>
    <w:rsid w:val="003517E1"/>
    <w:rsid w:val="00353BA5"/>
    <w:rsid w:val="00354E1D"/>
    <w:rsid w:val="00361A25"/>
    <w:rsid w:val="003669EA"/>
    <w:rsid w:val="003706CC"/>
    <w:rsid w:val="00377710"/>
    <w:rsid w:val="003831E1"/>
    <w:rsid w:val="00393A8A"/>
    <w:rsid w:val="003A2D8E"/>
    <w:rsid w:val="003A7CE6"/>
    <w:rsid w:val="003C20E4"/>
    <w:rsid w:val="003C294A"/>
    <w:rsid w:val="003C4E04"/>
    <w:rsid w:val="003D4B68"/>
    <w:rsid w:val="003D5DBF"/>
    <w:rsid w:val="003D6342"/>
    <w:rsid w:val="003D7410"/>
    <w:rsid w:val="003E6EE0"/>
    <w:rsid w:val="003E6F90"/>
    <w:rsid w:val="003E73ED"/>
    <w:rsid w:val="003F2A73"/>
    <w:rsid w:val="003F5D0F"/>
    <w:rsid w:val="00412CDC"/>
    <w:rsid w:val="00414101"/>
    <w:rsid w:val="00414B92"/>
    <w:rsid w:val="004219CF"/>
    <w:rsid w:val="004234F0"/>
    <w:rsid w:val="00425CF0"/>
    <w:rsid w:val="0043195F"/>
    <w:rsid w:val="0043222B"/>
    <w:rsid w:val="00433C08"/>
    <w:rsid w:val="00433DDB"/>
    <w:rsid w:val="00435A29"/>
    <w:rsid w:val="00437619"/>
    <w:rsid w:val="004516C6"/>
    <w:rsid w:val="00461629"/>
    <w:rsid w:val="00465A1E"/>
    <w:rsid w:val="00486AC4"/>
    <w:rsid w:val="00495F30"/>
    <w:rsid w:val="004A0EAE"/>
    <w:rsid w:val="004A2A63"/>
    <w:rsid w:val="004A59E6"/>
    <w:rsid w:val="004B0435"/>
    <w:rsid w:val="004B210C"/>
    <w:rsid w:val="004D405F"/>
    <w:rsid w:val="004E4CAC"/>
    <w:rsid w:val="004E4F4F"/>
    <w:rsid w:val="004E6789"/>
    <w:rsid w:val="004E7F8D"/>
    <w:rsid w:val="004F3763"/>
    <w:rsid w:val="004F61E3"/>
    <w:rsid w:val="00502E10"/>
    <w:rsid w:val="0051015C"/>
    <w:rsid w:val="005130D0"/>
    <w:rsid w:val="00516AAF"/>
    <w:rsid w:val="00516CF1"/>
    <w:rsid w:val="00522F18"/>
    <w:rsid w:val="005249B0"/>
    <w:rsid w:val="00525884"/>
    <w:rsid w:val="00531AE9"/>
    <w:rsid w:val="005379D0"/>
    <w:rsid w:val="00550A66"/>
    <w:rsid w:val="005575CE"/>
    <w:rsid w:val="00567EC7"/>
    <w:rsid w:val="00570013"/>
    <w:rsid w:val="005755A9"/>
    <w:rsid w:val="005801A2"/>
    <w:rsid w:val="0058131C"/>
    <w:rsid w:val="00594B74"/>
    <w:rsid w:val="005952A5"/>
    <w:rsid w:val="005A097C"/>
    <w:rsid w:val="005A33A1"/>
    <w:rsid w:val="005B0C9B"/>
    <w:rsid w:val="005B217D"/>
    <w:rsid w:val="005B4527"/>
    <w:rsid w:val="005C1D23"/>
    <w:rsid w:val="005C385F"/>
    <w:rsid w:val="005D4109"/>
    <w:rsid w:val="005D45C8"/>
    <w:rsid w:val="005E1AC6"/>
    <w:rsid w:val="005E1EB7"/>
    <w:rsid w:val="005F4EC1"/>
    <w:rsid w:val="005F6F1B"/>
    <w:rsid w:val="00611DB8"/>
    <w:rsid w:val="00615995"/>
    <w:rsid w:val="00615DF9"/>
    <w:rsid w:val="00616155"/>
    <w:rsid w:val="00624B33"/>
    <w:rsid w:val="00625105"/>
    <w:rsid w:val="0063041A"/>
    <w:rsid w:val="00630AA2"/>
    <w:rsid w:val="00632678"/>
    <w:rsid w:val="00640FA0"/>
    <w:rsid w:val="00646707"/>
    <w:rsid w:val="00657F7E"/>
    <w:rsid w:val="00662E58"/>
    <w:rsid w:val="00663170"/>
    <w:rsid w:val="006637F2"/>
    <w:rsid w:val="006642A5"/>
    <w:rsid w:val="00664DCF"/>
    <w:rsid w:val="00670C20"/>
    <w:rsid w:val="00675DF8"/>
    <w:rsid w:val="0067658F"/>
    <w:rsid w:val="00677811"/>
    <w:rsid w:val="0068741C"/>
    <w:rsid w:val="00693381"/>
    <w:rsid w:val="00695817"/>
    <w:rsid w:val="006A2CFC"/>
    <w:rsid w:val="006A43B2"/>
    <w:rsid w:val="006B6D19"/>
    <w:rsid w:val="006C0A14"/>
    <w:rsid w:val="006C1403"/>
    <w:rsid w:val="006C5D39"/>
    <w:rsid w:val="006C7447"/>
    <w:rsid w:val="006D6D9B"/>
    <w:rsid w:val="006E2810"/>
    <w:rsid w:val="006E5417"/>
    <w:rsid w:val="006F0794"/>
    <w:rsid w:val="00701632"/>
    <w:rsid w:val="007023DE"/>
    <w:rsid w:val="00707A10"/>
    <w:rsid w:val="00712F60"/>
    <w:rsid w:val="00713BDD"/>
    <w:rsid w:val="00720E3B"/>
    <w:rsid w:val="00734DF5"/>
    <w:rsid w:val="00736B10"/>
    <w:rsid w:val="0074393F"/>
    <w:rsid w:val="00745F6B"/>
    <w:rsid w:val="0075220E"/>
    <w:rsid w:val="00753B94"/>
    <w:rsid w:val="00754930"/>
    <w:rsid w:val="0075585E"/>
    <w:rsid w:val="00770571"/>
    <w:rsid w:val="007768FF"/>
    <w:rsid w:val="007824D3"/>
    <w:rsid w:val="0078338F"/>
    <w:rsid w:val="007833CA"/>
    <w:rsid w:val="0078587F"/>
    <w:rsid w:val="00785E4B"/>
    <w:rsid w:val="00786770"/>
    <w:rsid w:val="00790239"/>
    <w:rsid w:val="0079211A"/>
    <w:rsid w:val="00796EE3"/>
    <w:rsid w:val="007A118D"/>
    <w:rsid w:val="007A2419"/>
    <w:rsid w:val="007A7D29"/>
    <w:rsid w:val="007B4AB8"/>
    <w:rsid w:val="007B5B60"/>
    <w:rsid w:val="007C5A1F"/>
    <w:rsid w:val="007C6C45"/>
    <w:rsid w:val="007C74FC"/>
    <w:rsid w:val="007D1181"/>
    <w:rsid w:val="007D4BEE"/>
    <w:rsid w:val="007D552E"/>
    <w:rsid w:val="007E01A3"/>
    <w:rsid w:val="007F1F8B"/>
    <w:rsid w:val="007F67A1"/>
    <w:rsid w:val="007F6D84"/>
    <w:rsid w:val="00811C05"/>
    <w:rsid w:val="0081437A"/>
    <w:rsid w:val="00815948"/>
    <w:rsid w:val="008206C8"/>
    <w:rsid w:val="00850BA1"/>
    <w:rsid w:val="008543FC"/>
    <w:rsid w:val="00860A4A"/>
    <w:rsid w:val="0086387C"/>
    <w:rsid w:val="00867AB3"/>
    <w:rsid w:val="00870E53"/>
    <w:rsid w:val="00872D30"/>
    <w:rsid w:val="008749CA"/>
    <w:rsid w:val="00874A6C"/>
    <w:rsid w:val="00875030"/>
    <w:rsid w:val="00876C65"/>
    <w:rsid w:val="008771F8"/>
    <w:rsid w:val="00883CE5"/>
    <w:rsid w:val="00884097"/>
    <w:rsid w:val="008A4B4C"/>
    <w:rsid w:val="008B3A04"/>
    <w:rsid w:val="008B5727"/>
    <w:rsid w:val="008C2011"/>
    <w:rsid w:val="008C239F"/>
    <w:rsid w:val="008D13F8"/>
    <w:rsid w:val="008D22B9"/>
    <w:rsid w:val="008E480C"/>
    <w:rsid w:val="008F5CB3"/>
    <w:rsid w:val="008F721E"/>
    <w:rsid w:val="00907757"/>
    <w:rsid w:val="009212B0"/>
    <w:rsid w:val="00921FA1"/>
    <w:rsid w:val="009234A5"/>
    <w:rsid w:val="009302B8"/>
    <w:rsid w:val="00933453"/>
    <w:rsid w:val="009336F7"/>
    <w:rsid w:val="0093636C"/>
    <w:rsid w:val="009374A7"/>
    <w:rsid w:val="009535D3"/>
    <w:rsid w:val="00955F6D"/>
    <w:rsid w:val="0096431D"/>
    <w:rsid w:val="00977C16"/>
    <w:rsid w:val="00977F11"/>
    <w:rsid w:val="00984326"/>
    <w:rsid w:val="0098551D"/>
    <w:rsid w:val="009943ED"/>
    <w:rsid w:val="0099518F"/>
    <w:rsid w:val="009A12E9"/>
    <w:rsid w:val="009A523D"/>
    <w:rsid w:val="009A7682"/>
    <w:rsid w:val="009B02A1"/>
    <w:rsid w:val="009D0CC3"/>
    <w:rsid w:val="009D7CE6"/>
    <w:rsid w:val="009E046C"/>
    <w:rsid w:val="009E288D"/>
    <w:rsid w:val="009E6760"/>
    <w:rsid w:val="009F002F"/>
    <w:rsid w:val="009F496B"/>
    <w:rsid w:val="00A00487"/>
    <w:rsid w:val="00A01439"/>
    <w:rsid w:val="00A02E61"/>
    <w:rsid w:val="00A059BB"/>
    <w:rsid w:val="00A05CFF"/>
    <w:rsid w:val="00A078F2"/>
    <w:rsid w:val="00A11A4E"/>
    <w:rsid w:val="00A13048"/>
    <w:rsid w:val="00A217CD"/>
    <w:rsid w:val="00A22232"/>
    <w:rsid w:val="00A46843"/>
    <w:rsid w:val="00A52EB6"/>
    <w:rsid w:val="00A56B97"/>
    <w:rsid w:val="00A6093D"/>
    <w:rsid w:val="00A74A6F"/>
    <w:rsid w:val="00A767DC"/>
    <w:rsid w:val="00A76A6D"/>
    <w:rsid w:val="00A83253"/>
    <w:rsid w:val="00A8526E"/>
    <w:rsid w:val="00A869F7"/>
    <w:rsid w:val="00A914EF"/>
    <w:rsid w:val="00A941B6"/>
    <w:rsid w:val="00A94931"/>
    <w:rsid w:val="00AA179C"/>
    <w:rsid w:val="00AA6BB2"/>
    <w:rsid w:val="00AA6E84"/>
    <w:rsid w:val="00AB04BB"/>
    <w:rsid w:val="00AB09CE"/>
    <w:rsid w:val="00AB1A1C"/>
    <w:rsid w:val="00AD05A8"/>
    <w:rsid w:val="00AD6765"/>
    <w:rsid w:val="00AE341B"/>
    <w:rsid w:val="00AF2225"/>
    <w:rsid w:val="00B01905"/>
    <w:rsid w:val="00B07CA7"/>
    <w:rsid w:val="00B1279A"/>
    <w:rsid w:val="00B20ECD"/>
    <w:rsid w:val="00B21944"/>
    <w:rsid w:val="00B235FE"/>
    <w:rsid w:val="00B23CC4"/>
    <w:rsid w:val="00B33EE9"/>
    <w:rsid w:val="00B4194A"/>
    <w:rsid w:val="00B437E8"/>
    <w:rsid w:val="00B5058D"/>
    <w:rsid w:val="00B5222E"/>
    <w:rsid w:val="00B53179"/>
    <w:rsid w:val="00B57A23"/>
    <w:rsid w:val="00B600CD"/>
    <w:rsid w:val="00B61C96"/>
    <w:rsid w:val="00B664A9"/>
    <w:rsid w:val="00B67C32"/>
    <w:rsid w:val="00B67FC6"/>
    <w:rsid w:val="00B73A2A"/>
    <w:rsid w:val="00B75A51"/>
    <w:rsid w:val="00B81DA8"/>
    <w:rsid w:val="00B827C6"/>
    <w:rsid w:val="00B865D6"/>
    <w:rsid w:val="00B87334"/>
    <w:rsid w:val="00B91707"/>
    <w:rsid w:val="00B94261"/>
    <w:rsid w:val="00B94581"/>
    <w:rsid w:val="00B94B06"/>
    <w:rsid w:val="00B94C28"/>
    <w:rsid w:val="00BC10BA"/>
    <w:rsid w:val="00BC5AFD"/>
    <w:rsid w:val="00BC776A"/>
    <w:rsid w:val="00BF3BCE"/>
    <w:rsid w:val="00C00DDE"/>
    <w:rsid w:val="00C04F43"/>
    <w:rsid w:val="00C05E08"/>
    <w:rsid w:val="00C0609D"/>
    <w:rsid w:val="00C115AB"/>
    <w:rsid w:val="00C128BC"/>
    <w:rsid w:val="00C24AD4"/>
    <w:rsid w:val="00C26CCB"/>
    <w:rsid w:val="00C30249"/>
    <w:rsid w:val="00C32F6D"/>
    <w:rsid w:val="00C3723B"/>
    <w:rsid w:val="00C41B57"/>
    <w:rsid w:val="00C41E02"/>
    <w:rsid w:val="00C42466"/>
    <w:rsid w:val="00C50C41"/>
    <w:rsid w:val="00C5330E"/>
    <w:rsid w:val="00C56DD6"/>
    <w:rsid w:val="00C606C9"/>
    <w:rsid w:val="00C622CA"/>
    <w:rsid w:val="00C766C5"/>
    <w:rsid w:val="00C80288"/>
    <w:rsid w:val="00C804D3"/>
    <w:rsid w:val="00C84003"/>
    <w:rsid w:val="00C90650"/>
    <w:rsid w:val="00C90EB1"/>
    <w:rsid w:val="00C91AA8"/>
    <w:rsid w:val="00C97D78"/>
    <w:rsid w:val="00CB7239"/>
    <w:rsid w:val="00CC0E7F"/>
    <w:rsid w:val="00CC2AAE"/>
    <w:rsid w:val="00CC5A42"/>
    <w:rsid w:val="00CD0C41"/>
    <w:rsid w:val="00CD0EAB"/>
    <w:rsid w:val="00CD7A32"/>
    <w:rsid w:val="00CE4851"/>
    <w:rsid w:val="00CE5E02"/>
    <w:rsid w:val="00CF34DB"/>
    <w:rsid w:val="00CF558F"/>
    <w:rsid w:val="00CF7F92"/>
    <w:rsid w:val="00D010C0"/>
    <w:rsid w:val="00D04566"/>
    <w:rsid w:val="00D073E2"/>
    <w:rsid w:val="00D12951"/>
    <w:rsid w:val="00D15CC6"/>
    <w:rsid w:val="00D20637"/>
    <w:rsid w:val="00D23F37"/>
    <w:rsid w:val="00D253C3"/>
    <w:rsid w:val="00D446EC"/>
    <w:rsid w:val="00D51BF0"/>
    <w:rsid w:val="00D531DB"/>
    <w:rsid w:val="00D54D01"/>
    <w:rsid w:val="00D55942"/>
    <w:rsid w:val="00D57574"/>
    <w:rsid w:val="00D640AF"/>
    <w:rsid w:val="00D6590B"/>
    <w:rsid w:val="00D67863"/>
    <w:rsid w:val="00D720E2"/>
    <w:rsid w:val="00D726B1"/>
    <w:rsid w:val="00D807BF"/>
    <w:rsid w:val="00D82FCC"/>
    <w:rsid w:val="00D927AA"/>
    <w:rsid w:val="00D94B12"/>
    <w:rsid w:val="00DA17FC"/>
    <w:rsid w:val="00DA7887"/>
    <w:rsid w:val="00DB2C26"/>
    <w:rsid w:val="00DB4163"/>
    <w:rsid w:val="00DB5AC8"/>
    <w:rsid w:val="00DC548B"/>
    <w:rsid w:val="00DD02F4"/>
    <w:rsid w:val="00DD6622"/>
    <w:rsid w:val="00DE1C7C"/>
    <w:rsid w:val="00DE6B43"/>
    <w:rsid w:val="00DE6D6D"/>
    <w:rsid w:val="00DF24AE"/>
    <w:rsid w:val="00DF2B24"/>
    <w:rsid w:val="00DF3636"/>
    <w:rsid w:val="00E01C0D"/>
    <w:rsid w:val="00E03111"/>
    <w:rsid w:val="00E103A0"/>
    <w:rsid w:val="00E10B88"/>
    <w:rsid w:val="00E11923"/>
    <w:rsid w:val="00E12D5E"/>
    <w:rsid w:val="00E14C00"/>
    <w:rsid w:val="00E262D4"/>
    <w:rsid w:val="00E36250"/>
    <w:rsid w:val="00E441AE"/>
    <w:rsid w:val="00E47F2D"/>
    <w:rsid w:val="00E54511"/>
    <w:rsid w:val="00E57B07"/>
    <w:rsid w:val="00E61268"/>
    <w:rsid w:val="00E61DAC"/>
    <w:rsid w:val="00E6303E"/>
    <w:rsid w:val="00E67651"/>
    <w:rsid w:val="00E71997"/>
    <w:rsid w:val="00E72B80"/>
    <w:rsid w:val="00E74692"/>
    <w:rsid w:val="00E75FE3"/>
    <w:rsid w:val="00E80009"/>
    <w:rsid w:val="00E86C4C"/>
    <w:rsid w:val="00E907A3"/>
    <w:rsid w:val="00EA5AE0"/>
    <w:rsid w:val="00EB56E1"/>
    <w:rsid w:val="00EB7AB1"/>
    <w:rsid w:val="00EC02CA"/>
    <w:rsid w:val="00EC14CA"/>
    <w:rsid w:val="00EC43B1"/>
    <w:rsid w:val="00ED0655"/>
    <w:rsid w:val="00ED113F"/>
    <w:rsid w:val="00ED3797"/>
    <w:rsid w:val="00ED39BF"/>
    <w:rsid w:val="00EE0A53"/>
    <w:rsid w:val="00EE7CD8"/>
    <w:rsid w:val="00EF0D34"/>
    <w:rsid w:val="00EF33D4"/>
    <w:rsid w:val="00EF48CC"/>
    <w:rsid w:val="00EF60C5"/>
    <w:rsid w:val="00EF79D9"/>
    <w:rsid w:val="00F00801"/>
    <w:rsid w:val="00F12BA0"/>
    <w:rsid w:val="00F208AF"/>
    <w:rsid w:val="00F2488D"/>
    <w:rsid w:val="00F32157"/>
    <w:rsid w:val="00F41564"/>
    <w:rsid w:val="00F50C0F"/>
    <w:rsid w:val="00F57050"/>
    <w:rsid w:val="00F601A0"/>
    <w:rsid w:val="00F712E9"/>
    <w:rsid w:val="00F72EB3"/>
    <w:rsid w:val="00F73032"/>
    <w:rsid w:val="00F747F8"/>
    <w:rsid w:val="00F848FC"/>
    <w:rsid w:val="00F85BCE"/>
    <w:rsid w:val="00F906F6"/>
    <w:rsid w:val="00F9282A"/>
    <w:rsid w:val="00F9439C"/>
    <w:rsid w:val="00F96BAD"/>
    <w:rsid w:val="00F96C4A"/>
    <w:rsid w:val="00FA050C"/>
    <w:rsid w:val="00FA139D"/>
    <w:rsid w:val="00FA537C"/>
    <w:rsid w:val="00FB018B"/>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860A4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styleId="CommentReference">
    <w:name w:val="annotation reference"/>
    <w:rsid w:val="0043195F"/>
    <w:rPr>
      <w:sz w:val="16"/>
      <w:szCs w:val="16"/>
    </w:rPr>
  </w:style>
  <w:style w:type="paragraph" w:styleId="CommentText">
    <w:name w:val="annotation text"/>
    <w:basedOn w:val="Normal"/>
    <w:link w:val="CommentTextChar"/>
    <w:rsid w:val="0043195F"/>
    <w:rPr>
      <w:sz w:val="20"/>
    </w:rPr>
  </w:style>
  <w:style w:type="character" w:customStyle="1" w:styleId="CommentTextChar">
    <w:name w:val="Comment Text Char"/>
    <w:basedOn w:val="DefaultParagraphFont"/>
    <w:link w:val="CommentText"/>
    <w:rsid w:val="0043195F"/>
  </w:style>
  <w:style w:type="paragraph" w:styleId="CommentSubject">
    <w:name w:val="annotation subject"/>
    <w:basedOn w:val="CommentText"/>
    <w:next w:val="CommentText"/>
    <w:link w:val="CommentSubjectChar"/>
    <w:rsid w:val="0043195F"/>
    <w:rPr>
      <w:b/>
      <w:bCs/>
    </w:rPr>
  </w:style>
  <w:style w:type="character" w:customStyle="1" w:styleId="CommentSubjectChar">
    <w:name w:val="Comment Subject Char"/>
    <w:link w:val="CommentSubject"/>
    <w:rsid w:val="0043195F"/>
    <w:rPr>
      <w:b/>
      <w:bCs/>
    </w:rPr>
  </w:style>
  <w:style w:type="table" w:styleId="TableGrid">
    <w:name w:val="Table Grid"/>
    <w:basedOn w:val="TableNormal"/>
    <w:uiPriority w:val="59"/>
    <w:rsid w:val="00332E0B"/>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12964">
      <w:bodyDiv w:val="1"/>
      <w:marLeft w:val="0"/>
      <w:marRight w:val="0"/>
      <w:marTop w:val="0"/>
      <w:marBottom w:val="0"/>
      <w:divBdr>
        <w:top w:val="none" w:sz="0" w:space="0" w:color="auto"/>
        <w:left w:val="none" w:sz="0" w:space="0" w:color="auto"/>
        <w:bottom w:val="none" w:sz="0" w:space="0" w:color="auto"/>
        <w:right w:val="none" w:sz="0" w:space="0" w:color="auto"/>
      </w:divBdr>
    </w:div>
    <w:div w:id="73354663">
      <w:bodyDiv w:val="1"/>
      <w:marLeft w:val="0"/>
      <w:marRight w:val="0"/>
      <w:marTop w:val="0"/>
      <w:marBottom w:val="0"/>
      <w:divBdr>
        <w:top w:val="none" w:sz="0" w:space="0" w:color="auto"/>
        <w:left w:val="none" w:sz="0" w:space="0" w:color="auto"/>
        <w:bottom w:val="none" w:sz="0" w:space="0" w:color="auto"/>
        <w:right w:val="none" w:sz="0" w:space="0" w:color="auto"/>
      </w:divBdr>
    </w:div>
    <w:div w:id="149374403">
      <w:bodyDiv w:val="1"/>
      <w:marLeft w:val="0"/>
      <w:marRight w:val="0"/>
      <w:marTop w:val="0"/>
      <w:marBottom w:val="0"/>
      <w:divBdr>
        <w:top w:val="none" w:sz="0" w:space="0" w:color="auto"/>
        <w:left w:val="none" w:sz="0" w:space="0" w:color="auto"/>
        <w:bottom w:val="none" w:sz="0" w:space="0" w:color="auto"/>
        <w:right w:val="none" w:sz="0" w:space="0" w:color="auto"/>
      </w:divBdr>
    </w:div>
    <w:div w:id="156266808">
      <w:bodyDiv w:val="1"/>
      <w:marLeft w:val="0"/>
      <w:marRight w:val="0"/>
      <w:marTop w:val="0"/>
      <w:marBottom w:val="0"/>
      <w:divBdr>
        <w:top w:val="none" w:sz="0" w:space="0" w:color="auto"/>
        <w:left w:val="none" w:sz="0" w:space="0" w:color="auto"/>
        <w:bottom w:val="none" w:sz="0" w:space="0" w:color="auto"/>
        <w:right w:val="none" w:sz="0" w:space="0" w:color="auto"/>
      </w:divBdr>
    </w:div>
    <w:div w:id="212738691">
      <w:bodyDiv w:val="1"/>
      <w:marLeft w:val="0"/>
      <w:marRight w:val="0"/>
      <w:marTop w:val="0"/>
      <w:marBottom w:val="0"/>
      <w:divBdr>
        <w:top w:val="none" w:sz="0" w:space="0" w:color="auto"/>
        <w:left w:val="none" w:sz="0" w:space="0" w:color="auto"/>
        <w:bottom w:val="none" w:sz="0" w:space="0" w:color="auto"/>
        <w:right w:val="none" w:sz="0" w:space="0" w:color="auto"/>
      </w:divBdr>
    </w:div>
    <w:div w:id="263389614">
      <w:bodyDiv w:val="1"/>
      <w:marLeft w:val="0"/>
      <w:marRight w:val="0"/>
      <w:marTop w:val="0"/>
      <w:marBottom w:val="0"/>
      <w:divBdr>
        <w:top w:val="none" w:sz="0" w:space="0" w:color="auto"/>
        <w:left w:val="none" w:sz="0" w:space="0" w:color="auto"/>
        <w:bottom w:val="none" w:sz="0" w:space="0" w:color="auto"/>
        <w:right w:val="none" w:sz="0" w:space="0" w:color="auto"/>
      </w:divBdr>
    </w:div>
    <w:div w:id="273635633">
      <w:bodyDiv w:val="1"/>
      <w:marLeft w:val="0"/>
      <w:marRight w:val="0"/>
      <w:marTop w:val="0"/>
      <w:marBottom w:val="0"/>
      <w:divBdr>
        <w:top w:val="none" w:sz="0" w:space="0" w:color="auto"/>
        <w:left w:val="none" w:sz="0" w:space="0" w:color="auto"/>
        <w:bottom w:val="none" w:sz="0" w:space="0" w:color="auto"/>
        <w:right w:val="none" w:sz="0" w:space="0" w:color="auto"/>
      </w:divBdr>
    </w:div>
    <w:div w:id="302077817">
      <w:bodyDiv w:val="1"/>
      <w:marLeft w:val="0"/>
      <w:marRight w:val="0"/>
      <w:marTop w:val="0"/>
      <w:marBottom w:val="0"/>
      <w:divBdr>
        <w:top w:val="none" w:sz="0" w:space="0" w:color="auto"/>
        <w:left w:val="none" w:sz="0" w:space="0" w:color="auto"/>
        <w:bottom w:val="none" w:sz="0" w:space="0" w:color="auto"/>
        <w:right w:val="none" w:sz="0" w:space="0" w:color="auto"/>
      </w:divBdr>
    </w:div>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09470501">
      <w:bodyDiv w:val="1"/>
      <w:marLeft w:val="0"/>
      <w:marRight w:val="0"/>
      <w:marTop w:val="0"/>
      <w:marBottom w:val="0"/>
      <w:divBdr>
        <w:top w:val="none" w:sz="0" w:space="0" w:color="auto"/>
        <w:left w:val="none" w:sz="0" w:space="0" w:color="auto"/>
        <w:bottom w:val="none" w:sz="0" w:space="0" w:color="auto"/>
        <w:right w:val="none" w:sz="0" w:space="0" w:color="auto"/>
      </w:divBdr>
    </w:div>
    <w:div w:id="427047052">
      <w:bodyDiv w:val="1"/>
      <w:marLeft w:val="0"/>
      <w:marRight w:val="0"/>
      <w:marTop w:val="0"/>
      <w:marBottom w:val="0"/>
      <w:divBdr>
        <w:top w:val="none" w:sz="0" w:space="0" w:color="auto"/>
        <w:left w:val="none" w:sz="0" w:space="0" w:color="auto"/>
        <w:bottom w:val="none" w:sz="0" w:space="0" w:color="auto"/>
        <w:right w:val="none" w:sz="0" w:space="0" w:color="auto"/>
      </w:divBdr>
    </w:div>
    <w:div w:id="482165544">
      <w:bodyDiv w:val="1"/>
      <w:marLeft w:val="0"/>
      <w:marRight w:val="0"/>
      <w:marTop w:val="0"/>
      <w:marBottom w:val="0"/>
      <w:divBdr>
        <w:top w:val="none" w:sz="0" w:space="0" w:color="auto"/>
        <w:left w:val="none" w:sz="0" w:space="0" w:color="auto"/>
        <w:bottom w:val="none" w:sz="0" w:space="0" w:color="auto"/>
        <w:right w:val="none" w:sz="0" w:space="0" w:color="auto"/>
      </w:divBdr>
    </w:div>
    <w:div w:id="497503895">
      <w:bodyDiv w:val="1"/>
      <w:marLeft w:val="0"/>
      <w:marRight w:val="0"/>
      <w:marTop w:val="0"/>
      <w:marBottom w:val="0"/>
      <w:divBdr>
        <w:top w:val="none" w:sz="0" w:space="0" w:color="auto"/>
        <w:left w:val="none" w:sz="0" w:space="0" w:color="auto"/>
        <w:bottom w:val="none" w:sz="0" w:space="0" w:color="auto"/>
        <w:right w:val="none" w:sz="0" w:space="0" w:color="auto"/>
      </w:divBdr>
    </w:div>
    <w:div w:id="515536805">
      <w:bodyDiv w:val="1"/>
      <w:marLeft w:val="0"/>
      <w:marRight w:val="0"/>
      <w:marTop w:val="0"/>
      <w:marBottom w:val="0"/>
      <w:divBdr>
        <w:top w:val="none" w:sz="0" w:space="0" w:color="auto"/>
        <w:left w:val="none" w:sz="0" w:space="0" w:color="auto"/>
        <w:bottom w:val="none" w:sz="0" w:space="0" w:color="auto"/>
        <w:right w:val="none" w:sz="0" w:space="0" w:color="auto"/>
      </w:divBdr>
    </w:div>
    <w:div w:id="584875804">
      <w:bodyDiv w:val="1"/>
      <w:marLeft w:val="0"/>
      <w:marRight w:val="0"/>
      <w:marTop w:val="0"/>
      <w:marBottom w:val="0"/>
      <w:divBdr>
        <w:top w:val="none" w:sz="0" w:space="0" w:color="auto"/>
        <w:left w:val="none" w:sz="0" w:space="0" w:color="auto"/>
        <w:bottom w:val="none" w:sz="0" w:space="0" w:color="auto"/>
        <w:right w:val="none" w:sz="0" w:space="0" w:color="auto"/>
      </w:divBdr>
    </w:div>
    <w:div w:id="600456454">
      <w:bodyDiv w:val="1"/>
      <w:marLeft w:val="0"/>
      <w:marRight w:val="0"/>
      <w:marTop w:val="0"/>
      <w:marBottom w:val="0"/>
      <w:divBdr>
        <w:top w:val="none" w:sz="0" w:space="0" w:color="auto"/>
        <w:left w:val="none" w:sz="0" w:space="0" w:color="auto"/>
        <w:bottom w:val="none" w:sz="0" w:space="0" w:color="auto"/>
        <w:right w:val="none" w:sz="0" w:space="0" w:color="auto"/>
      </w:divBdr>
    </w:div>
    <w:div w:id="625354004">
      <w:bodyDiv w:val="1"/>
      <w:marLeft w:val="0"/>
      <w:marRight w:val="0"/>
      <w:marTop w:val="0"/>
      <w:marBottom w:val="0"/>
      <w:divBdr>
        <w:top w:val="none" w:sz="0" w:space="0" w:color="auto"/>
        <w:left w:val="none" w:sz="0" w:space="0" w:color="auto"/>
        <w:bottom w:val="none" w:sz="0" w:space="0" w:color="auto"/>
        <w:right w:val="none" w:sz="0" w:space="0" w:color="auto"/>
      </w:divBdr>
    </w:div>
    <w:div w:id="651449722">
      <w:bodyDiv w:val="1"/>
      <w:marLeft w:val="0"/>
      <w:marRight w:val="0"/>
      <w:marTop w:val="0"/>
      <w:marBottom w:val="0"/>
      <w:divBdr>
        <w:top w:val="none" w:sz="0" w:space="0" w:color="auto"/>
        <w:left w:val="none" w:sz="0" w:space="0" w:color="auto"/>
        <w:bottom w:val="none" w:sz="0" w:space="0" w:color="auto"/>
        <w:right w:val="none" w:sz="0" w:space="0" w:color="auto"/>
      </w:divBdr>
    </w:div>
    <w:div w:id="806317459">
      <w:bodyDiv w:val="1"/>
      <w:marLeft w:val="0"/>
      <w:marRight w:val="0"/>
      <w:marTop w:val="0"/>
      <w:marBottom w:val="0"/>
      <w:divBdr>
        <w:top w:val="none" w:sz="0" w:space="0" w:color="auto"/>
        <w:left w:val="none" w:sz="0" w:space="0" w:color="auto"/>
        <w:bottom w:val="none" w:sz="0" w:space="0" w:color="auto"/>
        <w:right w:val="none" w:sz="0" w:space="0" w:color="auto"/>
      </w:divBdr>
    </w:div>
    <w:div w:id="879437884">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942571076">
      <w:bodyDiv w:val="1"/>
      <w:marLeft w:val="0"/>
      <w:marRight w:val="0"/>
      <w:marTop w:val="0"/>
      <w:marBottom w:val="0"/>
      <w:divBdr>
        <w:top w:val="none" w:sz="0" w:space="0" w:color="auto"/>
        <w:left w:val="none" w:sz="0" w:space="0" w:color="auto"/>
        <w:bottom w:val="none" w:sz="0" w:space="0" w:color="auto"/>
        <w:right w:val="none" w:sz="0" w:space="0" w:color="auto"/>
      </w:divBdr>
    </w:div>
    <w:div w:id="953099942">
      <w:bodyDiv w:val="1"/>
      <w:marLeft w:val="0"/>
      <w:marRight w:val="0"/>
      <w:marTop w:val="0"/>
      <w:marBottom w:val="0"/>
      <w:divBdr>
        <w:top w:val="none" w:sz="0" w:space="0" w:color="auto"/>
        <w:left w:val="none" w:sz="0" w:space="0" w:color="auto"/>
        <w:bottom w:val="none" w:sz="0" w:space="0" w:color="auto"/>
        <w:right w:val="none" w:sz="0" w:space="0" w:color="auto"/>
      </w:divBdr>
    </w:div>
    <w:div w:id="1011955115">
      <w:bodyDiv w:val="1"/>
      <w:marLeft w:val="0"/>
      <w:marRight w:val="0"/>
      <w:marTop w:val="0"/>
      <w:marBottom w:val="0"/>
      <w:divBdr>
        <w:top w:val="none" w:sz="0" w:space="0" w:color="auto"/>
        <w:left w:val="none" w:sz="0" w:space="0" w:color="auto"/>
        <w:bottom w:val="none" w:sz="0" w:space="0" w:color="auto"/>
        <w:right w:val="none" w:sz="0" w:space="0" w:color="auto"/>
      </w:divBdr>
    </w:div>
    <w:div w:id="1061977586">
      <w:bodyDiv w:val="1"/>
      <w:marLeft w:val="0"/>
      <w:marRight w:val="0"/>
      <w:marTop w:val="0"/>
      <w:marBottom w:val="0"/>
      <w:divBdr>
        <w:top w:val="none" w:sz="0" w:space="0" w:color="auto"/>
        <w:left w:val="none" w:sz="0" w:space="0" w:color="auto"/>
        <w:bottom w:val="none" w:sz="0" w:space="0" w:color="auto"/>
        <w:right w:val="none" w:sz="0" w:space="0" w:color="auto"/>
      </w:divBdr>
    </w:div>
    <w:div w:id="1077559807">
      <w:bodyDiv w:val="1"/>
      <w:marLeft w:val="0"/>
      <w:marRight w:val="0"/>
      <w:marTop w:val="0"/>
      <w:marBottom w:val="0"/>
      <w:divBdr>
        <w:top w:val="none" w:sz="0" w:space="0" w:color="auto"/>
        <w:left w:val="none" w:sz="0" w:space="0" w:color="auto"/>
        <w:bottom w:val="none" w:sz="0" w:space="0" w:color="auto"/>
        <w:right w:val="none" w:sz="0" w:space="0" w:color="auto"/>
      </w:divBdr>
    </w:div>
    <w:div w:id="1238395896">
      <w:bodyDiv w:val="1"/>
      <w:marLeft w:val="0"/>
      <w:marRight w:val="0"/>
      <w:marTop w:val="0"/>
      <w:marBottom w:val="0"/>
      <w:divBdr>
        <w:top w:val="none" w:sz="0" w:space="0" w:color="auto"/>
        <w:left w:val="none" w:sz="0" w:space="0" w:color="auto"/>
        <w:bottom w:val="none" w:sz="0" w:space="0" w:color="auto"/>
        <w:right w:val="none" w:sz="0" w:space="0" w:color="auto"/>
      </w:divBdr>
    </w:div>
    <w:div w:id="1279334902">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377661334">
      <w:bodyDiv w:val="1"/>
      <w:marLeft w:val="0"/>
      <w:marRight w:val="0"/>
      <w:marTop w:val="0"/>
      <w:marBottom w:val="0"/>
      <w:divBdr>
        <w:top w:val="none" w:sz="0" w:space="0" w:color="auto"/>
        <w:left w:val="none" w:sz="0" w:space="0" w:color="auto"/>
        <w:bottom w:val="none" w:sz="0" w:space="0" w:color="auto"/>
        <w:right w:val="none" w:sz="0" w:space="0" w:color="auto"/>
      </w:divBdr>
    </w:div>
    <w:div w:id="1429109356">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482186489">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6853259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714842880">
      <w:bodyDiv w:val="1"/>
      <w:marLeft w:val="0"/>
      <w:marRight w:val="0"/>
      <w:marTop w:val="0"/>
      <w:marBottom w:val="0"/>
      <w:divBdr>
        <w:top w:val="none" w:sz="0" w:space="0" w:color="auto"/>
        <w:left w:val="none" w:sz="0" w:space="0" w:color="auto"/>
        <w:bottom w:val="none" w:sz="0" w:space="0" w:color="auto"/>
        <w:right w:val="none" w:sz="0" w:space="0" w:color="auto"/>
      </w:divBdr>
    </w:div>
    <w:div w:id="1751778135">
      <w:bodyDiv w:val="1"/>
      <w:marLeft w:val="0"/>
      <w:marRight w:val="0"/>
      <w:marTop w:val="0"/>
      <w:marBottom w:val="0"/>
      <w:divBdr>
        <w:top w:val="none" w:sz="0" w:space="0" w:color="auto"/>
        <w:left w:val="none" w:sz="0" w:space="0" w:color="auto"/>
        <w:bottom w:val="none" w:sz="0" w:space="0" w:color="auto"/>
        <w:right w:val="none" w:sz="0" w:space="0" w:color="auto"/>
      </w:divBdr>
    </w:div>
    <w:div w:id="1843473882">
      <w:bodyDiv w:val="1"/>
      <w:marLeft w:val="0"/>
      <w:marRight w:val="0"/>
      <w:marTop w:val="0"/>
      <w:marBottom w:val="0"/>
      <w:divBdr>
        <w:top w:val="none" w:sz="0" w:space="0" w:color="auto"/>
        <w:left w:val="none" w:sz="0" w:space="0" w:color="auto"/>
        <w:bottom w:val="none" w:sz="0" w:space="0" w:color="auto"/>
        <w:right w:val="none" w:sz="0" w:space="0" w:color="auto"/>
      </w:divBdr>
    </w:div>
    <w:div w:id="1853643849">
      <w:bodyDiv w:val="1"/>
      <w:marLeft w:val="0"/>
      <w:marRight w:val="0"/>
      <w:marTop w:val="0"/>
      <w:marBottom w:val="0"/>
      <w:divBdr>
        <w:top w:val="none" w:sz="0" w:space="0" w:color="auto"/>
        <w:left w:val="none" w:sz="0" w:space="0" w:color="auto"/>
        <w:bottom w:val="none" w:sz="0" w:space="0" w:color="auto"/>
        <w:right w:val="none" w:sz="0" w:space="0" w:color="auto"/>
      </w:divBdr>
    </w:div>
    <w:div w:id="1869414898">
      <w:bodyDiv w:val="1"/>
      <w:marLeft w:val="0"/>
      <w:marRight w:val="0"/>
      <w:marTop w:val="0"/>
      <w:marBottom w:val="0"/>
      <w:divBdr>
        <w:top w:val="none" w:sz="0" w:space="0" w:color="auto"/>
        <w:left w:val="none" w:sz="0" w:space="0" w:color="auto"/>
        <w:bottom w:val="none" w:sz="0" w:space="0" w:color="auto"/>
        <w:right w:val="none" w:sz="0" w:space="0" w:color="auto"/>
      </w:divBdr>
    </w:div>
    <w:div w:id="1905486396">
      <w:bodyDiv w:val="1"/>
      <w:marLeft w:val="0"/>
      <w:marRight w:val="0"/>
      <w:marTop w:val="0"/>
      <w:marBottom w:val="0"/>
      <w:divBdr>
        <w:top w:val="none" w:sz="0" w:space="0" w:color="auto"/>
        <w:left w:val="none" w:sz="0" w:space="0" w:color="auto"/>
        <w:bottom w:val="none" w:sz="0" w:space="0" w:color="auto"/>
        <w:right w:val="none" w:sz="0" w:space="0" w:color="auto"/>
      </w:divBdr>
    </w:div>
    <w:div w:id="1906185794">
      <w:bodyDiv w:val="1"/>
      <w:marLeft w:val="0"/>
      <w:marRight w:val="0"/>
      <w:marTop w:val="0"/>
      <w:marBottom w:val="0"/>
      <w:divBdr>
        <w:top w:val="none" w:sz="0" w:space="0" w:color="auto"/>
        <w:left w:val="none" w:sz="0" w:space="0" w:color="auto"/>
        <w:bottom w:val="none" w:sz="0" w:space="0" w:color="auto"/>
        <w:right w:val="none" w:sz="0" w:space="0" w:color="auto"/>
      </w:divBdr>
    </w:div>
    <w:div w:id="2026393914">
      <w:bodyDiv w:val="1"/>
      <w:marLeft w:val="0"/>
      <w:marRight w:val="0"/>
      <w:marTop w:val="0"/>
      <w:marBottom w:val="0"/>
      <w:divBdr>
        <w:top w:val="none" w:sz="0" w:space="0" w:color="auto"/>
        <w:left w:val="none" w:sz="0" w:space="0" w:color="auto"/>
        <w:bottom w:val="none" w:sz="0" w:space="0" w:color="auto"/>
        <w:right w:val="none" w:sz="0" w:space="0" w:color="auto"/>
      </w:divBdr>
    </w:div>
    <w:div w:id="2030718389">
      <w:bodyDiv w:val="1"/>
      <w:marLeft w:val="0"/>
      <w:marRight w:val="0"/>
      <w:marTop w:val="0"/>
      <w:marBottom w:val="0"/>
      <w:divBdr>
        <w:top w:val="none" w:sz="0" w:space="0" w:color="auto"/>
        <w:left w:val="none" w:sz="0" w:space="0" w:color="auto"/>
        <w:bottom w:val="none" w:sz="0" w:space="0" w:color="auto"/>
        <w:right w:val="none" w:sz="0" w:space="0" w:color="auto"/>
      </w:divBdr>
    </w:div>
    <w:div w:id="2092970082">
      <w:bodyDiv w:val="1"/>
      <w:marLeft w:val="0"/>
      <w:marRight w:val="0"/>
      <w:marTop w:val="0"/>
      <w:marBottom w:val="0"/>
      <w:divBdr>
        <w:top w:val="none" w:sz="0" w:space="0" w:color="auto"/>
        <w:left w:val="none" w:sz="0" w:space="0" w:color="auto"/>
        <w:bottom w:val="none" w:sz="0" w:space="0" w:color="auto"/>
        <w:right w:val="none" w:sz="0" w:space="0" w:color="auto"/>
      </w:divBdr>
    </w:div>
    <w:div w:id="21018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21820-C1EB-4518-9DB4-F85CAAC5E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Pages>
  <Words>1240</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116</cp:revision>
  <cp:lastPrinted>1900-01-01T08:00:00Z</cp:lastPrinted>
  <dcterms:created xsi:type="dcterms:W3CDTF">2018-06-30T05:26:00Z</dcterms:created>
  <dcterms:modified xsi:type="dcterms:W3CDTF">2018-07-03T03:52:00Z</dcterms:modified>
</cp:coreProperties>
</file>