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0C73F113" w:rsidR="006C5D39" w:rsidRPr="005B217D" w:rsidRDefault="00757FD3"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5B84B07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E3E96"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4C04811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1607A32C">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7541D37F" w:rsidR="008A4B4C" w:rsidRPr="005B217D" w:rsidRDefault="00E61DAC" w:rsidP="005331F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5331F4">
              <w:rPr>
                <w:lang w:val="en-CA"/>
              </w:rPr>
              <w:t>0300</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59A6391E" w:rsidR="00E61DAC" w:rsidRPr="005B217D" w:rsidRDefault="00E23B83" w:rsidP="00E23B83">
            <w:pPr>
              <w:spacing w:before="60" w:after="60"/>
              <w:rPr>
                <w:b/>
                <w:szCs w:val="22"/>
                <w:lang w:val="en-CA"/>
              </w:rPr>
            </w:pPr>
            <w:r>
              <w:rPr>
                <w:b/>
                <w:szCs w:val="22"/>
                <w:lang w:val="en-CA"/>
              </w:rPr>
              <w:t>Design goals for tiles</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614EE62" w:rsidR="00E61DAC" w:rsidRPr="005B217D" w:rsidRDefault="0013458C" w:rsidP="00E23B83">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52A5913F" w:rsidR="00E61DAC" w:rsidRPr="005B217D" w:rsidRDefault="00E61DAC" w:rsidP="00E23B83">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0BD276AD" w:rsidR="00E61DAC" w:rsidRPr="005B217D" w:rsidRDefault="00E23B83" w:rsidP="00E23B83">
            <w:pPr>
              <w:spacing w:before="60" w:after="60"/>
              <w:rPr>
                <w:szCs w:val="22"/>
                <w:lang w:val="en-CA"/>
              </w:rPr>
            </w:pPr>
            <w:r>
              <w:rPr>
                <w:szCs w:val="22"/>
                <w:lang w:val="en-CA"/>
              </w:rPr>
              <w:t>Miska M. Hannuksela, Alireza Zare, Maryam Homayouni, Ramin Ghaznavi-Youvalari, Alireza Aminlou</w:t>
            </w:r>
            <w:r w:rsidR="00E61DAC" w:rsidRPr="005B217D">
              <w:rPr>
                <w:szCs w:val="22"/>
                <w:lang w:val="en-CA"/>
              </w:rPr>
              <w:br/>
            </w:r>
            <w:r>
              <w:rPr>
                <w:szCs w:val="22"/>
                <w:lang w:val="en-CA"/>
              </w:rPr>
              <w:t>Nokia Technologies, Tampere, Finland</w:t>
            </w:r>
          </w:p>
        </w:tc>
        <w:tc>
          <w:tcPr>
            <w:tcW w:w="900" w:type="dxa"/>
          </w:tcPr>
          <w:p w14:paraId="0140ECA2" w14:textId="1754C864" w:rsidR="00E61DAC" w:rsidRPr="005B217D" w:rsidRDefault="00E61DAC" w:rsidP="00E23B83">
            <w:pPr>
              <w:spacing w:before="60" w:after="60"/>
              <w:rPr>
                <w:szCs w:val="22"/>
                <w:lang w:val="en-CA"/>
              </w:rPr>
            </w:pPr>
            <w:r w:rsidRPr="005B217D">
              <w:rPr>
                <w:szCs w:val="22"/>
                <w:lang w:val="en-CA"/>
              </w:rPr>
              <w:br/>
            </w:r>
            <w:r w:rsidRPr="005B217D">
              <w:rPr>
                <w:szCs w:val="22"/>
                <w:lang w:val="en-CA"/>
              </w:rPr>
              <w:br/>
              <w:t>Email:</w:t>
            </w:r>
          </w:p>
        </w:tc>
        <w:tc>
          <w:tcPr>
            <w:tcW w:w="3168" w:type="dxa"/>
          </w:tcPr>
          <w:p w14:paraId="32C2ABFD" w14:textId="2A9854CF" w:rsidR="00E61DAC" w:rsidRPr="005B217D" w:rsidRDefault="00E61DAC" w:rsidP="00E23B83">
            <w:pPr>
              <w:spacing w:before="60" w:after="60"/>
              <w:rPr>
                <w:szCs w:val="22"/>
                <w:lang w:val="en-CA"/>
              </w:rPr>
            </w:pPr>
            <w:r w:rsidRPr="005B217D">
              <w:rPr>
                <w:szCs w:val="22"/>
                <w:lang w:val="en-CA"/>
              </w:rPr>
              <w:br/>
            </w:r>
            <w:r w:rsidRPr="005B217D">
              <w:rPr>
                <w:szCs w:val="22"/>
                <w:lang w:val="en-CA"/>
              </w:rPr>
              <w:br/>
            </w:r>
            <w:r w:rsidR="00E23B83">
              <w:rPr>
                <w:szCs w:val="22"/>
                <w:lang w:val="en-CA"/>
              </w:rPr>
              <w:t>miska.hannuksela@nokia.com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1C9240B7" w:rsidR="00E61DAC" w:rsidRPr="005B217D" w:rsidRDefault="00E23B83">
            <w:pPr>
              <w:spacing w:before="60" w:after="60"/>
              <w:rPr>
                <w:szCs w:val="22"/>
                <w:lang w:val="en-CA"/>
              </w:rPr>
            </w:pPr>
            <w:r>
              <w:rPr>
                <w:szCs w:val="22"/>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785E6981" w:rsidR="00263398" w:rsidRDefault="00572816" w:rsidP="009234A5">
      <w:pPr>
        <w:rPr>
          <w:szCs w:val="22"/>
          <w:lang w:val="en-CA"/>
        </w:rPr>
      </w:pPr>
      <w:r>
        <w:rPr>
          <w:szCs w:val="22"/>
          <w:lang w:val="en-CA"/>
        </w:rPr>
        <w:t>This contribution proposes that the VVC tile design should enable</w:t>
      </w:r>
    </w:p>
    <w:p w14:paraId="3A94274B" w14:textId="43D3686D" w:rsidR="00572816" w:rsidRDefault="00572816" w:rsidP="00572816">
      <w:pPr>
        <w:pStyle w:val="ListParagraph"/>
        <w:numPr>
          <w:ilvl w:val="0"/>
          <w:numId w:val="20"/>
        </w:numPr>
        <w:rPr>
          <w:szCs w:val="22"/>
          <w:lang w:val="en-CA"/>
        </w:rPr>
      </w:pPr>
      <w:r>
        <w:rPr>
          <w:szCs w:val="22"/>
          <w:lang w:val="en-CA"/>
        </w:rPr>
        <w:t>Encoding of motion-constrained tile sets (MCTSs) that are more efficient than HEVC MCTSs in terms of rate-distortion penalty;</w:t>
      </w:r>
    </w:p>
    <w:p w14:paraId="01458C3A" w14:textId="319CF381" w:rsidR="00572816" w:rsidRDefault="00572816" w:rsidP="00572816">
      <w:pPr>
        <w:pStyle w:val="ListParagraph"/>
        <w:numPr>
          <w:ilvl w:val="0"/>
          <w:numId w:val="20"/>
        </w:numPr>
        <w:rPr>
          <w:szCs w:val="22"/>
          <w:lang w:val="en-CA"/>
        </w:rPr>
      </w:pPr>
      <w:r>
        <w:rPr>
          <w:szCs w:val="22"/>
          <w:lang w:val="en-CA"/>
        </w:rPr>
        <w:t>Avoiding visible MCTS boundaries with as small processing cost as possible;</w:t>
      </w:r>
    </w:p>
    <w:p w14:paraId="32B63328" w14:textId="7ED824A7" w:rsidR="00572816" w:rsidRDefault="00572816" w:rsidP="00572816">
      <w:pPr>
        <w:pStyle w:val="ListParagraph"/>
        <w:numPr>
          <w:ilvl w:val="0"/>
          <w:numId w:val="20"/>
        </w:numPr>
        <w:rPr>
          <w:szCs w:val="22"/>
          <w:lang w:val="en-CA"/>
        </w:rPr>
      </w:pPr>
      <w:r>
        <w:rPr>
          <w:szCs w:val="22"/>
          <w:lang w:val="en-CA"/>
        </w:rPr>
        <w:t>Intra block copy across tiles for enabling prediction from one constituent frame to another for frame-packed stereoscopic video, provided that intra block copy is adopted as a tool in VVC;</w:t>
      </w:r>
    </w:p>
    <w:p w14:paraId="550708F5" w14:textId="043C2A72" w:rsidR="00572816" w:rsidRPr="00572816" w:rsidRDefault="00572816" w:rsidP="00572816">
      <w:pPr>
        <w:pStyle w:val="ListParagraph"/>
        <w:numPr>
          <w:ilvl w:val="0"/>
          <w:numId w:val="20"/>
        </w:numPr>
        <w:rPr>
          <w:szCs w:val="22"/>
          <w:lang w:val="en-CA"/>
        </w:rPr>
      </w:pPr>
      <w:r>
        <w:rPr>
          <w:szCs w:val="22"/>
          <w:lang w:val="en-CA"/>
        </w:rPr>
        <w:t>Extracting VCL NAL units of a subset of MCTSs from one VVC bitstream and reposition them to another VVC bitstream without VCL NAL unit modifications.</w:t>
      </w:r>
    </w:p>
    <w:p w14:paraId="6D103B5C" w14:textId="048BEAE3" w:rsidR="00572816" w:rsidRDefault="00572816" w:rsidP="009234A5">
      <w:pPr>
        <w:rPr>
          <w:szCs w:val="22"/>
          <w:lang w:val="en-CA"/>
        </w:rPr>
      </w:pPr>
      <w:r>
        <w:rPr>
          <w:szCs w:val="22"/>
          <w:lang w:val="en-CA"/>
        </w:rPr>
        <w:t>The proposed design goals are asserted to make VVC tiles suited for viewport-dependent 360° streaming.</w:t>
      </w:r>
    </w:p>
    <w:p w14:paraId="22C23195" w14:textId="0EF4F008" w:rsidR="00572816" w:rsidRPr="005B217D" w:rsidRDefault="00572816" w:rsidP="009234A5">
      <w:pPr>
        <w:rPr>
          <w:szCs w:val="22"/>
          <w:lang w:val="en-CA"/>
        </w:rPr>
      </w:pPr>
      <w:r>
        <w:rPr>
          <w:szCs w:val="22"/>
          <w:lang w:val="en-CA"/>
        </w:rPr>
        <w:t>The design goals are proposed to be used in evaluating merits of technical contributions and to be included as mandates of an appropriate JVET ad-hoc group.</w:t>
      </w:r>
    </w:p>
    <w:p w14:paraId="7D2AC1F0" w14:textId="7954C18D" w:rsidR="00745F6B" w:rsidRPr="005B217D" w:rsidRDefault="00E23B83" w:rsidP="00E11923">
      <w:pPr>
        <w:pStyle w:val="Heading1"/>
        <w:rPr>
          <w:lang w:val="en-CA"/>
        </w:rPr>
      </w:pPr>
      <w:r>
        <w:rPr>
          <w:lang w:val="en-CA"/>
        </w:rPr>
        <w:t>Introduction</w:t>
      </w:r>
    </w:p>
    <w:p w14:paraId="1493266B" w14:textId="2370F4EB" w:rsidR="000A0177" w:rsidRDefault="000A0177" w:rsidP="000A0177">
      <w:pPr>
        <w:rPr>
          <w:szCs w:val="22"/>
          <w:lang w:val="en-CA"/>
        </w:rPr>
      </w:pPr>
      <w:r>
        <w:rPr>
          <w:szCs w:val="22"/>
          <w:lang w:val="en-CA"/>
        </w:rPr>
        <w:t xml:space="preserve">Section 5.17 of MPEG N17074 </w:t>
      </w:r>
      <w:r w:rsidR="007D2805">
        <w:rPr>
          <w:szCs w:val="22"/>
          <w:lang w:val="en-CA"/>
        </w:rPr>
        <w:fldChar w:fldCharType="begin"/>
      </w:r>
      <w:r w:rsidR="007D2805">
        <w:rPr>
          <w:szCs w:val="22"/>
          <w:lang w:val="en-CA"/>
        </w:rPr>
        <w:instrText xml:space="preserve"> REF _Ref518338778 \r \h </w:instrText>
      </w:r>
      <w:r w:rsidR="007D2805">
        <w:rPr>
          <w:szCs w:val="22"/>
          <w:lang w:val="en-CA"/>
        </w:rPr>
      </w:r>
      <w:r w:rsidR="007D2805">
        <w:rPr>
          <w:szCs w:val="22"/>
          <w:lang w:val="en-CA"/>
        </w:rPr>
        <w:fldChar w:fldCharType="separate"/>
      </w:r>
      <w:r w:rsidR="007D2805">
        <w:rPr>
          <w:szCs w:val="22"/>
          <w:lang w:val="en-CA"/>
        </w:rPr>
        <w:t>[1]</w:t>
      </w:r>
      <w:r w:rsidR="007D2805">
        <w:rPr>
          <w:szCs w:val="22"/>
          <w:lang w:val="en-CA"/>
        </w:rPr>
        <w:fldChar w:fldCharType="end"/>
      </w:r>
      <w:r w:rsidR="007D2805">
        <w:rPr>
          <w:szCs w:val="22"/>
          <w:lang w:val="en-CA"/>
        </w:rPr>
        <w:t xml:space="preserve"> </w:t>
      </w:r>
      <w:r>
        <w:rPr>
          <w:szCs w:val="22"/>
          <w:lang w:val="en-CA"/>
        </w:rPr>
        <w:t>includes the following future video coding requirements for omnidirectional video and projections:</w:t>
      </w:r>
    </w:p>
    <w:p w14:paraId="6C358300" w14:textId="022693D7" w:rsidR="000A0177" w:rsidRPr="00DF6012" w:rsidRDefault="000A0177" w:rsidP="000A0177">
      <w:pPr>
        <w:numPr>
          <w:ilvl w:val="0"/>
          <w:numId w:val="18"/>
        </w:numPr>
        <w:rPr>
          <w:i/>
          <w:szCs w:val="22"/>
          <w:lang w:val="en-GB"/>
        </w:rPr>
      </w:pPr>
      <w:r w:rsidRPr="00DF6012">
        <w:rPr>
          <w:szCs w:val="22"/>
          <w:lang w:val="en-GB"/>
        </w:rPr>
        <w:t>The next-generation video codec shall efficiently code monoscopic and stereoscopic content captured using one or more lenses and the combined result   mapped using non-uniform projections to one or two rectangles, respectively.</w:t>
      </w:r>
      <w:r w:rsidRPr="00DF6012">
        <w:rPr>
          <w:szCs w:val="22"/>
          <w:lang w:val="en-GB"/>
        </w:rPr>
        <w:br/>
      </w:r>
      <w:r w:rsidRPr="00DF6012">
        <w:rPr>
          <w:i/>
          <w:szCs w:val="22"/>
          <w:lang w:val="en-GB"/>
        </w:rPr>
        <w:t>Example: Good compression efficiency shall be achieved using wide field-of-view lenses, and equirectangular panoramas.</w:t>
      </w:r>
    </w:p>
    <w:p w14:paraId="5BEF96AD" w14:textId="77777777" w:rsidR="000A0177" w:rsidRPr="00DF6012" w:rsidRDefault="000A0177" w:rsidP="000A0177">
      <w:pPr>
        <w:numPr>
          <w:ilvl w:val="0"/>
          <w:numId w:val="18"/>
        </w:numPr>
        <w:rPr>
          <w:i/>
          <w:szCs w:val="22"/>
          <w:lang w:val="en-GB"/>
        </w:rPr>
      </w:pPr>
      <w:r w:rsidRPr="00DF6012">
        <w:rPr>
          <w:szCs w:val="22"/>
          <w:lang w:val="en-GB"/>
        </w:rPr>
        <w:t>The next-generation video codec should enable efficient extraction of a desired viewport from the compressed bit stream</w:t>
      </w:r>
      <w:r w:rsidRPr="00DF6012">
        <w:rPr>
          <w:i/>
          <w:szCs w:val="22"/>
          <w:lang w:val="en-GB"/>
        </w:rPr>
        <w:t>.</w:t>
      </w:r>
      <w:r w:rsidRPr="00DF6012">
        <w:rPr>
          <w:i/>
          <w:szCs w:val="22"/>
          <w:lang w:val="en-GB"/>
        </w:rPr>
        <w:br/>
        <w:t xml:space="preserve">Example: An extracted viewport should have the substantially same coding efficiency as this perspective coded on its own. </w:t>
      </w:r>
    </w:p>
    <w:p w14:paraId="11745879" w14:textId="77777777" w:rsidR="000A0177" w:rsidRPr="00DF6012" w:rsidRDefault="000A0177" w:rsidP="000A0177">
      <w:pPr>
        <w:numPr>
          <w:ilvl w:val="0"/>
          <w:numId w:val="18"/>
        </w:numPr>
        <w:rPr>
          <w:i/>
          <w:szCs w:val="22"/>
          <w:lang w:val="en-GB"/>
        </w:rPr>
      </w:pPr>
      <w:r w:rsidRPr="00DF6012">
        <w:rPr>
          <w:szCs w:val="22"/>
          <w:lang w:val="en-GB"/>
        </w:rPr>
        <w:t>The next-generation video codec should enable inclusion of parameters in the bitstream related to any correction due to optics or pre-processing, which may be useful to the rendering device in order to accurately reproduce the scene.</w:t>
      </w:r>
    </w:p>
    <w:p w14:paraId="7FD6DCDF" w14:textId="77777777" w:rsidR="00572816" w:rsidRDefault="000A0177" w:rsidP="004234F0">
      <w:pPr>
        <w:rPr>
          <w:szCs w:val="22"/>
          <w:lang w:val="en-CA"/>
        </w:rPr>
      </w:pPr>
      <w:r>
        <w:rPr>
          <w:szCs w:val="22"/>
          <w:lang w:val="en-CA"/>
        </w:rPr>
        <w:t xml:space="preserve">This contribution proposes design goals for the VVC tile design that would reportedly make VVC suitable for tile-based viewport-dependent 360° video streaming. The design goals could be regarded as refinements of the above-quoted requirements. </w:t>
      </w:r>
    </w:p>
    <w:p w14:paraId="3772C378" w14:textId="25132946" w:rsidR="000A0177" w:rsidRDefault="000A0177" w:rsidP="004234F0">
      <w:pPr>
        <w:rPr>
          <w:szCs w:val="22"/>
          <w:lang w:val="en-CA"/>
        </w:rPr>
      </w:pPr>
      <w:r>
        <w:rPr>
          <w:szCs w:val="22"/>
          <w:lang w:val="en-CA"/>
        </w:rPr>
        <w:t xml:space="preserve">The design goals are proposed to be </w:t>
      </w:r>
      <w:r w:rsidR="00572816">
        <w:rPr>
          <w:szCs w:val="22"/>
          <w:lang w:val="en-CA"/>
        </w:rPr>
        <w:t>used in evaluating merits of technical contributions and to be included as mandates of an appropriate JVET ad-hoc group.</w:t>
      </w:r>
    </w:p>
    <w:p w14:paraId="094B37DD" w14:textId="221FA1CD" w:rsidR="000A0177" w:rsidRDefault="000A0177" w:rsidP="00572816">
      <w:pPr>
        <w:keepNext/>
        <w:rPr>
          <w:szCs w:val="22"/>
          <w:lang w:val="en-CA"/>
        </w:rPr>
      </w:pPr>
      <w:r>
        <w:rPr>
          <w:szCs w:val="22"/>
          <w:lang w:val="en-CA"/>
        </w:rPr>
        <w:lastRenderedPageBreak/>
        <w:t>The contribution is organized as follows:</w:t>
      </w:r>
    </w:p>
    <w:p w14:paraId="23252C8B" w14:textId="334E78A0" w:rsidR="00A03AD3" w:rsidRPr="000A0177" w:rsidRDefault="00E23B83" w:rsidP="000A0177">
      <w:pPr>
        <w:pStyle w:val="ListParagraph"/>
        <w:numPr>
          <w:ilvl w:val="0"/>
          <w:numId w:val="19"/>
        </w:numPr>
        <w:rPr>
          <w:szCs w:val="22"/>
          <w:lang w:val="en-CA"/>
        </w:rPr>
      </w:pPr>
      <w:r w:rsidRPr="000A0177">
        <w:rPr>
          <w:szCs w:val="22"/>
          <w:lang w:val="en-CA"/>
        </w:rPr>
        <w:t xml:space="preserve">Section </w:t>
      </w:r>
      <w:r w:rsidR="00A03AD3" w:rsidRPr="000A0177">
        <w:rPr>
          <w:szCs w:val="22"/>
          <w:lang w:val="en-CA"/>
        </w:rPr>
        <w:fldChar w:fldCharType="begin"/>
      </w:r>
      <w:r w:rsidR="00A03AD3" w:rsidRPr="000A0177">
        <w:rPr>
          <w:szCs w:val="22"/>
          <w:lang w:val="en-CA"/>
        </w:rPr>
        <w:instrText xml:space="preserve"> REF _Ref518334555 \r \h </w:instrText>
      </w:r>
      <w:r w:rsidR="00A03AD3">
        <w:rPr>
          <w:lang w:val="en-CA"/>
        </w:rPr>
      </w:r>
      <w:r w:rsidR="00A03AD3" w:rsidRPr="000A0177">
        <w:rPr>
          <w:szCs w:val="22"/>
          <w:lang w:val="en-CA"/>
        </w:rPr>
        <w:fldChar w:fldCharType="separate"/>
      </w:r>
      <w:r w:rsidR="007D2805">
        <w:rPr>
          <w:szCs w:val="22"/>
          <w:lang w:val="en-CA"/>
        </w:rPr>
        <w:t>2</w:t>
      </w:r>
      <w:r w:rsidR="00A03AD3" w:rsidRPr="000A0177">
        <w:rPr>
          <w:szCs w:val="22"/>
          <w:lang w:val="en-CA"/>
        </w:rPr>
        <w:fldChar w:fldCharType="end"/>
      </w:r>
      <w:r w:rsidR="00A03AD3" w:rsidRPr="000A0177">
        <w:rPr>
          <w:szCs w:val="22"/>
          <w:lang w:val="en-CA"/>
        </w:rPr>
        <w:t xml:space="preserve"> of t</w:t>
      </w:r>
      <w:r w:rsidRPr="000A0177">
        <w:rPr>
          <w:szCs w:val="22"/>
          <w:lang w:val="en-CA"/>
        </w:rPr>
        <w:t>his contribution reviews approaches for tile-based viewport-dependent 360°</w:t>
      </w:r>
      <w:r w:rsidR="00A03AD3" w:rsidRPr="000A0177">
        <w:rPr>
          <w:szCs w:val="22"/>
          <w:lang w:val="en-CA"/>
        </w:rPr>
        <w:t xml:space="preserve"> HEVC video streaming. </w:t>
      </w:r>
    </w:p>
    <w:p w14:paraId="6C5F0B19" w14:textId="1BF2CC0F" w:rsidR="00E61DAC" w:rsidRDefault="00A03AD3" w:rsidP="000A0177">
      <w:pPr>
        <w:pStyle w:val="ListParagraph"/>
        <w:numPr>
          <w:ilvl w:val="0"/>
          <w:numId w:val="19"/>
        </w:numPr>
        <w:rPr>
          <w:szCs w:val="22"/>
          <w:lang w:val="en-CA"/>
        </w:rPr>
      </w:pPr>
      <w:r w:rsidRPr="000A0177">
        <w:rPr>
          <w:szCs w:val="22"/>
          <w:lang w:val="en-CA"/>
        </w:rPr>
        <w:t xml:space="preserve">Section </w:t>
      </w:r>
      <w:r w:rsidRPr="000A0177">
        <w:rPr>
          <w:szCs w:val="22"/>
          <w:lang w:val="en-CA"/>
        </w:rPr>
        <w:fldChar w:fldCharType="begin"/>
      </w:r>
      <w:r w:rsidRPr="000A0177">
        <w:rPr>
          <w:szCs w:val="22"/>
          <w:lang w:val="en-CA"/>
        </w:rPr>
        <w:instrText xml:space="preserve"> REF _Ref518334691 \r \h </w:instrText>
      </w:r>
      <w:r>
        <w:rPr>
          <w:lang w:val="en-CA"/>
        </w:rPr>
      </w:r>
      <w:r w:rsidRPr="000A0177">
        <w:rPr>
          <w:szCs w:val="22"/>
          <w:lang w:val="en-CA"/>
        </w:rPr>
        <w:fldChar w:fldCharType="separate"/>
      </w:r>
      <w:r w:rsidR="007D2805">
        <w:rPr>
          <w:szCs w:val="22"/>
          <w:lang w:val="en-CA"/>
        </w:rPr>
        <w:t>3</w:t>
      </w:r>
      <w:r w:rsidRPr="000A0177">
        <w:rPr>
          <w:szCs w:val="22"/>
          <w:lang w:val="en-CA"/>
        </w:rPr>
        <w:fldChar w:fldCharType="end"/>
      </w:r>
      <w:r w:rsidRPr="000A0177">
        <w:rPr>
          <w:szCs w:val="22"/>
          <w:lang w:val="en-CA"/>
        </w:rPr>
        <w:t xml:space="preserve"> describes why the HEVC tile design is asserted to be sub-optimal for viewport-dependent streaming and a design goal for making the VVC tile design better suited for viewport-dependent streaming. </w:t>
      </w:r>
    </w:p>
    <w:p w14:paraId="02FB3A5A" w14:textId="24BDC6C8" w:rsidR="000A0177" w:rsidRPr="000A0177" w:rsidRDefault="000A0177" w:rsidP="000A0177">
      <w:pPr>
        <w:pStyle w:val="ListParagraph"/>
        <w:numPr>
          <w:ilvl w:val="0"/>
          <w:numId w:val="19"/>
        </w:numPr>
        <w:rPr>
          <w:szCs w:val="22"/>
          <w:lang w:val="en-CA"/>
        </w:rPr>
      </w:pPr>
      <w:r>
        <w:rPr>
          <w:szCs w:val="22"/>
          <w:lang w:val="en-CA"/>
        </w:rPr>
        <w:t xml:space="preserve">Sections </w:t>
      </w:r>
      <w:r>
        <w:rPr>
          <w:szCs w:val="22"/>
          <w:lang w:val="en-CA"/>
        </w:rPr>
        <w:fldChar w:fldCharType="begin"/>
      </w:r>
      <w:r>
        <w:rPr>
          <w:szCs w:val="22"/>
          <w:lang w:val="en-CA"/>
        </w:rPr>
        <w:instrText xml:space="preserve"> REF _Ref518337405 \r \h </w:instrText>
      </w:r>
      <w:r>
        <w:rPr>
          <w:szCs w:val="22"/>
          <w:lang w:val="en-CA"/>
        </w:rPr>
      </w:r>
      <w:r>
        <w:rPr>
          <w:szCs w:val="22"/>
          <w:lang w:val="en-CA"/>
        </w:rPr>
        <w:fldChar w:fldCharType="separate"/>
      </w:r>
      <w:r w:rsidR="007D2805">
        <w:rPr>
          <w:szCs w:val="22"/>
          <w:lang w:val="en-CA"/>
        </w:rPr>
        <w:t>4</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_Ref518337407 \r \h </w:instrText>
      </w:r>
      <w:r>
        <w:rPr>
          <w:szCs w:val="22"/>
          <w:lang w:val="en-CA"/>
        </w:rPr>
      </w:r>
      <w:r>
        <w:rPr>
          <w:szCs w:val="22"/>
          <w:lang w:val="en-CA"/>
        </w:rPr>
        <w:fldChar w:fldCharType="separate"/>
      </w:r>
      <w:r w:rsidR="007D2805">
        <w:rPr>
          <w:szCs w:val="22"/>
          <w:lang w:val="en-CA"/>
        </w:rPr>
        <w:t>5</w:t>
      </w:r>
      <w:r>
        <w:rPr>
          <w:szCs w:val="22"/>
          <w:lang w:val="en-CA"/>
        </w:rPr>
        <w:fldChar w:fldCharType="end"/>
      </w:r>
      <w:r>
        <w:rPr>
          <w:szCs w:val="22"/>
          <w:lang w:val="en-CA"/>
        </w:rPr>
        <w:t xml:space="preserve"> provide the references and patent right declaration, respectively.</w:t>
      </w:r>
    </w:p>
    <w:p w14:paraId="2605B09F" w14:textId="574F2A97" w:rsidR="00D62CBB" w:rsidRPr="005B217D" w:rsidRDefault="00AB6609" w:rsidP="00D62CBB">
      <w:pPr>
        <w:pStyle w:val="Heading1"/>
        <w:rPr>
          <w:lang w:val="en-CA"/>
        </w:rPr>
      </w:pPr>
      <w:bookmarkStart w:id="0" w:name="_Ref518334555"/>
      <w:r>
        <w:rPr>
          <w:lang w:val="en-CA"/>
        </w:rPr>
        <w:t>Background: tile-based viewport-dependent 360° video streaming</w:t>
      </w:r>
      <w:bookmarkEnd w:id="0"/>
    </w:p>
    <w:p w14:paraId="5C00CE36" w14:textId="3645A229" w:rsidR="00EF7AE8" w:rsidRDefault="00EF7AE8" w:rsidP="00EF7AE8">
      <w:pPr>
        <w:pStyle w:val="Heading2"/>
      </w:pPr>
      <w:r>
        <w:t>Background: cubemap projection</w:t>
      </w:r>
    </w:p>
    <w:p w14:paraId="507BBE70" w14:textId="797A74A1" w:rsidR="00EF7AE8" w:rsidRPr="00EF7AE8" w:rsidRDefault="00EF7AE8" w:rsidP="00EF7AE8">
      <w:r>
        <w:t>Many examples that are provided below use cubemap projection, which is therefore briefly recapped in this section. In cubemap projection (CMP), 2D pictures comprise cube faces on which the spherical video is projected (</w:t>
      </w:r>
      <w:r>
        <w:fldChar w:fldCharType="begin"/>
      </w:r>
      <w:r>
        <w:instrText xml:space="preserve"> REF _Ref518314042 \h </w:instrText>
      </w:r>
      <w:r>
        <w:fldChar w:fldCharType="separate"/>
      </w:r>
      <w:r w:rsidR="007D2805">
        <w:t xml:space="preserve">Figure </w:t>
      </w:r>
      <w:r w:rsidR="007D2805">
        <w:rPr>
          <w:noProof/>
        </w:rPr>
        <w:t>1</w:t>
      </w:r>
      <w:r>
        <w:fldChar w:fldCharType="end"/>
      </w:r>
      <w:r>
        <w:t xml:space="preserve">a). </w:t>
      </w:r>
      <w:r>
        <w:fldChar w:fldCharType="begin"/>
      </w:r>
      <w:r>
        <w:instrText xml:space="preserve"> REF _Ref518314042 \h </w:instrText>
      </w:r>
      <w:r>
        <w:fldChar w:fldCharType="separate"/>
      </w:r>
      <w:r w:rsidR="007D2805">
        <w:t xml:space="preserve">Figure </w:t>
      </w:r>
      <w:r w:rsidR="007D2805">
        <w:rPr>
          <w:noProof/>
        </w:rPr>
        <w:t>1</w:t>
      </w:r>
      <w:r>
        <w:fldChar w:fldCharType="end"/>
      </w:r>
      <w:r>
        <w:t>b presents the default cube face arrangement.</w:t>
      </w:r>
    </w:p>
    <w:p w14:paraId="509BE503" w14:textId="77777777" w:rsidR="00EF7AE8" w:rsidRDefault="00EF7AE8" w:rsidP="00EF7AE8">
      <w:pPr>
        <w:keepNext/>
        <w:jc w:val="center"/>
        <w:rPr>
          <w:szCs w:val="22"/>
          <w:lang w:val="en-CA"/>
        </w:rPr>
      </w:pPr>
      <w:r>
        <w:rPr>
          <w:noProof/>
          <w:szCs w:val="22"/>
        </w:rPr>
        <w:drawing>
          <wp:inline distT="0" distB="0" distL="0" distR="0" wp14:anchorId="24749444" wp14:editId="2768BD89">
            <wp:extent cx="2487600" cy="2091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87600" cy="2091600"/>
                    </a:xfrm>
                    <a:prstGeom prst="rect">
                      <a:avLst/>
                    </a:prstGeom>
                    <a:noFill/>
                  </pic:spPr>
                </pic:pic>
              </a:graphicData>
            </a:graphic>
          </wp:inline>
        </w:drawing>
      </w:r>
      <w:r>
        <w:rPr>
          <w:szCs w:val="22"/>
          <w:lang w:val="en-CA"/>
        </w:rPr>
        <w:t xml:space="preserve">           </w:t>
      </w:r>
      <w:r>
        <w:rPr>
          <w:noProof/>
          <w:szCs w:val="22"/>
        </w:rPr>
        <w:drawing>
          <wp:inline distT="0" distB="0" distL="0" distR="0" wp14:anchorId="783BF986" wp14:editId="2FE071D5">
            <wp:extent cx="1962000" cy="131760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62000" cy="1317600"/>
                    </a:xfrm>
                    <a:prstGeom prst="rect">
                      <a:avLst/>
                    </a:prstGeom>
                    <a:noFill/>
                  </pic:spPr>
                </pic:pic>
              </a:graphicData>
            </a:graphic>
          </wp:inline>
        </w:drawing>
      </w:r>
    </w:p>
    <w:p w14:paraId="07AD752B" w14:textId="29933F21" w:rsidR="00EF7AE8" w:rsidRDefault="00EF7AE8" w:rsidP="00EF7AE8">
      <w:pPr>
        <w:pStyle w:val="Caption"/>
        <w:jc w:val="center"/>
        <w:rPr>
          <w:lang w:val="en-CA"/>
        </w:rPr>
      </w:pPr>
      <w:bookmarkStart w:id="1" w:name="_Ref518314042"/>
      <w:r>
        <w:t xml:space="preserve">Figure </w:t>
      </w:r>
      <w:r>
        <w:fldChar w:fldCharType="begin"/>
      </w:r>
      <w:r>
        <w:instrText xml:space="preserve"> SEQ Figure \* ARABIC </w:instrText>
      </w:r>
      <w:r>
        <w:fldChar w:fldCharType="separate"/>
      </w:r>
      <w:r w:rsidR="007D2805">
        <w:rPr>
          <w:noProof/>
        </w:rPr>
        <w:t>1</w:t>
      </w:r>
      <w:r>
        <w:rPr>
          <w:noProof/>
        </w:rPr>
        <w:fldChar w:fldCharType="end"/>
      </w:r>
      <w:bookmarkEnd w:id="1"/>
      <w:r w:rsidR="00DC2A0F">
        <w:t>. a) Cubemap projection;</w:t>
      </w:r>
      <w:r w:rsidR="00DC2A0F">
        <w:tab/>
      </w:r>
      <w:r w:rsidR="00DC2A0F">
        <w:tab/>
      </w:r>
      <w:r w:rsidR="00DC2A0F">
        <w:tab/>
      </w:r>
      <w:r>
        <w:t>b) default cube face arrangement.</w:t>
      </w:r>
    </w:p>
    <w:p w14:paraId="25F3CD27" w14:textId="2A0BC55D" w:rsidR="00EF7AE8" w:rsidRDefault="00EF7AE8" w:rsidP="00EF7AE8">
      <w:pPr>
        <w:pStyle w:val="Heading2"/>
      </w:pPr>
      <w:r>
        <w:t>Categorization of tile-based viewport-dependent streaming</w:t>
      </w:r>
    </w:p>
    <w:p w14:paraId="5E4AE1B5" w14:textId="77777777" w:rsidR="00927568" w:rsidRDefault="00927568" w:rsidP="00D62CBB">
      <w:pPr>
        <w:rPr>
          <w:szCs w:val="22"/>
        </w:rPr>
      </w:pPr>
      <w:r>
        <w:rPr>
          <w:szCs w:val="22"/>
        </w:rPr>
        <w:t>V</w:t>
      </w:r>
      <w:r w:rsidRPr="00927568">
        <w:rPr>
          <w:szCs w:val="22"/>
        </w:rPr>
        <w:t xml:space="preserve">iewport-dependent video streaming </w:t>
      </w:r>
      <w:r>
        <w:rPr>
          <w:szCs w:val="22"/>
        </w:rPr>
        <w:t>is asserted to provide the following advantages over viewport-independent video streaming of 360° video:</w:t>
      </w:r>
    </w:p>
    <w:p w14:paraId="403BF235" w14:textId="77777777" w:rsidR="00927568" w:rsidRPr="00927568" w:rsidRDefault="00927568" w:rsidP="00927568">
      <w:pPr>
        <w:pStyle w:val="ListParagraph"/>
        <w:numPr>
          <w:ilvl w:val="0"/>
          <w:numId w:val="13"/>
        </w:numPr>
        <w:rPr>
          <w:szCs w:val="22"/>
          <w:lang w:val="en-CA"/>
        </w:rPr>
      </w:pPr>
      <w:r>
        <w:rPr>
          <w:szCs w:val="22"/>
        </w:rPr>
        <w:t>B</w:t>
      </w:r>
      <w:r w:rsidRPr="00927568">
        <w:rPr>
          <w:szCs w:val="22"/>
        </w:rPr>
        <w:t xml:space="preserve">etter </w:t>
      </w:r>
      <w:r>
        <w:rPr>
          <w:szCs w:val="22"/>
        </w:rPr>
        <w:t>rate-distortion performance, where rate is understood as the streaming bitrate</w:t>
      </w:r>
    </w:p>
    <w:p w14:paraId="24598855" w14:textId="77777777" w:rsidR="00927568" w:rsidRPr="00927568" w:rsidRDefault="00927568" w:rsidP="00927568">
      <w:pPr>
        <w:pStyle w:val="ListParagraph"/>
        <w:numPr>
          <w:ilvl w:val="0"/>
          <w:numId w:val="13"/>
        </w:numPr>
        <w:rPr>
          <w:szCs w:val="22"/>
          <w:lang w:val="en-CA"/>
        </w:rPr>
      </w:pPr>
      <w:r>
        <w:rPr>
          <w:szCs w:val="22"/>
        </w:rPr>
        <w:t>H</w:t>
      </w:r>
      <w:r w:rsidRPr="00927568">
        <w:rPr>
          <w:szCs w:val="22"/>
        </w:rPr>
        <w:t xml:space="preserve">igher effective resolution on the viewport with the same decoding capacity. </w:t>
      </w:r>
    </w:p>
    <w:p w14:paraId="3997C601" w14:textId="7AFD3AB5" w:rsidR="00D62CBB" w:rsidRPr="00927568" w:rsidRDefault="00927568" w:rsidP="00927568">
      <w:pPr>
        <w:rPr>
          <w:szCs w:val="22"/>
          <w:lang w:val="en-CA"/>
        </w:rPr>
      </w:pPr>
      <w:r>
        <w:rPr>
          <w:szCs w:val="22"/>
        </w:rPr>
        <w:t>I</w:t>
      </w:r>
      <w:r w:rsidRPr="00927568">
        <w:rPr>
          <w:szCs w:val="22"/>
        </w:rPr>
        <w:t xml:space="preserve">n tile-based </w:t>
      </w:r>
      <w:r>
        <w:rPr>
          <w:szCs w:val="22"/>
        </w:rPr>
        <w:t xml:space="preserve">viewport-dependent streaming </w:t>
      </w:r>
      <w:r w:rsidRPr="00927568">
        <w:rPr>
          <w:szCs w:val="22"/>
        </w:rPr>
        <w:t xml:space="preserve">approaches, projected pictures are partitioned into tiles </w:t>
      </w:r>
      <w:r w:rsidR="007D2805">
        <w:rPr>
          <w:szCs w:val="22"/>
        </w:rPr>
        <w:t xml:space="preserve">that are </w:t>
      </w:r>
      <w:r>
        <w:rPr>
          <w:szCs w:val="22"/>
        </w:rPr>
        <w:t xml:space="preserve">coded as motion-constrained tile sets (MCTSs). </w:t>
      </w:r>
      <w:r>
        <w:t>Tile-based viewport-adaptive streaming schemes can be categorized as follows</w:t>
      </w:r>
      <w:r w:rsidR="00A927A6">
        <w:t>:</w:t>
      </w:r>
    </w:p>
    <w:p w14:paraId="2C21709C" w14:textId="4D82D822" w:rsidR="006A2D89" w:rsidRPr="00A927A6" w:rsidRDefault="00A927A6" w:rsidP="00A927A6">
      <w:pPr>
        <w:pStyle w:val="ListParagraph"/>
        <w:numPr>
          <w:ilvl w:val="0"/>
          <w:numId w:val="14"/>
        </w:numPr>
        <w:rPr>
          <w:szCs w:val="22"/>
          <w:lang w:val="en-CA"/>
        </w:rPr>
      </w:pPr>
      <w:r w:rsidRPr="009D27F0">
        <w:rPr>
          <w:u w:val="single"/>
        </w:rPr>
        <w:t>Region-wise mixed quality (RWMQ) 360° video</w:t>
      </w:r>
      <w:r>
        <w:t>: Several versions of the content is encoded using MCTSs on the same tile grid, each version with different bitrate and picture quality. Players select on MCTS basis which version is received so that the quality of the MCTSs covering the viewport is higher than that of the other received MCTSs.</w:t>
      </w:r>
    </w:p>
    <w:p w14:paraId="398776A7" w14:textId="77777777" w:rsidR="00A927A6" w:rsidRPr="00A927A6" w:rsidRDefault="00A927A6" w:rsidP="00A927A6">
      <w:pPr>
        <w:pStyle w:val="ListParagraph"/>
        <w:ind w:left="360"/>
        <w:rPr>
          <w:szCs w:val="22"/>
          <w:lang w:val="en-CA"/>
        </w:rPr>
      </w:pPr>
    </w:p>
    <w:p w14:paraId="2FAA7641" w14:textId="3F70AF24" w:rsidR="00A927A6" w:rsidRPr="00A927A6" w:rsidRDefault="00A927A6" w:rsidP="00A927A6">
      <w:pPr>
        <w:pStyle w:val="ListParagraph"/>
        <w:numPr>
          <w:ilvl w:val="0"/>
          <w:numId w:val="14"/>
        </w:numPr>
        <w:rPr>
          <w:szCs w:val="22"/>
          <w:lang w:val="en-CA"/>
        </w:rPr>
      </w:pPr>
      <w:r w:rsidRPr="000930DA">
        <w:rPr>
          <w:u w:val="single"/>
        </w:rPr>
        <w:t>Viewport + 360° video</w:t>
      </w:r>
      <w:r>
        <w:t xml:space="preserve">: MCTSs for a complete low-resolution omnidirectional picture and high-resolution tiles covering the viewport are received. </w:t>
      </w:r>
    </w:p>
    <w:p w14:paraId="4E77DF25" w14:textId="77777777" w:rsidR="00A927A6" w:rsidRPr="00A927A6" w:rsidRDefault="00A927A6" w:rsidP="00A927A6">
      <w:pPr>
        <w:pStyle w:val="ListParagraph"/>
        <w:rPr>
          <w:szCs w:val="22"/>
          <w:lang w:val="en-CA"/>
        </w:rPr>
      </w:pPr>
    </w:p>
    <w:p w14:paraId="5E466AB1" w14:textId="68F61F3F" w:rsidR="00A927A6" w:rsidRPr="00A927A6" w:rsidRDefault="00A927A6" w:rsidP="00A927A6">
      <w:pPr>
        <w:pStyle w:val="ListParagraph"/>
        <w:numPr>
          <w:ilvl w:val="0"/>
          <w:numId w:val="14"/>
        </w:numPr>
        <w:rPr>
          <w:szCs w:val="22"/>
          <w:lang w:val="en-CA"/>
        </w:rPr>
      </w:pPr>
      <w:r w:rsidRPr="009D27F0">
        <w:rPr>
          <w:u w:val="single"/>
        </w:rPr>
        <w:t>Region-wise mixed resolution (RWMR) 360° video</w:t>
      </w:r>
      <w:r>
        <w:t>: Tiles are encoded at multiple resolutions. Players select a combination of high resolution tiles covering the viewport and low-resolution tiles for the remaining areas.</w:t>
      </w:r>
    </w:p>
    <w:p w14:paraId="6445BA84" w14:textId="6AE10C35" w:rsidR="00A927A6" w:rsidRDefault="00EF7AE8" w:rsidP="00EF7AE8">
      <w:pPr>
        <w:pStyle w:val="Heading2"/>
        <w:rPr>
          <w:lang w:val="en-CA"/>
        </w:rPr>
      </w:pPr>
      <w:r>
        <w:rPr>
          <w:lang w:val="en-CA"/>
        </w:rPr>
        <w:t>Example of region-wise mixed quality (RWMQ) 360° video</w:t>
      </w:r>
    </w:p>
    <w:p w14:paraId="569E4763" w14:textId="35C6F100" w:rsidR="00EF7AE8" w:rsidRDefault="00EF7AE8" w:rsidP="00D62CBB">
      <w:r>
        <w:rPr>
          <w:szCs w:val="22"/>
          <w:lang w:val="en-CA"/>
        </w:rPr>
        <w:t>The example is copied from clause D.4.2</w:t>
      </w:r>
      <w:r w:rsidR="00B72855">
        <w:rPr>
          <w:szCs w:val="22"/>
          <w:lang w:val="en-CA"/>
        </w:rPr>
        <w:t xml:space="preserve"> of </w:t>
      </w:r>
      <w:r w:rsidR="00B72855">
        <w:rPr>
          <w:szCs w:val="22"/>
          <w:lang w:val="en-CA"/>
        </w:rPr>
        <w:t>OMAF</w:t>
      </w:r>
      <w:r w:rsidR="00B72855">
        <w:rPr>
          <w:szCs w:val="22"/>
          <w:lang w:val="en-CA"/>
        </w:rPr>
        <w:t xml:space="preserve"> </w:t>
      </w:r>
      <w:r w:rsidR="00B72855">
        <w:rPr>
          <w:szCs w:val="22"/>
          <w:lang w:val="en-CA"/>
        </w:rPr>
        <w:fldChar w:fldCharType="begin"/>
      </w:r>
      <w:r w:rsidR="00B72855">
        <w:rPr>
          <w:szCs w:val="22"/>
          <w:lang w:val="en-CA"/>
        </w:rPr>
        <w:instrText xml:space="preserve"> REF _Ref518339011 \r \h </w:instrText>
      </w:r>
      <w:r w:rsidR="00B72855">
        <w:rPr>
          <w:szCs w:val="22"/>
          <w:lang w:val="en-CA"/>
        </w:rPr>
      </w:r>
      <w:r w:rsidR="00B72855">
        <w:rPr>
          <w:szCs w:val="22"/>
          <w:lang w:val="en-CA"/>
        </w:rPr>
        <w:fldChar w:fldCharType="separate"/>
      </w:r>
      <w:r w:rsidR="00B72855">
        <w:rPr>
          <w:szCs w:val="22"/>
          <w:lang w:val="en-CA"/>
        </w:rPr>
        <w:t>[2]</w:t>
      </w:r>
      <w:r w:rsidR="00B72855">
        <w:rPr>
          <w:szCs w:val="22"/>
          <w:lang w:val="en-CA"/>
        </w:rPr>
        <w:fldChar w:fldCharType="end"/>
      </w:r>
      <w:r w:rsidR="00D22D06">
        <w:rPr>
          <w:szCs w:val="22"/>
          <w:lang w:val="en-CA"/>
        </w:rPr>
        <w:t xml:space="preserve"> and illustrated in </w:t>
      </w:r>
      <w:r w:rsidR="00D22D06">
        <w:rPr>
          <w:szCs w:val="22"/>
          <w:lang w:val="en-CA"/>
        </w:rPr>
        <w:fldChar w:fldCharType="begin"/>
      </w:r>
      <w:r w:rsidR="00D22D06">
        <w:rPr>
          <w:szCs w:val="22"/>
          <w:lang w:val="en-CA"/>
        </w:rPr>
        <w:instrText xml:space="preserve"> REF _Ref518330160 \h </w:instrText>
      </w:r>
      <w:r w:rsidR="00D22D06">
        <w:rPr>
          <w:szCs w:val="22"/>
          <w:lang w:val="en-CA"/>
        </w:rPr>
      </w:r>
      <w:r w:rsidR="00D22D06">
        <w:rPr>
          <w:szCs w:val="22"/>
          <w:lang w:val="en-CA"/>
        </w:rPr>
        <w:fldChar w:fldCharType="separate"/>
      </w:r>
      <w:r w:rsidR="007D2805">
        <w:t xml:space="preserve">Figure </w:t>
      </w:r>
      <w:r w:rsidR="007D2805">
        <w:rPr>
          <w:noProof/>
        </w:rPr>
        <w:t>2</w:t>
      </w:r>
      <w:r w:rsidR="00D22D06">
        <w:rPr>
          <w:szCs w:val="22"/>
          <w:lang w:val="en-CA"/>
        </w:rPr>
        <w:fldChar w:fldCharType="end"/>
      </w:r>
      <w:r w:rsidR="00D22D06">
        <w:rPr>
          <w:szCs w:val="22"/>
          <w:lang w:val="en-CA"/>
        </w:rPr>
        <w:t>.</w:t>
      </w:r>
      <w:r>
        <w:rPr>
          <w:szCs w:val="22"/>
          <w:lang w:val="en-CA"/>
        </w:rPr>
        <w:t xml:space="preserve"> </w:t>
      </w:r>
      <w:r>
        <w:t xml:space="preserve">A 4×2 tile grid has been used in forming of the motion-constrained tile sets for equirectangular projected pictures. Two HEVC bitstreams originating from the same source content are encoded at different picture qualities and bitrates. Each </w:t>
      </w:r>
      <w:r w:rsidRPr="004A2404">
        <w:t>motion-constr</w:t>
      </w:r>
      <w:r>
        <w:t xml:space="preserve">ained tile set sequence is included in one sub-picture track and an extractor track is also created. The OMAF player chooses the quality at which each sub-picture track is received based on the viewing orientation. In this example the OMAF player </w:t>
      </w:r>
      <w:r>
        <w:lastRenderedPageBreak/>
        <w:t>receives sub-picture tracks 1, 2, 5, and 6 at a particular quality and sub-picture tracks 3, 4, 7, and 8 at another quality. The extractor track is used to reconstruct a bitstream that could be decoded with a single HEVC decoder.</w:t>
      </w:r>
    </w:p>
    <w:p w14:paraId="0B66F483" w14:textId="64BB44DD" w:rsidR="00EF7AE8" w:rsidRDefault="00EF7AE8" w:rsidP="00EF7AE8">
      <w:pPr>
        <w:jc w:val="center"/>
        <w:rPr>
          <w:szCs w:val="22"/>
          <w:lang w:val="en-CA"/>
        </w:rPr>
      </w:pPr>
      <w:r w:rsidRPr="00AE6B90">
        <w:rPr>
          <w:noProof/>
        </w:rPr>
        <w:drawing>
          <wp:inline distT="0" distB="0" distL="0" distR="0" wp14:anchorId="7F4DB569" wp14:editId="63358942">
            <wp:extent cx="5788800" cy="2653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88800" cy="2653200"/>
                    </a:xfrm>
                    <a:prstGeom prst="rect">
                      <a:avLst/>
                    </a:prstGeom>
                    <a:noFill/>
                  </pic:spPr>
                </pic:pic>
              </a:graphicData>
            </a:graphic>
          </wp:inline>
        </w:drawing>
      </w:r>
    </w:p>
    <w:p w14:paraId="7573DA5B" w14:textId="20CA8CF1" w:rsidR="00EF7AE8" w:rsidRDefault="00EF7AE8" w:rsidP="00EF7AE8">
      <w:pPr>
        <w:pStyle w:val="Caption"/>
        <w:jc w:val="center"/>
        <w:rPr>
          <w:lang w:val="en-CA"/>
        </w:rPr>
      </w:pPr>
      <w:bookmarkStart w:id="2" w:name="_Ref518330160"/>
      <w:r>
        <w:t xml:space="preserve">Figure </w:t>
      </w:r>
      <w:r>
        <w:fldChar w:fldCharType="begin"/>
      </w:r>
      <w:r>
        <w:instrText xml:space="preserve"> SEQ Figure \* ARABIC </w:instrText>
      </w:r>
      <w:r>
        <w:fldChar w:fldCharType="separate"/>
      </w:r>
      <w:r w:rsidR="007D2805">
        <w:rPr>
          <w:noProof/>
        </w:rPr>
        <w:t>2</w:t>
      </w:r>
      <w:r>
        <w:rPr>
          <w:noProof/>
        </w:rPr>
        <w:fldChar w:fldCharType="end"/>
      </w:r>
      <w:bookmarkEnd w:id="2"/>
      <w:r>
        <w:t xml:space="preserve">. </w:t>
      </w:r>
      <w:r w:rsidRPr="007B7D01">
        <w:rPr>
          <w:rFonts w:eastAsia="Malgun Gothic"/>
          <w:lang w:eastAsia="ko-KR"/>
        </w:rPr>
        <w:t xml:space="preserve">Example of </w:t>
      </w:r>
      <w:r w:rsidR="004E46D6">
        <w:rPr>
          <w:rFonts w:eastAsia="Malgun Gothic"/>
          <w:lang w:eastAsia="ko-KR"/>
        </w:rPr>
        <w:t>MCTS-</w:t>
      </w:r>
      <w:r>
        <w:rPr>
          <w:rFonts w:eastAsia="Malgun Gothic"/>
          <w:lang w:eastAsia="ko-KR"/>
        </w:rPr>
        <w:t xml:space="preserve">based </w:t>
      </w:r>
      <w:r w:rsidR="004E46D6">
        <w:rPr>
          <w:rFonts w:eastAsia="Malgun Gothic"/>
          <w:lang w:eastAsia="ko-KR"/>
        </w:rPr>
        <w:t>RWMQ viewport-dependent 360° streaming</w:t>
      </w:r>
      <w:r>
        <w:t>.</w:t>
      </w:r>
    </w:p>
    <w:p w14:paraId="36B5FFBE" w14:textId="2C8827D9" w:rsidR="00DC2A0F" w:rsidRDefault="00DC2A0F" w:rsidP="00DC2A0F">
      <w:pPr>
        <w:pStyle w:val="Heading2"/>
        <w:rPr>
          <w:lang w:val="en-CA"/>
        </w:rPr>
      </w:pPr>
      <w:bookmarkStart w:id="3" w:name="_Ref518334445"/>
      <w:r>
        <w:rPr>
          <w:lang w:val="en-CA"/>
        </w:rPr>
        <w:t>Example of 360° + viewport video</w:t>
      </w:r>
      <w:bookmarkEnd w:id="3"/>
    </w:p>
    <w:p w14:paraId="11258931" w14:textId="41F330E5" w:rsidR="00EF7AE8" w:rsidRDefault="00D22D06" w:rsidP="00D62CBB">
      <w:pPr>
        <w:rPr>
          <w:szCs w:val="22"/>
          <w:lang w:val="en-CA"/>
        </w:rPr>
      </w:pPr>
      <w:r>
        <w:rPr>
          <w:szCs w:val="22"/>
          <w:lang w:val="en-CA"/>
        </w:rPr>
        <w:t xml:space="preserve">This example is illustrated in </w:t>
      </w:r>
      <w:r>
        <w:rPr>
          <w:szCs w:val="22"/>
          <w:lang w:val="en-CA"/>
        </w:rPr>
        <w:fldChar w:fldCharType="begin"/>
      </w:r>
      <w:r>
        <w:rPr>
          <w:szCs w:val="22"/>
          <w:lang w:val="en-CA"/>
        </w:rPr>
        <w:instrText xml:space="preserve"> REF _Ref518330299 \h </w:instrText>
      </w:r>
      <w:r>
        <w:rPr>
          <w:szCs w:val="22"/>
          <w:lang w:val="en-CA"/>
        </w:rPr>
      </w:r>
      <w:r>
        <w:rPr>
          <w:szCs w:val="22"/>
          <w:lang w:val="en-CA"/>
        </w:rPr>
        <w:fldChar w:fldCharType="separate"/>
      </w:r>
      <w:r w:rsidR="007D2805">
        <w:t xml:space="preserve">Figure </w:t>
      </w:r>
      <w:r w:rsidR="007D2805">
        <w:rPr>
          <w:noProof/>
        </w:rPr>
        <w:t>3</w:t>
      </w:r>
      <w:r>
        <w:rPr>
          <w:szCs w:val="22"/>
          <w:lang w:val="en-CA"/>
        </w:rPr>
        <w:fldChar w:fldCharType="end"/>
      </w:r>
      <w:r>
        <w:rPr>
          <w:szCs w:val="22"/>
          <w:lang w:val="en-CA"/>
        </w:rPr>
        <w:t xml:space="preserve"> with cubemap projection. Another example with more details is provided in clause D.8 of OMAF</w:t>
      </w:r>
      <w:r w:rsidR="00B72855">
        <w:rPr>
          <w:szCs w:val="22"/>
          <w:lang w:val="en-CA"/>
        </w:rPr>
        <w:t xml:space="preserve"> </w:t>
      </w:r>
      <w:r w:rsidR="00B72855">
        <w:rPr>
          <w:szCs w:val="22"/>
          <w:lang w:val="en-CA"/>
        </w:rPr>
        <w:fldChar w:fldCharType="begin"/>
      </w:r>
      <w:r w:rsidR="00B72855">
        <w:rPr>
          <w:szCs w:val="22"/>
          <w:lang w:val="en-CA"/>
        </w:rPr>
        <w:instrText xml:space="preserve"> REF _Ref518339011 \r \h </w:instrText>
      </w:r>
      <w:r w:rsidR="00B72855">
        <w:rPr>
          <w:szCs w:val="22"/>
          <w:lang w:val="en-CA"/>
        </w:rPr>
      </w:r>
      <w:r w:rsidR="00B72855">
        <w:rPr>
          <w:szCs w:val="22"/>
          <w:lang w:val="en-CA"/>
        </w:rPr>
        <w:fldChar w:fldCharType="separate"/>
      </w:r>
      <w:r w:rsidR="00B72855">
        <w:rPr>
          <w:szCs w:val="22"/>
          <w:lang w:val="en-CA"/>
        </w:rPr>
        <w:t>[2]</w:t>
      </w:r>
      <w:r w:rsidR="00B72855">
        <w:rPr>
          <w:szCs w:val="22"/>
          <w:lang w:val="en-CA"/>
        </w:rPr>
        <w:fldChar w:fldCharType="end"/>
      </w:r>
      <w:r>
        <w:rPr>
          <w:szCs w:val="22"/>
          <w:lang w:val="en-CA"/>
        </w:rPr>
        <w:t>.</w:t>
      </w:r>
    </w:p>
    <w:p w14:paraId="01F0CC3C" w14:textId="2B17CE2C" w:rsidR="00D22D06" w:rsidRDefault="00D22D06" w:rsidP="00CD0BFB">
      <w:pPr>
        <w:rPr>
          <w:rFonts w:eastAsia="Malgun Gothic"/>
        </w:rPr>
      </w:pPr>
      <w:r w:rsidRPr="00D22D06">
        <w:rPr>
          <w:rFonts w:eastAsia="Malgun Gothic"/>
          <w:u w:val="single"/>
        </w:rPr>
        <w:t>Encoding</w:t>
      </w:r>
      <w:r>
        <w:rPr>
          <w:rFonts w:eastAsia="Malgun Gothic"/>
        </w:rPr>
        <w:t>: Content is encoded at t</w:t>
      </w:r>
      <w:r w:rsidRPr="00A0581C">
        <w:rPr>
          <w:rFonts w:eastAsia="Malgun Gothic"/>
        </w:rPr>
        <w:t>wo spatial resolutions</w:t>
      </w:r>
      <w:r>
        <w:rPr>
          <w:rFonts w:eastAsia="Malgun Gothic"/>
        </w:rPr>
        <w:t>: 448×448 per cube face and 1792×1792 per cube face. One MCTS per cube face is used in the low-resolution version, while 4×4 MCTSs per cube face are used in the high-resolution version, resulting into 96 MCTSs per picture.</w:t>
      </w:r>
    </w:p>
    <w:p w14:paraId="434437A7" w14:textId="43FD423D" w:rsidR="00D22D06" w:rsidRDefault="00D22D06" w:rsidP="00CD0BFB">
      <w:pPr>
        <w:rPr>
          <w:rFonts w:eastAsia="Malgun Gothic"/>
        </w:rPr>
      </w:pPr>
      <w:r w:rsidRPr="007A7DEC">
        <w:rPr>
          <w:rFonts w:eastAsia="Malgun Gothic"/>
          <w:u w:val="single"/>
        </w:rPr>
        <w:t>Selection of streamed MCTSs</w:t>
      </w:r>
      <w:r>
        <w:rPr>
          <w:rFonts w:eastAsia="Malgun Gothic"/>
        </w:rPr>
        <w:t xml:space="preserve">: 36 MCTSs covering the viewport are selected from the high-resolution bitstream to be streamed. </w:t>
      </w:r>
      <w:r w:rsidR="007A7DEC">
        <w:rPr>
          <w:rFonts w:eastAsia="Malgun Gothic"/>
        </w:rPr>
        <w:t>The selected MCTSs could cover e.g. a region of adjacent 6×6 MCTSs, which could be considered to correspond to a field of view of 135°×135°. All the six MCTSs of the low-resolution bitstream are also streamed and serve as a fallback e.g. for sudden viewport changes.</w:t>
      </w:r>
    </w:p>
    <w:p w14:paraId="063F4315" w14:textId="7A3C278A" w:rsidR="007A7DEC" w:rsidRPr="00A0581C" w:rsidRDefault="007A7DEC" w:rsidP="00CD0BFB">
      <w:pPr>
        <w:rPr>
          <w:rFonts w:eastAsia="Malgun Gothic"/>
          <w:bCs/>
        </w:rPr>
      </w:pPr>
      <w:r w:rsidRPr="007A7DEC">
        <w:rPr>
          <w:rFonts w:eastAsia="Malgun Gothic"/>
          <w:u w:val="single"/>
        </w:rPr>
        <w:t>Merging MCTSs to a bitstream to be decoded</w:t>
      </w:r>
      <w:r>
        <w:rPr>
          <w:rFonts w:eastAsia="Malgun Gothic"/>
        </w:rPr>
        <w:t xml:space="preserve">: The received MCTSs of a single time instance are merged into a coded picture of 7×6 MCTSs, which corresponds to </w:t>
      </w:r>
      <w:r w:rsidRPr="007A7DEC">
        <w:rPr>
          <w:rFonts w:eastAsia="Malgun Gothic"/>
          <w:lang w:val="fi-FI"/>
        </w:rPr>
        <w:t>3136</w:t>
      </w:r>
      <w:r>
        <w:rPr>
          <w:rFonts w:eastAsia="Malgun Gothic"/>
        </w:rPr>
        <w:t>×</w:t>
      </w:r>
      <w:r w:rsidRPr="007A7DEC">
        <w:rPr>
          <w:rFonts w:eastAsia="Malgun Gothic"/>
          <w:lang w:val="fi-FI"/>
        </w:rPr>
        <w:t>2688</w:t>
      </w:r>
      <w:r>
        <w:rPr>
          <w:rFonts w:eastAsia="Malgun Gothic"/>
          <w:lang w:val="fi-FI"/>
        </w:rPr>
        <w:t xml:space="preserve"> (= 8 429 568) luma samples and thus complies with HEVC Level 5.1.</w:t>
      </w:r>
    </w:p>
    <w:p w14:paraId="75651C4C" w14:textId="55C72A6B" w:rsidR="006A2D89" w:rsidRDefault="00DB23FF" w:rsidP="007D2805">
      <w:pPr>
        <w:keepNext/>
        <w:jc w:val="center"/>
        <w:rPr>
          <w:szCs w:val="22"/>
          <w:lang w:val="en-CA"/>
        </w:rPr>
      </w:pPr>
      <w:r>
        <w:rPr>
          <w:noProof/>
          <w:szCs w:val="22"/>
        </w:rPr>
        <w:lastRenderedPageBreak/>
        <w:drawing>
          <wp:inline distT="0" distB="0" distL="0" distR="0" wp14:anchorId="1E5755D8" wp14:editId="089DD0CE">
            <wp:extent cx="2084705" cy="2792095"/>
            <wp:effectExtent l="0" t="0" r="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84705" cy="2792095"/>
                    </a:xfrm>
                    <a:prstGeom prst="rect">
                      <a:avLst/>
                    </a:prstGeom>
                    <a:noFill/>
                  </pic:spPr>
                </pic:pic>
              </a:graphicData>
            </a:graphic>
          </wp:inline>
        </w:drawing>
      </w:r>
      <w:r w:rsidR="00DC2A0F">
        <w:rPr>
          <w:szCs w:val="22"/>
          <w:lang w:val="en-CA"/>
        </w:rPr>
        <w:t xml:space="preserve">      </w:t>
      </w:r>
      <w:r>
        <w:rPr>
          <w:noProof/>
          <w:szCs w:val="22"/>
        </w:rPr>
        <w:drawing>
          <wp:inline distT="0" distB="0" distL="0" distR="0" wp14:anchorId="51B157C5" wp14:editId="071FA398">
            <wp:extent cx="2115185" cy="2792095"/>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15185" cy="2792095"/>
                    </a:xfrm>
                    <a:prstGeom prst="rect">
                      <a:avLst/>
                    </a:prstGeom>
                    <a:noFill/>
                  </pic:spPr>
                </pic:pic>
              </a:graphicData>
            </a:graphic>
          </wp:inline>
        </w:drawing>
      </w:r>
      <w:r w:rsidR="00DC2A0F">
        <w:rPr>
          <w:szCs w:val="22"/>
          <w:lang w:val="en-CA"/>
        </w:rPr>
        <w:t xml:space="preserve">      </w:t>
      </w:r>
      <w:r>
        <w:rPr>
          <w:noProof/>
          <w:szCs w:val="22"/>
        </w:rPr>
        <w:drawing>
          <wp:inline distT="0" distB="0" distL="0" distR="0" wp14:anchorId="03BDB4B0" wp14:editId="3DBEA4DB">
            <wp:extent cx="1213485" cy="278003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3485" cy="2780030"/>
                    </a:xfrm>
                    <a:prstGeom prst="rect">
                      <a:avLst/>
                    </a:prstGeom>
                    <a:noFill/>
                  </pic:spPr>
                </pic:pic>
              </a:graphicData>
            </a:graphic>
          </wp:inline>
        </w:drawing>
      </w:r>
    </w:p>
    <w:p w14:paraId="572BBD7B" w14:textId="158DBA84" w:rsidR="00DC2A0F" w:rsidRDefault="007E2C2A" w:rsidP="00DC2A0F">
      <w:pPr>
        <w:pStyle w:val="Caption"/>
        <w:jc w:val="center"/>
      </w:pPr>
      <w:r>
        <w:tab/>
      </w:r>
      <w:r>
        <w:tab/>
      </w:r>
      <w:r w:rsidR="00DC2A0F">
        <w:t>a) coded bitstreams</w:t>
      </w:r>
      <w:r w:rsidR="00DC2A0F">
        <w:tab/>
      </w:r>
      <w:r w:rsidR="00DC2A0F">
        <w:tab/>
        <w:t>b) MCTSs selected for streaming</w:t>
      </w:r>
      <w:r w:rsidR="00DC2A0F">
        <w:tab/>
      </w:r>
      <w:r w:rsidR="00DC2A0F">
        <w:tab/>
        <w:t xml:space="preserve">c) Picture merged </w:t>
      </w:r>
      <w:r w:rsidR="00DC2A0F">
        <w:br/>
        <w:t xml:space="preserve"> </w:t>
      </w:r>
      <w:r w:rsidR="00DC2A0F">
        <w:tab/>
      </w:r>
      <w:r w:rsidR="00DC2A0F">
        <w:tab/>
      </w:r>
      <w:r w:rsidR="00DC2A0F">
        <w:tab/>
      </w:r>
      <w:r w:rsidR="00DC2A0F">
        <w:tab/>
      </w:r>
      <w:r w:rsidR="00DC2A0F">
        <w:tab/>
      </w:r>
      <w:r w:rsidR="00DC2A0F">
        <w:tab/>
      </w:r>
      <w:r w:rsidR="00DC2A0F">
        <w:tab/>
      </w:r>
      <w:r w:rsidR="00DC2A0F">
        <w:tab/>
      </w:r>
      <w:r w:rsidR="00DC2A0F">
        <w:tab/>
      </w:r>
      <w:r w:rsidR="00DC2A0F">
        <w:tab/>
      </w:r>
      <w:r w:rsidR="00DC2A0F">
        <w:tab/>
      </w:r>
      <w:r w:rsidR="00DC2A0F">
        <w:tab/>
        <w:t>from MCTSs</w:t>
      </w:r>
    </w:p>
    <w:p w14:paraId="39369C65" w14:textId="5A9B7FCF" w:rsidR="007E2C2A" w:rsidRDefault="007E2C2A" w:rsidP="007E2C2A">
      <w:pPr>
        <w:pStyle w:val="Caption"/>
        <w:jc w:val="center"/>
        <w:rPr>
          <w:lang w:val="en-CA"/>
        </w:rPr>
      </w:pPr>
      <w:bookmarkStart w:id="4" w:name="_Ref518330299"/>
      <w:r>
        <w:t xml:space="preserve">Figure </w:t>
      </w:r>
      <w:r>
        <w:fldChar w:fldCharType="begin"/>
      </w:r>
      <w:r>
        <w:instrText xml:space="preserve"> SEQ Figure \* ARABIC </w:instrText>
      </w:r>
      <w:r>
        <w:fldChar w:fldCharType="separate"/>
      </w:r>
      <w:r w:rsidR="007D2805">
        <w:rPr>
          <w:noProof/>
        </w:rPr>
        <w:t>3</w:t>
      </w:r>
      <w:r>
        <w:rPr>
          <w:noProof/>
        </w:rPr>
        <w:fldChar w:fldCharType="end"/>
      </w:r>
      <w:bookmarkEnd w:id="4"/>
      <w:r>
        <w:t xml:space="preserve">. </w:t>
      </w:r>
      <w:r w:rsidRPr="007B7D01">
        <w:rPr>
          <w:rFonts w:eastAsia="Malgun Gothic"/>
          <w:lang w:eastAsia="ko-KR"/>
        </w:rPr>
        <w:t xml:space="preserve">Example of </w:t>
      </w:r>
      <w:r>
        <w:rPr>
          <w:rFonts w:eastAsia="Malgun Gothic"/>
          <w:lang w:eastAsia="ko-KR"/>
        </w:rPr>
        <w:t>360° + viewport video</w:t>
      </w:r>
      <w:r>
        <w:t>.</w:t>
      </w:r>
    </w:p>
    <w:p w14:paraId="48357ED2" w14:textId="7382D3B8" w:rsidR="008569C4" w:rsidRDefault="008569C4" w:rsidP="008569C4">
      <w:pPr>
        <w:pStyle w:val="Heading2"/>
        <w:rPr>
          <w:lang w:val="en-CA"/>
        </w:rPr>
      </w:pPr>
      <w:bookmarkStart w:id="5" w:name="_Ref518334446"/>
      <w:r>
        <w:rPr>
          <w:lang w:val="en-CA"/>
        </w:rPr>
        <w:t>Example of region-wise mixed resolution (RWMR) 360° video</w:t>
      </w:r>
      <w:bookmarkEnd w:id="5"/>
    </w:p>
    <w:p w14:paraId="438025BB" w14:textId="24C155D1" w:rsidR="006A2D89" w:rsidRDefault="007E2C2A" w:rsidP="00D62CBB">
      <w:r>
        <w:t>This scheme offers an increased effective spatial resolution on the viewport. Schemes where tiles covering the viewport originate from a 6K (6144</w:t>
      </w:r>
      <w:r w:rsidRPr="009F4EEF">
        <w:t>×</w:t>
      </w:r>
      <w:r>
        <w:t>3072) ERP picture or an equivalent CMP resolution, illustrated in</w:t>
      </w:r>
      <w:r w:rsidR="00CD0BFB">
        <w:t xml:space="preserve"> </w:t>
      </w:r>
      <w:r w:rsidR="00CD0BFB">
        <w:fldChar w:fldCharType="begin"/>
      </w:r>
      <w:r w:rsidR="00CD0BFB">
        <w:instrText xml:space="preserve"> REF _Ref518332309 \h </w:instrText>
      </w:r>
      <w:r w:rsidR="00CD0BFB">
        <w:fldChar w:fldCharType="separate"/>
      </w:r>
      <w:r w:rsidR="007D2805">
        <w:t xml:space="preserve">Figure </w:t>
      </w:r>
      <w:r w:rsidR="007D2805">
        <w:rPr>
          <w:noProof/>
        </w:rPr>
        <w:t>4</w:t>
      </w:r>
      <w:r w:rsidR="00CD0BFB">
        <w:fldChar w:fldCharType="end"/>
      </w:r>
      <w:r>
        <w:t xml:space="preserve">, with "4K" decoding capacity (HEVC Level 5.1) were </w:t>
      </w:r>
      <w:r w:rsidR="00B72855">
        <w:t xml:space="preserve">included in clauses D.6.3 and D.6.4 of OMAF </w:t>
      </w:r>
      <w:r w:rsidR="00B72855">
        <w:rPr>
          <w:szCs w:val="22"/>
          <w:lang w:val="en-CA"/>
        </w:rPr>
        <w:fldChar w:fldCharType="begin"/>
      </w:r>
      <w:r w:rsidR="00B72855">
        <w:rPr>
          <w:szCs w:val="22"/>
          <w:lang w:val="en-CA"/>
        </w:rPr>
        <w:instrText xml:space="preserve"> REF _Ref518339011 \r \h </w:instrText>
      </w:r>
      <w:r w:rsidR="00B72855">
        <w:rPr>
          <w:szCs w:val="22"/>
          <w:lang w:val="en-CA"/>
        </w:rPr>
      </w:r>
      <w:r w:rsidR="00B72855">
        <w:rPr>
          <w:szCs w:val="22"/>
          <w:lang w:val="en-CA"/>
        </w:rPr>
        <w:fldChar w:fldCharType="separate"/>
      </w:r>
      <w:r w:rsidR="00B72855">
        <w:rPr>
          <w:szCs w:val="22"/>
          <w:lang w:val="en-CA"/>
        </w:rPr>
        <w:t>[2]</w:t>
      </w:r>
      <w:r w:rsidR="00B72855">
        <w:rPr>
          <w:szCs w:val="22"/>
          <w:lang w:val="en-CA"/>
        </w:rPr>
        <w:fldChar w:fldCharType="end"/>
      </w:r>
      <w:r w:rsidR="00B72855">
        <w:rPr>
          <w:szCs w:val="22"/>
          <w:lang w:val="en-CA"/>
        </w:rPr>
        <w:t xml:space="preserve"> and also </w:t>
      </w:r>
      <w:r>
        <w:t xml:space="preserve">adopted in the VR Industry Forum Guidelines </w:t>
      </w:r>
      <w:r w:rsidR="00B72855">
        <w:fldChar w:fldCharType="begin"/>
      </w:r>
      <w:r w:rsidR="00B72855">
        <w:instrText xml:space="preserve"> REF _Ref518339153 \r \h </w:instrText>
      </w:r>
      <w:r w:rsidR="00B72855">
        <w:fldChar w:fldCharType="separate"/>
      </w:r>
      <w:r w:rsidR="00B72855">
        <w:t>[3]</w:t>
      </w:r>
      <w:r w:rsidR="00B72855">
        <w:fldChar w:fldCharType="end"/>
      </w:r>
      <w:r>
        <w:t>. Such resolutions are asserted to be suitable for head-mounted displays using quad-HD (</w:t>
      </w:r>
      <w:r w:rsidRPr="009F4EEF">
        <w:t>2560×1440</w:t>
      </w:r>
      <w:r>
        <w:t xml:space="preserve">) display panel. </w:t>
      </w:r>
    </w:p>
    <w:p w14:paraId="38A63975" w14:textId="77777777" w:rsidR="00CD0BFB" w:rsidRPr="00CD0BFB" w:rsidRDefault="00CD0BFB" w:rsidP="00CD0BFB">
      <w:pPr>
        <w:rPr>
          <w:bCs/>
          <w:szCs w:val="22"/>
        </w:rPr>
      </w:pPr>
      <w:r w:rsidRPr="00CD0BFB">
        <w:rPr>
          <w:szCs w:val="22"/>
          <w:u w:val="single"/>
          <w:lang w:val="fi-FI"/>
        </w:rPr>
        <w:t>Encoding</w:t>
      </w:r>
      <w:r w:rsidRPr="00CD0BFB">
        <w:rPr>
          <w:szCs w:val="22"/>
          <w:lang w:val="fi-FI"/>
        </w:rPr>
        <w:t>: The content is encoded at two spatial resolutions with cube face size 1536×1536 and 768×768, respectively. In both bitstreams a 6×4 tile grid is used and an MCTS is coded for each tile position.</w:t>
      </w:r>
    </w:p>
    <w:p w14:paraId="2FA0CFA7" w14:textId="4FAE12FC" w:rsidR="00CD0BFB" w:rsidRPr="00CD0BFB" w:rsidRDefault="00CD0BFB" w:rsidP="00CD0BFB">
      <w:pPr>
        <w:rPr>
          <w:bCs/>
          <w:szCs w:val="22"/>
          <w:lang w:val="en-CA"/>
        </w:rPr>
      </w:pPr>
      <w:r>
        <w:rPr>
          <w:szCs w:val="22"/>
          <w:u w:val="single"/>
          <w:lang w:val="en-CA"/>
        </w:rPr>
        <w:t>S</w:t>
      </w:r>
      <w:r w:rsidRPr="00CD0BFB">
        <w:rPr>
          <w:bCs/>
          <w:szCs w:val="22"/>
          <w:u w:val="single"/>
          <w:lang w:val="en-CA"/>
        </w:rPr>
        <w:t>election</w:t>
      </w:r>
      <w:r>
        <w:rPr>
          <w:bCs/>
          <w:szCs w:val="22"/>
          <w:u w:val="single"/>
          <w:lang w:val="en-CA"/>
        </w:rPr>
        <w:t xml:space="preserve"> of streamed MCTSs</w:t>
      </w:r>
      <w:r w:rsidRPr="00CD0BFB">
        <w:rPr>
          <w:bCs/>
          <w:szCs w:val="22"/>
          <w:lang w:val="en-CA"/>
        </w:rPr>
        <w:t xml:space="preserve">: </w:t>
      </w:r>
      <w:r w:rsidRPr="00CD0BFB">
        <w:rPr>
          <w:szCs w:val="22"/>
          <w:lang w:val="en-CA"/>
        </w:rPr>
        <w:t xml:space="preserve">12 MCTSs from the high-resolution bitstream are selected and the complementary 12 MCTSs are extracted from the low-resolution bitstream. </w:t>
      </w:r>
      <w:r>
        <w:rPr>
          <w:szCs w:val="22"/>
          <w:lang w:val="en-CA"/>
        </w:rPr>
        <w:t>Thus, a hemi-sphere (</w:t>
      </w:r>
      <w:r>
        <w:rPr>
          <w:rFonts w:eastAsia="Malgun Gothic"/>
        </w:rPr>
        <w:t>180°×180°</w:t>
      </w:r>
      <w:r>
        <w:rPr>
          <w:szCs w:val="22"/>
          <w:lang w:val="en-CA"/>
        </w:rPr>
        <w:t>) of the streamed content originates from the high-resolution bitstream.</w:t>
      </w:r>
    </w:p>
    <w:p w14:paraId="007264C8" w14:textId="754DE1F8" w:rsidR="00CD0BFB" w:rsidRDefault="00CD0BFB" w:rsidP="00D62CBB">
      <w:pPr>
        <w:rPr>
          <w:szCs w:val="22"/>
          <w:lang w:val="en-CA"/>
        </w:rPr>
      </w:pPr>
      <w:r w:rsidRPr="007A7DEC">
        <w:rPr>
          <w:rFonts w:eastAsia="Malgun Gothic"/>
          <w:u w:val="single"/>
        </w:rPr>
        <w:t>Merging MCTSs to a bitstream to be decoded</w:t>
      </w:r>
      <w:r>
        <w:rPr>
          <w:rFonts w:eastAsia="Malgun Gothic"/>
        </w:rPr>
        <w:t xml:space="preserve">: The received MCTSs of a single time instance are merged into a coded picture of </w:t>
      </w:r>
      <w:r w:rsidRPr="00CD0BFB">
        <w:rPr>
          <w:szCs w:val="22"/>
          <w:lang w:val="fi-FI"/>
        </w:rPr>
        <w:t>1920×4608, which conforms to HEVC Level 5.1.</w:t>
      </w:r>
      <w:r>
        <w:rPr>
          <w:szCs w:val="22"/>
          <w:lang w:val="fi-FI"/>
        </w:rPr>
        <w:t xml:space="preserve"> Another option for the merged picture is to have 4 tile columns of width 768, two tile columns of width 384, and three tile rows of height 768 luma samples, resulting into a picture of 3840</w:t>
      </w:r>
      <w:r w:rsidRPr="00CD0BFB">
        <w:rPr>
          <w:szCs w:val="22"/>
          <w:lang w:val="fi-FI"/>
        </w:rPr>
        <w:t>×</w:t>
      </w:r>
      <w:r>
        <w:rPr>
          <w:szCs w:val="22"/>
          <w:lang w:val="fi-FI"/>
        </w:rPr>
        <w:t xml:space="preserve">2304 luma samples. </w:t>
      </w:r>
    </w:p>
    <w:p w14:paraId="4D2885A9" w14:textId="340BB24D" w:rsidR="007E2C2A" w:rsidRDefault="00DB23FF" w:rsidP="00D62CBB">
      <w:pPr>
        <w:rPr>
          <w:szCs w:val="22"/>
          <w:lang w:val="en-CA"/>
        </w:rPr>
      </w:pPr>
      <w:r>
        <w:rPr>
          <w:noProof/>
          <w:szCs w:val="22"/>
        </w:rPr>
        <w:lastRenderedPageBreak/>
        <w:drawing>
          <wp:inline distT="0" distB="0" distL="0" distR="0" wp14:anchorId="50282A5D" wp14:editId="2FD841BA">
            <wp:extent cx="6004800" cy="2887200"/>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4800" cy="2887200"/>
                    </a:xfrm>
                    <a:prstGeom prst="rect">
                      <a:avLst/>
                    </a:prstGeom>
                    <a:noFill/>
                  </pic:spPr>
                </pic:pic>
              </a:graphicData>
            </a:graphic>
          </wp:inline>
        </w:drawing>
      </w:r>
    </w:p>
    <w:p w14:paraId="2B6B2553" w14:textId="165E5284" w:rsidR="00CD0BFB" w:rsidRDefault="00CD0BFB" w:rsidP="00CD0BFB">
      <w:pPr>
        <w:pStyle w:val="Caption"/>
        <w:jc w:val="right"/>
      </w:pPr>
      <w:r>
        <w:tab/>
      </w:r>
      <w:r>
        <w:tab/>
        <w:t>a) coded bitstreams</w:t>
      </w:r>
      <w:r>
        <w:tab/>
      </w:r>
      <w:r>
        <w:tab/>
        <w:t>b) MCTSs selected for streaming</w:t>
      </w:r>
      <w:r>
        <w:tab/>
      </w:r>
      <w:r>
        <w:tab/>
        <w:t xml:space="preserve">c) Picture merged </w:t>
      </w:r>
      <w:r>
        <w:tab/>
        <w:t>from MCTSs</w:t>
      </w:r>
    </w:p>
    <w:p w14:paraId="36D613D8" w14:textId="65A80D9A" w:rsidR="006A2D89" w:rsidRPr="005B217D" w:rsidRDefault="00CD0BFB" w:rsidP="002C57D3">
      <w:pPr>
        <w:pStyle w:val="Caption"/>
        <w:jc w:val="center"/>
        <w:rPr>
          <w:szCs w:val="22"/>
          <w:lang w:val="en-CA"/>
        </w:rPr>
      </w:pPr>
      <w:bookmarkStart w:id="6" w:name="_Ref518332309"/>
      <w:r>
        <w:t xml:space="preserve">Figure </w:t>
      </w:r>
      <w:r>
        <w:fldChar w:fldCharType="begin"/>
      </w:r>
      <w:r>
        <w:instrText xml:space="preserve"> SEQ Figure \* ARABIC </w:instrText>
      </w:r>
      <w:r>
        <w:fldChar w:fldCharType="separate"/>
      </w:r>
      <w:r w:rsidR="007D2805">
        <w:rPr>
          <w:noProof/>
        </w:rPr>
        <w:t>4</w:t>
      </w:r>
      <w:r>
        <w:rPr>
          <w:noProof/>
        </w:rPr>
        <w:fldChar w:fldCharType="end"/>
      </w:r>
      <w:bookmarkEnd w:id="6"/>
      <w:r>
        <w:t xml:space="preserve">. </w:t>
      </w:r>
      <w:r w:rsidRPr="007B7D01">
        <w:rPr>
          <w:rFonts w:eastAsia="Malgun Gothic"/>
          <w:lang w:eastAsia="ko-KR"/>
        </w:rPr>
        <w:t xml:space="preserve">Example </w:t>
      </w:r>
      <w:r>
        <w:rPr>
          <w:rFonts w:eastAsia="Malgun Gothic"/>
          <w:lang w:eastAsia="ko-KR"/>
        </w:rPr>
        <w:t>MCTS-based RWMR viewport-dependent 360° streaming</w:t>
      </w:r>
      <w:r>
        <w:t>.</w:t>
      </w:r>
    </w:p>
    <w:p w14:paraId="2C3B9A76" w14:textId="5DCD6364" w:rsidR="005B2B1D" w:rsidRDefault="00D62CBB" w:rsidP="00AB6609">
      <w:pPr>
        <w:pStyle w:val="Heading1"/>
        <w:rPr>
          <w:lang w:val="en-CA"/>
        </w:rPr>
      </w:pPr>
      <w:bookmarkStart w:id="7" w:name="_Ref518334691"/>
      <w:r>
        <w:rPr>
          <w:lang w:val="en-CA"/>
        </w:rPr>
        <w:t xml:space="preserve">Suggested tile design </w:t>
      </w:r>
      <w:r w:rsidR="00E1449B">
        <w:rPr>
          <w:lang w:val="en-CA"/>
        </w:rPr>
        <w:t>goals</w:t>
      </w:r>
      <w:r>
        <w:rPr>
          <w:lang w:val="en-CA"/>
        </w:rPr>
        <w:t xml:space="preserve"> in VVC</w:t>
      </w:r>
      <w:bookmarkEnd w:id="7"/>
    </w:p>
    <w:p w14:paraId="33A2F962" w14:textId="5CE75623" w:rsidR="00AB6609" w:rsidRDefault="00AB6609" w:rsidP="00AB6609">
      <w:pPr>
        <w:pStyle w:val="Heading2"/>
        <w:rPr>
          <w:lang w:val="en-CA"/>
        </w:rPr>
      </w:pPr>
      <w:r>
        <w:rPr>
          <w:lang w:val="en-CA"/>
        </w:rPr>
        <w:t>Reduced rate-distortion cost for encoding motion-constrained tile sets</w:t>
      </w:r>
    </w:p>
    <w:p w14:paraId="31E06E4F" w14:textId="27B72CA7" w:rsidR="00AB6609" w:rsidRDefault="00AB6609" w:rsidP="00AB6609">
      <w:pPr>
        <w:pStyle w:val="Heading3"/>
        <w:rPr>
          <w:lang w:val="en-CA"/>
        </w:rPr>
      </w:pPr>
      <w:r>
        <w:rPr>
          <w:lang w:val="en-CA"/>
        </w:rPr>
        <w:t>Motivation</w:t>
      </w:r>
    </w:p>
    <w:p w14:paraId="365ED469" w14:textId="77777777" w:rsidR="00092586" w:rsidRDefault="00092586" w:rsidP="00092586">
      <w:r>
        <w:t xml:space="preserve">The more fine-grained the MCTS grid is, the closer the viewport can be matched with high-resolution or high-quality streamed MCTSs, while the remaining areas can be covered with lower resolution or quality. However, fine-granularity MCTS grids also bring a rate-distortion cost in inter prediction. </w:t>
      </w:r>
    </w:p>
    <w:p w14:paraId="04E21A54" w14:textId="5E349C13" w:rsidR="00092586" w:rsidRPr="00092586" w:rsidRDefault="00092586" w:rsidP="00092586">
      <w:r>
        <w:t>T</w:t>
      </w:r>
      <w:r w:rsidRPr="00092586">
        <w:t xml:space="preserve">he MCTS </w:t>
      </w:r>
      <w:r>
        <w:t xml:space="preserve">rate-distortion </w:t>
      </w:r>
      <w:r w:rsidRPr="00092586">
        <w:t xml:space="preserve">overhead of </w:t>
      </w:r>
      <w:r>
        <w:t>a few</w:t>
      </w:r>
      <w:r w:rsidRPr="00092586">
        <w:t xml:space="preserve"> MCTS grids of </w:t>
      </w:r>
      <w:r>
        <w:t>ERP and CMP was studied</w:t>
      </w:r>
      <w:r w:rsidRPr="00092586">
        <w:t xml:space="preserve">. In all cases, the MCTS grid was identical to the tile grid, i.e., each tile was also an MCTS. </w:t>
      </w:r>
    </w:p>
    <w:p w14:paraId="3744454A" w14:textId="77777777" w:rsidR="00092586" w:rsidRPr="00092586" w:rsidRDefault="00092586" w:rsidP="00092586">
      <w:r w:rsidRPr="00092586">
        <w:t xml:space="preserve">The results provide an insight of the bitrate increase caused by finer tiling. This bitrate increase would need to be compensated by streaming a smaller spherical area of high-resolution or high-quality tiles. </w:t>
      </w:r>
    </w:p>
    <w:p w14:paraId="129C12A8" w14:textId="34D5F1F2" w:rsidR="002F2877" w:rsidRDefault="00092586" w:rsidP="002F2877">
      <w:pPr>
        <w:rPr>
          <w:szCs w:val="22"/>
          <w:lang w:val="en-CA"/>
        </w:rPr>
      </w:pPr>
      <w:r>
        <w:t xml:space="preserve">The </w:t>
      </w:r>
      <w:r w:rsidR="002F2877">
        <w:t xml:space="preserve">ERP simulations were carried out </w:t>
      </w:r>
      <w:r w:rsidR="00003CBC">
        <w:t>with</w:t>
      </w:r>
      <w:r w:rsidR="002F2877">
        <w:t xml:space="preserve"> HM using the random access (RA) configuration </w:t>
      </w:r>
      <w:r w:rsidR="00003CBC">
        <w:t>for</w:t>
      </w:r>
      <w:r w:rsidR="002F2877">
        <w:t xml:space="preserve"> 97 frames for </w:t>
      </w:r>
      <w:r>
        <w:t>a range of 4K and 6K test sequences</w:t>
      </w:r>
      <w:r w:rsidR="002F2877">
        <w:t xml:space="preserve">. </w:t>
      </w:r>
      <w:r>
        <w:t xml:space="preserve">Tile grids 6×1, 4×2, and 1281 were tested. The results are summarized in </w:t>
      </w:r>
      <w:r>
        <w:fldChar w:fldCharType="begin"/>
      </w:r>
      <w:r>
        <w:instrText xml:space="preserve"> REF _Ref518333743 \h </w:instrText>
      </w:r>
      <w:r>
        <w:fldChar w:fldCharType="separate"/>
      </w:r>
      <w:r w:rsidR="007D2805">
        <w:t xml:space="preserve">Table </w:t>
      </w:r>
      <w:r w:rsidR="007D2805">
        <w:rPr>
          <w:noProof/>
        </w:rPr>
        <w:t>1</w:t>
      </w:r>
      <w:r>
        <w:fldChar w:fldCharType="end"/>
      </w:r>
      <w:r>
        <w:t>.</w:t>
      </w:r>
    </w:p>
    <w:p w14:paraId="654EDB7E" w14:textId="6B311847" w:rsidR="009620FA" w:rsidRDefault="009620FA" w:rsidP="009620FA">
      <w:pPr>
        <w:pStyle w:val="Caption"/>
        <w:keepNext/>
        <w:jc w:val="center"/>
      </w:pPr>
      <w:bookmarkStart w:id="8" w:name="_Ref518333743"/>
      <w:r>
        <w:lastRenderedPageBreak/>
        <w:t xml:space="preserve">Table </w:t>
      </w:r>
      <w:r>
        <w:fldChar w:fldCharType="begin"/>
      </w:r>
      <w:r>
        <w:instrText xml:space="preserve"> SEQ Table \* ARABIC </w:instrText>
      </w:r>
      <w:r>
        <w:fldChar w:fldCharType="separate"/>
      </w:r>
      <w:r w:rsidR="007D2805">
        <w:rPr>
          <w:noProof/>
        </w:rPr>
        <w:t>1</w:t>
      </w:r>
      <w:r>
        <w:fldChar w:fldCharType="end"/>
      </w:r>
      <w:bookmarkEnd w:id="8"/>
      <w:r>
        <w:t xml:space="preserve">. Y-BDBR </w:t>
      </w:r>
      <w:r w:rsidR="00467B26">
        <w:t xml:space="preserve">(%) </w:t>
      </w:r>
      <w:r>
        <w:t>of different MCTS grids for equirectangular projection compared to not using tiles.</w:t>
      </w:r>
    </w:p>
    <w:tbl>
      <w:tblPr>
        <w:tblW w:w="6460" w:type="dxa"/>
        <w:jc w:val="center"/>
        <w:tblLook w:val="04A0" w:firstRow="1" w:lastRow="0" w:firstColumn="1" w:lastColumn="0" w:noHBand="0" w:noVBand="1"/>
      </w:tblPr>
      <w:tblGrid>
        <w:gridCol w:w="1774"/>
        <w:gridCol w:w="663"/>
        <w:gridCol w:w="663"/>
        <w:gridCol w:w="1120"/>
        <w:gridCol w:w="1120"/>
        <w:gridCol w:w="1120"/>
      </w:tblGrid>
      <w:tr w:rsidR="009620FA" w:rsidRPr="009620FA" w14:paraId="67E255C3" w14:textId="77777777" w:rsidTr="009620FA">
        <w:trPr>
          <w:trHeight w:val="300"/>
          <w:jc w:val="center"/>
        </w:trPr>
        <w:tc>
          <w:tcPr>
            <w:tcW w:w="177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CCEC82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
                <w:bCs/>
                <w:color w:val="000000"/>
                <w:sz w:val="22"/>
                <w:szCs w:val="22"/>
              </w:rPr>
            </w:pPr>
            <w:r w:rsidRPr="009620FA">
              <w:rPr>
                <w:rFonts w:ascii="Calibri" w:hAnsi="Calibri"/>
                <w:b/>
                <w:bCs/>
                <w:color w:val="000000"/>
                <w:sz w:val="22"/>
                <w:szCs w:val="22"/>
              </w:rPr>
              <w:t> </w:t>
            </w:r>
          </w:p>
        </w:tc>
        <w:tc>
          <w:tcPr>
            <w:tcW w:w="663" w:type="dxa"/>
            <w:tcBorders>
              <w:top w:val="single" w:sz="4" w:space="0" w:color="auto"/>
              <w:left w:val="nil"/>
              <w:bottom w:val="single" w:sz="4" w:space="0" w:color="auto"/>
              <w:right w:val="single" w:sz="4" w:space="0" w:color="auto"/>
            </w:tcBorders>
            <w:shd w:val="clear" w:color="000000" w:fill="FFFFFF"/>
            <w:noWrap/>
            <w:vAlign w:val="bottom"/>
            <w:hideMark/>
          </w:tcPr>
          <w:p w14:paraId="73E02DF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sz w:val="22"/>
                <w:szCs w:val="22"/>
              </w:rPr>
            </w:pPr>
            <w:r w:rsidRPr="009620FA">
              <w:rPr>
                <w:rFonts w:ascii="Calibri" w:hAnsi="Calibri"/>
                <w:b/>
                <w:bCs/>
                <w:color w:val="000000"/>
                <w:sz w:val="22"/>
                <w:szCs w:val="22"/>
              </w:rPr>
              <w:t>w</w:t>
            </w:r>
          </w:p>
        </w:tc>
        <w:tc>
          <w:tcPr>
            <w:tcW w:w="663" w:type="dxa"/>
            <w:tcBorders>
              <w:top w:val="single" w:sz="4" w:space="0" w:color="auto"/>
              <w:left w:val="nil"/>
              <w:bottom w:val="single" w:sz="4" w:space="0" w:color="auto"/>
              <w:right w:val="single" w:sz="4" w:space="0" w:color="auto"/>
            </w:tcBorders>
            <w:shd w:val="clear" w:color="000000" w:fill="FFFFFF"/>
            <w:noWrap/>
            <w:vAlign w:val="bottom"/>
            <w:hideMark/>
          </w:tcPr>
          <w:p w14:paraId="7A515637"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sz w:val="22"/>
                <w:szCs w:val="22"/>
              </w:rPr>
            </w:pPr>
            <w:r w:rsidRPr="009620FA">
              <w:rPr>
                <w:rFonts w:ascii="Calibri" w:hAnsi="Calibri"/>
                <w:b/>
                <w:bCs/>
                <w:color w:val="000000"/>
                <w:sz w:val="22"/>
                <w:szCs w:val="22"/>
              </w:rPr>
              <w:t>h</w:t>
            </w:r>
          </w:p>
        </w:tc>
        <w:tc>
          <w:tcPr>
            <w:tcW w:w="1120" w:type="dxa"/>
            <w:tcBorders>
              <w:top w:val="single" w:sz="4" w:space="0" w:color="auto"/>
              <w:left w:val="nil"/>
              <w:bottom w:val="single" w:sz="4" w:space="0" w:color="auto"/>
              <w:right w:val="single" w:sz="4" w:space="0" w:color="auto"/>
            </w:tcBorders>
            <w:shd w:val="clear" w:color="000000" w:fill="FFFFFF"/>
            <w:noWrap/>
            <w:vAlign w:val="bottom"/>
            <w:hideMark/>
          </w:tcPr>
          <w:p w14:paraId="1D65806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6x1</w:t>
            </w:r>
          </w:p>
        </w:tc>
        <w:tc>
          <w:tcPr>
            <w:tcW w:w="1120" w:type="dxa"/>
            <w:tcBorders>
              <w:top w:val="single" w:sz="4" w:space="0" w:color="auto"/>
              <w:left w:val="nil"/>
              <w:bottom w:val="single" w:sz="4" w:space="0" w:color="auto"/>
              <w:right w:val="single" w:sz="4" w:space="0" w:color="auto"/>
            </w:tcBorders>
            <w:shd w:val="clear" w:color="000000" w:fill="FFFFFF"/>
            <w:noWrap/>
            <w:vAlign w:val="bottom"/>
            <w:hideMark/>
          </w:tcPr>
          <w:p w14:paraId="59FAE194"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4x2</w:t>
            </w:r>
          </w:p>
        </w:tc>
        <w:tc>
          <w:tcPr>
            <w:tcW w:w="1120" w:type="dxa"/>
            <w:tcBorders>
              <w:top w:val="single" w:sz="4" w:space="0" w:color="auto"/>
              <w:left w:val="nil"/>
              <w:bottom w:val="single" w:sz="4" w:space="0" w:color="auto"/>
              <w:right w:val="single" w:sz="4" w:space="0" w:color="auto"/>
            </w:tcBorders>
            <w:shd w:val="clear" w:color="000000" w:fill="FFFFFF"/>
            <w:noWrap/>
            <w:vAlign w:val="bottom"/>
            <w:hideMark/>
          </w:tcPr>
          <w:p w14:paraId="08ACCA87"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12x8</w:t>
            </w:r>
          </w:p>
        </w:tc>
      </w:tr>
      <w:tr w:rsidR="009620FA" w:rsidRPr="009620FA" w14:paraId="52C3F34D"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710106E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BearAttack</w:t>
            </w:r>
          </w:p>
        </w:tc>
        <w:tc>
          <w:tcPr>
            <w:tcW w:w="663" w:type="dxa"/>
            <w:tcBorders>
              <w:top w:val="nil"/>
              <w:left w:val="nil"/>
              <w:bottom w:val="single" w:sz="4" w:space="0" w:color="auto"/>
              <w:right w:val="single" w:sz="4" w:space="0" w:color="auto"/>
            </w:tcBorders>
            <w:shd w:val="clear" w:color="000000" w:fill="F2F2F2"/>
            <w:noWrap/>
            <w:vAlign w:val="center"/>
            <w:hideMark/>
          </w:tcPr>
          <w:p w14:paraId="4F73EAA5"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2CFDA478"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199B51FC"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1.15</w:t>
            </w:r>
          </w:p>
        </w:tc>
        <w:tc>
          <w:tcPr>
            <w:tcW w:w="1120" w:type="dxa"/>
            <w:tcBorders>
              <w:top w:val="nil"/>
              <w:left w:val="nil"/>
              <w:bottom w:val="single" w:sz="4" w:space="0" w:color="auto"/>
              <w:right w:val="single" w:sz="4" w:space="0" w:color="auto"/>
            </w:tcBorders>
            <w:shd w:val="clear" w:color="000000" w:fill="F2F2F2"/>
            <w:noWrap/>
            <w:vAlign w:val="bottom"/>
            <w:hideMark/>
          </w:tcPr>
          <w:p w14:paraId="76A4E179"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1.04</w:t>
            </w:r>
          </w:p>
        </w:tc>
        <w:tc>
          <w:tcPr>
            <w:tcW w:w="1120" w:type="dxa"/>
            <w:tcBorders>
              <w:top w:val="nil"/>
              <w:left w:val="nil"/>
              <w:bottom w:val="single" w:sz="4" w:space="0" w:color="auto"/>
              <w:right w:val="single" w:sz="4" w:space="0" w:color="auto"/>
            </w:tcBorders>
            <w:shd w:val="clear" w:color="000000" w:fill="F2F2F2"/>
            <w:noWrap/>
            <w:vAlign w:val="bottom"/>
            <w:hideMark/>
          </w:tcPr>
          <w:p w14:paraId="2E6AD04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7.06</w:t>
            </w:r>
          </w:p>
        </w:tc>
      </w:tr>
      <w:tr w:rsidR="009620FA" w:rsidRPr="009620FA" w14:paraId="67961384"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4259B8D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Daisy</w:t>
            </w:r>
          </w:p>
        </w:tc>
        <w:tc>
          <w:tcPr>
            <w:tcW w:w="663" w:type="dxa"/>
            <w:tcBorders>
              <w:top w:val="nil"/>
              <w:left w:val="nil"/>
              <w:bottom w:val="single" w:sz="4" w:space="0" w:color="auto"/>
              <w:right w:val="single" w:sz="4" w:space="0" w:color="auto"/>
            </w:tcBorders>
            <w:shd w:val="clear" w:color="000000" w:fill="F2F2F2"/>
            <w:noWrap/>
            <w:vAlign w:val="center"/>
            <w:hideMark/>
          </w:tcPr>
          <w:p w14:paraId="0714470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2FF693B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218EA795"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1.00</w:t>
            </w:r>
          </w:p>
        </w:tc>
        <w:tc>
          <w:tcPr>
            <w:tcW w:w="1120" w:type="dxa"/>
            <w:tcBorders>
              <w:top w:val="nil"/>
              <w:left w:val="nil"/>
              <w:bottom w:val="single" w:sz="4" w:space="0" w:color="auto"/>
              <w:right w:val="single" w:sz="4" w:space="0" w:color="auto"/>
            </w:tcBorders>
            <w:shd w:val="clear" w:color="000000" w:fill="F2F2F2"/>
            <w:noWrap/>
            <w:vAlign w:val="bottom"/>
            <w:hideMark/>
          </w:tcPr>
          <w:p w14:paraId="78BFC48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2.13</w:t>
            </w:r>
          </w:p>
        </w:tc>
        <w:tc>
          <w:tcPr>
            <w:tcW w:w="1120" w:type="dxa"/>
            <w:tcBorders>
              <w:top w:val="nil"/>
              <w:left w:val="nil"/>
              <w:bottom w:val="single" w:sz="4" w:space="0" w:color="auto"/>
              <w:right w:val="single" w:sz="4" w:space="0" w:color="auto"/>
            </w:tcBorders>
            <w:shd w:val="clear" w:color="000000" w:fill="F2F2F2"/>
            <w:noWrap/>
            <w:vAlign w:val="bottom"/>
            <w:hideMark/>
          </w:tcPr>
          <w:p w14:paraId="6FE2B71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19.37</w:t>
            </w:r>
          </w:p>
        </w:tc>
      </w:tr>
      <w:tr w:rsidR="009620FA" w:rsidRPr="009620FA" w14:paraId="5A08C501"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0377910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LRRH</w:t>
            </w:r>
          </w:p>
        </w:tc>
        <w:tc>
          <w:tcPr>
            <w:tcW w:w="663" w:type="dxa"/>
            <w:tcBorders>
              <w:top w:val="nil"/>
              <w:left w:val="nil"/>
              <w:bottom w:val="single" w:sz="4" w:space="0" w:color="auto"/>
              <w:right w:val="single" w:sz="4" w:space="0" w:color="auto"/>
            </w:tcBorders>
            <w:shd w:val="clear" w:color="000000" w:fill="F2F2F2"/>
            <w:noWrap/>
            <w:vAlign w:val="center"/>
            <w:hideMark/>
          </w:tcPr>
          <w:p w14:paraId="1D03D73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3763533C"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787CF5D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0.40</w:t>
            </w:r>
          </w:p>
        </w:tc>
        <w:tc>
          <w:tcPr>
            <w:tcW w:w="1120" w:type="dxa"/>
            <w:tcBorders>
              <w:top w:val="nil"/>
              <w:left w:val="nil"/>
              <w:bottom w:val="single" w:sz="4" w:space="0" w:color="auto"/>
              <w:right w:val="single" w:sz="4" w:space="0" w:color="auto"/>
            </w:tcBorders>
            <w:shd w:val="clear" w:color="000000" w:fill="F2F2F2"/>
            <w:noWrap/>
            <w:vAlign w:val="bottom"/>
            <w:hideMark/>
          </w:tcPr>
          <w:p w14:paraId="6CF13404"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0.46</w:t>
            </w:r>
          </w:p>
        </w:tc>
        <w:tc>
          <w:tcPr>
            <w:tcW w:w="1120" w:type="dxa"/>
            <w:tcBorders>
              <w:top w:val="nil"/>
              <w:left w:val="nil"/>
              <w:bottom w:val="single" w:sz="4" w:space="0" w:color="auto"/>
              <w:right w:val="single" w:sz="4" w:space="0" w:color="auto"/>
            </w:tcBorders>
            <w:shd w:val="clear" w:color="000000" w:fill="F2F2F2"/>
            <w:noWrap/>
            <w:vAlign w:val="bottom"/>
            <w:hideMark/>
          </w:tcPr>
          <w:p w14:paraId="7C656CB8"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3.57</w:t>
            </w:r>
          </w:p>
        </w:tc>
      </w:tr>
      <w:tr w:rsidR="009620FA" w:rsidRPr="009620FA" w14:paraId="176E19DA"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1D7AA27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AerialCity</w:t>
            </w:r>
          </w:p>
        </w:tc>
        <w:tc>
          <w:tcPr>
            <w:tcW w:w="663" w:type="dxa"/>
            <w:tcBorders>
              <w:top w:val="nil"/>
              <w:left w:val="nil"/>
              <w:bottom w:val="single" w:sz="4" w:space="0" w:color="auto"/>
              <w:right w:val="single" w:sz="4" w:space="0" w:color="auto"/>
            </w:tcBorders>
            <w:shd w:val="clear" w:color="000000" w:fill="F2F2F2"/>
            <w:noWrap/>
            <w:vAlign w:val="center"/>
            <w:hideMark/>
          </w:tcPr>
          <w:p w14:paraId="04B66BD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6553158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3F6EC041"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4.70</w:t>
            </w:r>
          </w:p>
        </w:tc>
        <w:tc>
          <w:tcPr>
            <w:tcW w:w="1120" w:type="dxa"/>
            <w:tcBorders>
              <w:top w:val="nil"/>
              <w:left w:val="nil"/>
              <w:bottom w:val="single" w:sz="4" w:space="0" w:color="auto"/>
              <w:right w:val="single" w:sz="4" w:space="0" w:color="auto"/>
            </w:tcBorders>
            <w:shd w:val="clear" w:color="000000" w:fill="F2F2F2"/>
            <w:noWrap/>
            <w:vAlign w:val="bottom"/>
            <w:hideMark/>
          </w:tcPr>
          <w:p w14:paraId="16D2450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5.63</w:t>
            </w:r>
          </w:p>
        </w:tc>
        <w:tc>
          <w:tcPr>
            <w:tcW w:w="1120" w:type="dxa"/>
            <w:tcBorders>
              <w:top w:val="nil"/>
              <w:left w:val="nil"/>
              <w:bottom w:val="single" w:sz="4" w:space="0" w:color="auto"/>
              <w:right w:val="single" w:sz="4" w:space="0" w:color="auto"/>
            </w:tcBorders>
            <w:shd w:val="clear" w:color="000000" w:fill="F2F2F2"/>
            <w:noWrap/>
            <w:vAlign w:val="bottom"/>
            <w:hideMark/>
          </w:tcPr>
          <w:p w14:paraId="1BAEAEA1"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22.64</w:t>
            </w:r>
          </w:p>
        </w:tc>
      </w:tr>
      <w:tr w:rsidR="009620FA" w:rsidRPr="009620FA" w14:paraId="752642BB"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75E27EFB"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DrivingInCity</w:t>
            </w:r>
          </w:p>
        </w:tc>
        <w:tc>
          <w:tcPr>
            <w:tcW w:w="663" w:type="dxa"/>
            <w:tcBorders>
              <w:top w:val="nil"/>
              <w:left w:val="nil"/>
              <w:bottom w:val="single" w:sz="4" w:space="0" w:color="auto"/>
              <w:right w:val="single" w:sz="4" w:space="0" w:color="auto"/>
            </w:tcBorders>
            <w:shd w:val="clear" w:color="000000" w:fill="F2F2F2"/>
            <w:noWrap/>
            <w:vAlign w:val="center"/>
            <w:hideMark/>
          </w:tcPr>
          <w:p w14:paraId="0D2E6BA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48E3D07C"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66C20C7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3.84</w:t>
            </w:r>
          </w:p>
        </w:tc>
        <w:tc>
          <w:tcPr>
            <w:tcW w:w="1120" w:type="dxa"/>
            <w:tcBorders>
              <w:top w:val="nil"/>
              <w:left w:val="nil"/>
              <w:bottom w:val="single" w:sz="4" w:space="0" w:color="auto"/>
              <w:right w:val="single" w:sz="4" w:space="0" w:color="auto"/>
            </w:tcBorders>
            <w:shd w:val="clear" w:color="000000" w:fill="F2F2F2"/>
            <w:noWrap/>
            <w:vAlign w:val="bottom"/>
            <w:hideMark/>
          </w:tcPr>
          <w:p w14:paraId="3D6464BB"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7.54</w:t>
            </w:r>
          </w:p>
        </w:tc>
        <w:tc>
          <w:tcPr>
            <w:tcW w:w="1120" w:type="dxa"/>
            <w:tcBorders>
              <w:top w:val="nil"/>
              <w:left w:val="nil"/>
              <w:bottom w:val="single" w:sz="4" w:space="0" w:color="auto"/>
              <w:right w:val="single" w:sz="4" w:space="0" w:color="auto"/>
            </w:tcBorders>
            <w:shd w:val="clear" w:color="000000" w:fill="F2F2F2"/>
            <w:noWrap/>
            <w:vAlign w:val="bottom"/>
            <w:hideMark/>
          </w:tcPr>
          <w:p w14:paraId="4F79225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20.08</w:t>
            </w:r>
          </w:p>
        </w:tc>
      </w:tr>
      <w:tr w:rsidR="009620FA" w:rsidRPr="009620FA" w14:paraId="7A3C3D0D"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57DB00C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DrivingInCountry</w:t>
            </w:r>
          </w:p>
        </w:tc>
        <w:tc>
          <w:tcPr>
            <w:tcW w:w="663" w:type="dxa"/>
            <w:tcBorders>
              <w:top w:val="nil"/>
              <w:left w:val="nil"/>
              <w:bottom w:val="single" w:sz="4" w:space="0" w:color="auto"/>
              <w:right w:val="single" w:sz="4" w:space="0" w:color="auto"/>
            </w:tcBorders>
            <w:shd w:val="clear" w:color="000000" w:fill="F2F2F2"/>
            <w:noWrap/>
            <w:vAlign w:val="center"/>
            <w:hideMark/>
          </w:tcPr>
          <w:p w14:paraId="07BAEF3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2978385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0417661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5.58</w:t>
            </w:r>
          </w:p>
        </w:tc>
        <w:tc>
          <w:tcPr>
            <w:tcW w:w="1120" w:type="dxa"/>
            <w:tcBorders>
              <w:top w:val="nil"/>
              <w:left w:val="nil"/>
              <w:bottom w:val="single" w:sz="4" w:space="0" w:color="auto"/>
              <w:right w:val="single" w:sz="4" w:space="0" w:color="auto"/>
            </w:tcBorders>
            <w:shd w:val="clear" w:color="000000" w:fill="F2F2F2"/>
            <w:noWrap/>
            <w:vAlign w:val="bottom"/>
            <w:hideMark/>
          </w:tcPr>
          <w:p w14:paraId="10B51299"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6.32</w:t>
            </w:r>
          </w:p>
        </w:tc>
        <w:tc>
          <w:tcPr>
            <w:tcW w:w="1120" w:type="dxa"/>
            <w:tcBorders>
              <w:top w:val="nil"/>
              <w:left w:val="nil"/>
              <w:bottom w:val="single" w:sz="4" w:space="0" w:color="auto"/>
              <w:right w:val="single" w:sz="4" w:space="0" w:color="auto"/>
            </w:tcBorders>
            <w:shd w:val="clear" w:color="000000" w:fill="F2F2F2"/>
            <w:noWrap/>
            <w:vAlign w:val="bottom"/>
            <w:hideMark/>
          </w:tcPr>
          <w:p w14:paraId="0D972391"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23.49</w:t>
            </w:r>
          </w:p>
        </w:tc>
      </w:tr>
      <w:tr w:rsidR="009620FA" w:rsidRPr="009620FA" w14:paraId="1A65D75B"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2F2F2"/>
            <w:noWrap/>
            <w:vAlign w:val="bottom"/>
            <w:hideMark/>
          </w:tcPr>
          <w:p w14:paraId="73FF1195"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PoleVault</w:t>
            </w:r>
          </w:p>
        </w:tc>
        <w:tc>
          <w:tcPr>
            <w:tcW w:w="663" w:type="dxa"/>
            <w:tcBorders>
              <w:top w:val="nil"/>
              <w:left w:val="nil"/>
              <w:bottom w:val="single" w:sz="4" w:space="0" w:color="auto"/>
              <w:right w:val="single" w:sz="4" w:space="0" w:color="auto"/>
            </w:tcBorders>
            <w:shd w:val="clear" w:color="000000" w:fill="F2F2F2"/>
            <w:noWrap/>
            <w:vAlign w:val="center"/>
            <w:hideMark/>
          </w:tcPr>
          <w:p w14:paraId="1B5276B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3840</w:t>
            </w:r>
          </w:p>
        </w:tc>
        <w:tc>
          <w:tcPr>
            <w:tcW w:w="663" w:type="dxa"/>
            <w:tcBorders>
              <w:top w:val="nil"/>
              <w:left w:val="nil"/>
              <w:bottom w:val="single" w:sz="4" w:space="0" w:color="auto"/>
              <w:right w:val="single" w:sz="4" w:space="0" w:color="auto"/>
            </w:tcBorders>
            <w:shd w:val="clear" w:color="000000" w:fill="F2F2F2"/>
            <w:noWrap/>
            <w:vAlign w:val="center"/>
            <w:hideMark/>
          </w:tcPr>
          <w:p w14:paraId="45A03DF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1920</w:t>
            </w:r>
          </w:p>
        </w:tc>
        <w:tc>
          <w:tcPr>
            <w:tcW w:w="1120" w:type="dxa"/>
            <w:tcBorders>
              <w:top w:val="nil"/>
              <w:left w:val="nil"/>
              <w:bottom w:val="single" w:sz="4" w:space="0" w:color="auto"/>
              <w:right w:val="single" w:sz="4" w:space="0" w:color="auto"/>
            </w:tcBorders>
            <w:shd w:val="clear" w:color="000000" w:fill="F2F2F2"/>
            <w:noWrap/>
            <w:vAlign w:val="bottom"/>
            <w:hideMark/>
          </w:tcPr>
          <w:p w14:paraId="2F76FD0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0.99</w:t>
            </w:r>
          </w:p>
        </w:tc>
        <w:tc>
          <w:tcPr>
            <w:tcW w:w="1120" w:type="dxa"/>
            <w:tcBorders>
              <w:top w:val="nil"/>
              <w:left w:val="nil"/>
              <w:bottom w:val="single" w:sz="4" w:space="0" w:color="auto"/>
              <w:right w:val="single" w:sz="4" w:space="0" w:color="auto"/>
            </w:tcBorders>
            <w:shd w:val="clear" w:color="000000" w:fill="F2F2F2"/>
            <w:noWrap/>
            <w:vAlign w:val="bottom"/>
            <w:hideMark/>
          </w:tcPr>
          <w:p w14:paraId="02D5175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0.83</w:t>
            </w:r>
          </w:p>
        </w:tc>
        <w:tc>
          <w:tcPr>
            <w:tcW w:w="1120" w:type="dxa"/>
            <w:tcBorders>
              <w:top w:val="nil"/>
              <w:left w:val="nil"/>
              <w:bottom w:val="single" w:sz="4" w:space="0" w:color="auto"/>
              <w:right w:val="single" w:sz="4" w:space="0" w:color="auto"/>
            </w:tcBorders>
            <w:shd w:val="clear" w:color="000000" w:fill="F2F2F2"/>
            <w:noWrap/>
            <w:vAlign w:val="bottom"/>
            <w:hideMark/>
          </w:tcPr>
          <w:p w14:paraId="43EDF1E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5.14</w:t>
            </w:r>
          </w:p>
        </w:tc>
      </w:tr>
      <w:tr w:rsidR="009620FA" w:rsidRPr="009620FA" w14:paraId="5F46C372"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D9D9D9"/>
            <w:noWrap/>
            <w:vAlign w:val="bottom"/>
            <w:hideMark/>
          </w:tcPr>
          <w:p w14:paraId="50037D8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Sheriff</w:t>
            </w:r>
          </w:p>
        </w:tc>
        <w:tc>
          <w:tcPr>
            <w:tcW w:w="663" w:type="dxa"/>
            <w:tcBorders>
              <w:top w:val="nil"/>
              <w:left w:val="nil"/>
              <w:bottom w:val="single" w:sz="4" w:space="0" w:color="auto"/>
              <w:right w:val="single" w:sz="4" w:space="0" w:color="auto"/>
            </w:tcBorders>
            <w:shd w:val="clear" w:color="000000" w:fill="D9D9D9"/>
            <w:noWrap/>
            <w:vAlign w:val="center"/>
            <w:hideMark/>
          </w:tcPr>
          <w:p w14:paraId="30F351C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4096</w:t>
            </w:r>
          </w:p>
        </w:tc>
        <w:tc>
          <w:tcPr>
            <w:tcW w:w="663" w:type="dxa"/>
            <w:tcBorders>
              <w:top w:val="nil"/>
              <w:left w:val="nil"/>
              <w:bottom w:val="single" w:sz="4" w:space="0" w:color="auto"/>
              <w:right w:val="single" w:sz="4" w:space="0" w:color="auto"/>
            </w:tcBorders>
            <w:shd w:val="clear" w:color="000000" w:fill="D9D9D9"/>
            <w:noWrap/>
            <w:vAlign w:val="center"/>
            <w:hideMark/>
          </w:tcPr>
          <w:p w14:paraId="019404F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2048</w:t>
            </w:r>
          </w:p>
        </w:tc>
        <w:tc>
          <w:tcPr>
            <w:tcW w:w="1120" w:type="dxa"/>
            <w:tcBorders>
              <w:top w:val="nil"/>
              <w:left w:val="nil"/>
              <w:bottom w:val="single" w:sz="4" w:space="0" w:color="auto"/>
              <w:right w:val="single" w:sz="4" w:space="0" w:color="auto"/>
            </w:tcBorders>
            <w:shd w:val="clear" w:color="000000" w:fill="D9D9D9"/>
            <w:noWrap/>
            <w:vAlign w:val="bottom"/>
            <w:hideMark/>
          </w:tcPr>
          <w:p w14:paraId="268E9BB8"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0.94</w:t>
            </w:r>
          </w:p>
        </w:tc>
        <w:tc>
          <w:tcPr>
            <w:tcW w:w="1120" w:type="dxa"/>
            <w:tcBorders>
              <w:top w:val="nil"/>
              <w:left w:val="nil"/>
              <w:bottom w:val="single" w:sz="4" w:space="0" w:color="auto"/>
              <w:right w:val="single" w:sz="4" w:space="0" w:color="auto"/>
            </w:tcBorders>
            <w:shd w:val="clear" w:color="000000" w:fill="D9D9D9"/>
            <w:noWrap/>
            <w:vAlign w:val="bottom"/>
            <w:hideMark/>
          </w:tcPr>
          <w:p w14:paraId="47F8B99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1.01</w:t>
            </w:r>
          </w:p>
        </w:tc>
        <w:tc>
          <w:tcPr>
            <w:tcW w:w="1120" w:type="dxa"/>
            <w:tcBorders>
              <w:top w:val="nil"/>
              <w:left w:val="nil"/>
              <w:bottom w:val="single" w:sz="4" w:space="0" w:color="auto"/>
              <w:right w:val="single" w:sz="4" w:space="0" w:color="auto"/>
            </w:tcBorders>
            <w:shd w:val="clear" w:color="000000" w:fill="D9D9D9"/>
            <w:noWrap/>
            <w:vAlign w:val="bottom"/>
            <w:hideMark/>
          </w:tcPr>
          <w:p w14:paraId="2BF4895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9.49</w:t>
            </w:r>
          </w:p>
        </w:tc>
      </w:tr>
      <w:tr w:rsidR="009620FA" w:rsidRPr="009620FA" w14:paraId="087B316A"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D9D9D9"/>
            <w:noWrap/>
            <w:vAlign w:val="bottom"/>
            <w:hideMark/>
          </w:tcPr>
          <w:p w14:paraId="38C4E69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Driving360</w:t>
            </w:r>
          </w:p>
        </w:tc>
        <w:tc>
          <w:tcPr>
            <w:tcW w:w="663" w:type="dxa"/>
            <w:tcBorders>
              <w:top w:val="nil"/>
              <w:left w:val="nil"/>
              <w:bottom w:val="single" w:sz="4" w:space="0" w:color="auto"/>
              <w:right w:val="single" w:sz="4" w:space="0" w:color="auto"/>
            </w:tcBorders>
            <w:shd w:val="clear" w:color="000000" w:fill="D9D9D9"/>
            <w:noWrap/>
            <w:vAlign w:val="center"/>
            <w:hideMark/>
          </w:tcPr>
          <w:p w14:paraId="74D0456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4096</w:t>
            </w:r>
          </w:p>
        </w:tc>
        <w:tc>
          <w:tcPr>
            <w:tcW w:w="663" w:type="dxa"/>
            <w:tcBorders>
              <w:top w:val="nil"/>
              <w:left w:val="nil"/>
              <w:bottom w:val="single" w:sz="4" w:space="0" w:color="auto"/>
              <w:right w:val="single" w:sz="4" w:space="0" w:color="auto"/>
            </w:tcBorders>
            <w:shd w:val="clear" w:color="000000" w:fill="D9D9D9"/>
            <w:noWrap/>
            <w:vAlign w:val="center"/>
            <w:hideMark/>
          </w:tcPr>
          <w:p w14:paraId="7503E3AC"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2048</w:t>
            </w:r>
          </w:p>
        </w:tc>
        <w:tc>
          <w:tcPr>
            <w:tcW w:w="1120" w:type="dxa"/>
            <w:tcBorders>
              <w:top w:val="nil"/>
              <w:left w:val="nil"/>
              <w:bottom w:val="single" w:sz="4" w:space="0" w:color="auto"/>
              <w:right w:val="single" w:sz="4" w:space="0" w:color="auto"/>
            </w:tcBorders>
            <w:shd w:val="clear" w:color="000000" w:fill="D9D9D9"/>
            <w:noWrap/>
            <w:vAlign w:val="bottom"/>
            <w:hideMark/>
          </w:tcPr>
          <w:p w14:paraId="31423A8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6.97</w:t>
            </w:r>
          </w:p>
        </w:tc>
        <w:tc>
          <w:tcPr>
            <w:tcW w:w="1120" w:type="dxa"/>
            <w:tcBorders>
              <w:top w:val="nil"/>
              <w:left w:val="nil"/>
              <w:bottom w:val="single" w:sz="4" w:space="0" w:color="auto"/>
              <w:right w:val="single" w:sz="4" w:space="0" w:color="auto"/>
            </w:tcBorders>
            <w:shd w:val="clear" w:color="000000" w:fill="D9D9D9"/>
            <w:noWrap/>
            <w:vAlign w:val="bottom"/>
            <w:hideMark/>
          </w:tcPr>
          <w:p w14:paraId="54CCA01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11.63</w:t>
            </w:r>
          </w:p>
        </w:tc>
        <w:tc>
          <w:tcPr>
            <w:tcW w:w="1120" w:type="dxa"/>
            <w:tcBorders>
              <w:top w:val="nil"/>
              <w:left w:val="nil"/>
              <w:bottom w:val="single" w:sz="4" w:space="0" w:color="auto"/>
              <w:right w:val="single" w:sz="4" w:space="0" w:color="auto"/>
            </w:tcBorders>
            <w:shd w:val="clear" w:color="000000" w:fill="D9D9D9"/>
            <w:noWrap/>
            <w:vAlign w:val="bottom"/>
            <w:hideMark/>
          </w:tcPr>
          <w:p w14:paraId="49276C8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40.65</w:t>
            </w:r>
          </w:p>
        </w:tc>
      </w:tr>
      <w:tr w:rsidR="009620FA" w:rsidRPr="009620FA" w14:paraId="1DECB19D"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D9D9D9"/>
            <w:noWrap/>
            <w:vAlign w:val="bottom"/>
            <w:hideMark/>
          </w:tcPr>
          <w:p w14:paraId="7923761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Dancing360</w:t>
            </w:r>
          </w:p>
        </w:tc>
        <w:tc>
          <w:tcPr>
            <w:tcW w:w="663" w:type="dxa"/>
            <w:tcBorders>
              <w:top w:val="nil"/>
              <w:left w:val="nil"/>
              <w:bottom w:val="single" w:sz="4" w:space="0" w:color="auto"/>
              <w:right w:val="single" w:sz="4" w:space="0" w:color="auto"/>
            </w:tcBorders>
            <w:shd w:val="clear" w:color="000000" w:fill="D9D9D9"/>
            <w:noWrap/>
            <w:vAlign w:val="center"/>
            <w:hideMark/>
          </w:tcPr>
          <w:p w14:paraId="60762E3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4096</w:t>
            </w:r>
          </w:p>
        </w:tc>
        <w:tc>
          <w:tcPr>
            <w:tcW w:w="663" w:type="dxa"/>
            <w:tcBorders>
              <w:top w:val="nil"/>
              <w:left w:val="nil"/>
              <w:bottom w:val="single" w:sz="4" w:space="0" w:color="auto"/>
              <w:right w:val="single" w:sz="4" w:space="0" w:color="auto"/>
            </w:tcBorders>
            <w:shd w:val="clear" w:color="000000" w:fill="D9D9D9"/>
            <w:noWrap/>
            <w:vAlign w:val="center"/>
            <w:hideMark/>
          </w:tcPr>
          <w:p w14:paraId="30D8CAE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2048</w:t>
            </w:r>
          </w:p>
        </w:tc>
        <w:tc>
          <w:tcPr>
            <w:tcW w:w="1120" w:type="dxa"/>
            <w:tcBorders>
              <w:top w:val="nil"/>
              <w:left w:val="nil"/>
              <w:bottom w:val="single" w:sz="4" w:space="0" w:color="auto"/>
              <w:right w:val="single" w:sz="4" w:space="0" w:color="auto"/>
            </w:tcBorders>
            <w:shd w:val="clear" w:color="000000" w:fill="D9D9D9"/>
            <w:noWrap/>
            <w:vAlign w:val="bottom"/>
            <w:hideMark/>
          </w:tcPr>
          <w:p w14:paraId="07EDCE1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0.99</w:t>
            </w:r>
          </w:p>
        </w:tc>
        <w:tc>
          <w:tcPr>
            <w:tcW w:w="1120" w:type="dxa"/>
            <w:tcBorders>
              <w:top w:val="nil"/>
              <w:left w:val="nil"/>
              <w:bottom w:val="single" w:sz="4" w:space="0" w:color="auto"/>
              <w:right w:val="single" w:sz="4" w:space="0" w:color="auto"/>
            </w:tcBorders>
            <w:shd w:val="clear" w:color="000000" w:fill="D9D9D9"/>
            <w:noWrap/>
            <w:vAlign w:val="bottom"/>
            <w:hideMark/>
          </w:tcPr>
          <w:p w14:paraId="4908736B"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1.30</w:t>
            </w:r>
          </w:p>
        </w:tc>
        <w:tc>
          <w:tcPr>
            <w:tcW w:w="1120" w:type="dxa"/>
            <w:tcBorders>
              <w:top w:val="nil"/>
              <w:left w:val="nil"/>
              <w:bottom w:val="single" w:sz="4" w:space="0" w:color="auto"/>
              <w:right w:val="single" w:sz="4" w:space="0" w:color="auto"/>
            </w:tcBorders>
            <w:shd w:val="clear" w:color="000000" w:fill="D9D9D9"/>
            <w:noWrap/>
            <w:vAlign w:val="bottom"/>
            <w:hideMark/>
          </w:tcPr>
          <w:p w14:paraId="64409DA5"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12.83</w:t>
            </w:r>
          </w:p>
        </w:tc>
      </w:tr>
      <w:tr w:rsidR="009620FA" w:rsidRPr="009620FA" w14:paraId="3006F454"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BFBFBF"/>
            <w:noWrap/>
            <w:vAlign w:val="bottom"/>
            <w:hideMark/>
          </w:tcPr>
          <w:p w14:paraId="1C669261"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Balboa</w:t>
            </w:r>
          </w:p>
        </w:tc>
        <w:tc>
          <w:tcPr>
            <w:tcW w:w="663" w:type="dxa"/>
            <w:tcBorders>
              <w:top w:val="nil"/>
              <w:left w:val="nil"/>
              <w:bottom w:val="single" w:sz="4" w:space="0" w:color="auto"/>
              <w:right w:val="single" w:sz="4" w:space="0" w:color="auto"/>
            </w:tcBorders>
            <w:shd w:val="clear" w:color="000000" w:fill="BFBFBF"/>
            <w:noWrap/>
            <w:vAlign w:val="center"/>
            <w:hideMark/>
          </w:tcPr>
          <w:p w14:paraId="260A4B8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6144</w:t>
            </w:r>
          </w:p>
        </w:tc>
        <w:tc>
          <w:tcPr>
            <w:tcW w:w="663" w:type="dxa"/>
            <w:tcBorders>
              <w:top w:val="nil"/>
              <w:left w:val="nil"/>
              <w:bottom w:val="single" w:sz="4" w:space="0" w:color="auto"/>
              <w:right w:val="single" w:sz="4" w:space="0" w:color="auto"/>
            </w:tcBorders>
            <w:shd w:val="clear" w:color="000000" w:fill="BFBFBF"/>
            <w:noWrap/>
            <w:vAlign w:val="center"/>
            <w:hideMark/>
          </w:tcPr>
          <w:p w14:paraId="73FFA3D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3072</w:t>
            </w:r>
          </w:p>
        </w:tc>
        <w:tc>
          <w:tcPr>
            <w:tcW w:w="1120" w:type="dxa"/>
            <w:tcBorders>
              <w:top w:val="nil"/>
              <w:left w:val="nil"/>
              <w:bottom w:val="single" w:sz="4" w:space="0" w:color="auto"/>
              <w:right w:val="single" w:sz="4" w:space="0" w:color="auto"/>
            </w:tcBorders>
            <w:shd w:val="clear" w:color="000000" w:fill="BFBFBF"/>
            <w:noWrap/>
            <w:vAlign w:val="bottom"/>
            <w:hideMark/>
          </w:tcPr>
          <w:p w14:paraId="313EA690"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3.38</w:t>
            </w:r>
          </w:p>
        </w:tc>
        <w:tc>
          <w:tcPr>
            <w:tcW w:w="1120" w:type="dxa"/>
            <w:tcBorders>
              <w:top w:val="nil"/>
              <w:left w:val="nil"/>
              <w:bottom w:val="single" w:sz="4" w:space="0" w:color="auto"/>
              <w:right w:val="single" w:sz="4" w:space="0" w:color="auto"/>
            </w:tcBorders>
            <w:shd w:val="clear" w:color="000000" w:fill="BFBFBF"/>
            <w:noWrap/>
            <w:vAlign w:val="bottom"/>
            <w:hideMark/>
          </w:tcPr>
          <w:p w14:paraId="4B88A23A"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4.07</w:t>
            </w:r>
          </w:p>
        </w:tc>
        <w:tc>
          <w:tcPr>
            <w:tcW w:w="1120" w:type="dxa"/>
            <w:tcBorders>
              <w:top w:val="nil"/>
              <w:left w:val="nil"/>
              <w:bottom w:val="single" w:sz="4" w:space="0" w:color="auto"/>
              <w:right w:val="single" w:sz="4" w:space="0" w:color="auto"/>
            </w:tcBorders>
            <w:shd w:val="clear" w:color="000000" w:fill="BFBFBF"/>
            <w:noWrap/>
            <w:vAlign w:val="bottom"/>
            <w:hideMark/>
          </w:tcPr>
          <w:p w14:paraId="53C4629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16.75</w:t>
            </w:r>
          </w:p>
        </w:tc>
      </w:tr>
      <w:tr w:rsidR="009620FA" w:rsidRPr="009620FA" w14:paraId="2A73FF3A"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BFBFBF"/>
            <w:noWrap/>
            <w:vAlign w:val="bottom"/>
            <w:hideMark/>
          </w:tcPr>
          <w:p w14:paraId="15D7FA35"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BranCastle</w:t>
            </w:r>
          </w:p>
        </w:tc>
        <w:tc>
          <w:tcPr>
            <w:tcW w:w="663" w:type="dxa"/>
            <w:tcBorders>
              <w:top w:val="nil"/>
              <w:left w:val="nil"/>
              <w:bottom w:val="single" w:sz="4" w:space="0" w:color="auto"/>
              <w:right w:val="single" w:sz="4" w:space="0" w:color="auto"/>
            </w:tcBorders>
            <w:shd w:val="clear" w:color="000000" w:fill="BFBFBF"/>
            <w:noWrap/>
            <w:vAlign w:val="center"/>
            <w:hideMark/>
          </w:tcPr>
          <w:p w14:paraId="19A685D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6144</w:t>
            </w:r>
          </w:p>
        </w:tc>
        <w:tc>
          <w:tcPr>
            <w:tcW w:w="663" w:type="dxa"/>
            <w:tcBorders>
              <w:top w:val="nil"/>
              <w:left w:val="nil"/>
              <w:bottom w:val="single" w:sz="4" w:space="0" w:color="auto"/>
              <w:right w:val="single" w:sz="4" w:space="0" w:color="auto"/>
            </w:tcBorders>
            <w:shd w:val="clear" w:color="000000" w:fill="BFBFBF"/>
            <w:noWrap/>
            <w:vAlign w:val="center"/>
            <w:hideMark/>
          </w:tcPr>
          <w:p w14:paraId="246A5B7C"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3072</w:t>
            </w:r>
          </w:p>
        </w:tc>
        <w:tc>
          <w:tcPr>
            <w:tcW w:w="1120" w:type="dxa"/>
            <w:tcBorders>
              <w:top w:val="nil"/>
              <w:left w:val="nil"/>
              <w:bottom w:val="single" w:sz="4" w:space="0" w:color="auto"/>
              <w:right w:val="single" w:sz="4" w:space="0" w:color="auto"/>
            </w:tcBorders>
            <w:shd w:val="clear" w:color="000000" w:fill="BFBFBF"/>
            <w:noWrap/>
            <w:vAlign w:val="bottom"/>
            <w:hideMark/>
          </w:tcPr>
          <w:p w14:paraId="1F44629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1.17</w:t>
            </w:r>
          </w:p>
        </w:tc>
        <w:tc>
          <w:tcPr>
            <w:tcW w:w="1120" w:type="dxa"/>
            <w:tcBorders>
              <w:top w:val="nil"/>
              <w:left w:val="nil"/>
              <w:bottom w:val="single" w:sz="4" w:space="0" w:color="auto"/>
              <w:right w:val="single" w:sz="4" w:space="0" w:color="auto"/>
            </w:tcBorders>
            <w:shd w:val="clear" w:color="000000" w:fill="BFBFBF"/>
            <w:noWrap/>
            <w:vAlign w:val="bottom"/>
            <w:hideMark/>
          </w:tcPr>
          <w:p w14:paraId="1D87EE37"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0.98</w:t>
            </w:r>
          </w:p>
        </w:tc>
        <w:tc>
          <w:tcPr>
            <w:tcW w:w="1120" w:type="dxa"/>
            <w:tcBorders>
              <w:top w:val="nil"/>
              <w:left w:val="nil"/>
              <w:bottom w:val="single" w:sz="4" w:space="0" w:color="auto"/>
              <w:right w:val="single" w:sz="4" w:space="0" w:color="auto"/>
            </w:tcBorders>
            <w:shd w:val="clear" w:color="000000" w:fill="BFBFBF"/>
            <w:noWrap/>
            <w:vAlign w:val="bottom"/>
            <w:hideMark/>
          </w:tcPr>
          <w:p w14:paraId="02CA6AE8"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5.83</w:t>
            </w:r>
          </w:p>
        </w:tc>
      </w:tr>
      <w:tr w:rsidR="009620FA" w:rsidRPr="009620FA" w14:paraId="4CA1140F"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BFBFBF"/>
            <w:noWrap/>
            <w:vAlign w:val="bottom"/>
            <w:hideMark/>
          </w:tcPr>
          <w:p w14:paraId="3F132FB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Broadway</w:t>
            </w:r>
          </w:p>
        </w:tc>
        <w:tc>
          <w:tcPr>
            <w:tcW w:w="663" w:type="dxa"/>
            <w:tcBorders>
              <w:top w:val="nil"/>
              <w:left w:val="nil"/>
              <w:bottom w:val="single" w:sz="4" w:space="0" w:color="auto"/>
              <w:right w:val="single" w:sz="4" w:space="0" w:color="auto"/>
            </w:tcBorders>
            <w:shd w:val="clear" w:color="000000" w:fill="BFBFBF"/>
            <w:noWrap/>
            <w:vAlign w:val="center"/>
            <w:hideMark/>
          </w:tcPr>
          <w:p w14:paraId="5E1A2937"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6144</w:t>
            </w:r>
          </w:p>
        </w:tc>
        <w:tc>
          <w:tcPr>
            <w:tcW w:w="663" w:type="dxa"/>
            <w:tcBorders>
              <w:top w:val="nil"/>
              <w:left w:val="nil"/>
              <w:bottom w:val="single" w:sz="4" w:space="0" w:color="auto"/>
              <w:right w:val="single" w:sz="4" w:space="0" w:color="auto"/>
            </w:tcBorders>
            <w:shd w:val="clear" w:color="000000" w:fill="BFBFBF"/>
            <w:noWrap/>
            <w:vAlign w:val="center"/>
            <w:hideMark/>
          </w:tcPr>
          <w:p w14:paraId="2CAC037D"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3072</w:t>
            </w:r>
          </w:p>
        </w:tc>
        <w:tc>
          <w:tcPr>
            <w:tcW w:w="1120" w:type="dxa"/>
            <w:tcBorders>
              <w:top w:val="nil"/>
              <w:left w:val="nil"/>
              <w:bottom w:val="single" w:sz="4" w:space="0" w:color="auto"/>
              <w:right w:val="single" w:sz="4" w:space="0" w:color="auto"/>
            </w:tcBorders>
            <w:shd w:val="clear" w:color="000000" w:fill="BFBFBF"/>
            <w:noWrap/>
            <w:vAlign w:val="bottom"/>
            <w:hideMark/>
          </w:tcPr>
          <w:p w14:paraId="5E0EAA7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2.57</w:t>
            </w:r>
          </w:p>
        </w:tc>
        <w:tc>
          <w:tcPr>
            <w:tcW w:w="1120" w:type="dxa"/>
            <w:tcBorders>
              <w:top w:val="nil"/>
              <w:left w:val="nil"/>
              <w:bottom w:val="single" w:sz="4" w:space="0" w:color="auto"/>
              <w:right w:val="single" w:sz="4" w:space="0" w:color="auto"/>
            </w:tcBorders>
            <w:shd w:val="clear" w:color="000000" w:fill="BFBFBF"/>
            <w:noWrap/>
            <w:vAlign w:val="bottom"/>
            <w:hideMark/>
          </w:tcPr>
          <w:p w14:paraId="73ADE806"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2.59</w:t>
            </w:r>
          </w:p>
        </w:tc>
        <w:tc>
          <w:tcPr>
            <w:tcW w:w="1120" w:type="dxa"/>
            <w:tcBorders>
              <w:top w:val="nil"/>
              <w:left w:val="nil"/>
              <w:bottom w:val="single" w:sz="4" w:space="0" w:color="auto"/>
              <w:right w:val="single" w:sz="4" w:space="0" w:color="auto"/>
            </w:tcBorders>
            <w:shd w:val="clear" w:color="000000" w:fill="BFBFBF"/>
            <w:noWrap/>
            <w:vAlign w:val="bottom"/>
            <w:hideMark/>
          </w:tcPr>
          <w:p w14:paraId="71AB1DBF"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14.12</w:t>
            </w:r>
          </w:p>
        </w:tc>
      </w:tr>
      <w:tr w:rsidR="009620FA" w:rsidRPr="009620FA" w14:paraId="7D7FA5E2"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BFBFBF"/>
            <w:noWrap/>
            <w:vAlign w:val="bottom"/>
            <w:hideMark/>
          </w:tcPr>
          <w:p w14:paraId="5A8B5E09"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Cs/>
                <w:color w:val="000000"/>
                <w:sz w:val="22"/>
                <w:szCs w:val="22"/>
              </w:rPr>
            </w:pPr>
            <w:r w:rsidRPr="009620FA">
              <w:rPr>
                <w:rFonts w:ascii="Calibri" w:hAnsi="Calibri"/>
                <w:bCs/>
                <w:color w:val="000000"/>
                <w:sz w:val="22"/>
                <w:szCs w:val="22"/>
              </w:rPr>
              <w:t>Landing</w:t>
            </w:r>
          </w:p>
        </w:tc>
        <w:tc>
          <w:tcPr>
            <w:tcW w:w="663" w:type="dxa"/>
            <w:tcBorders>
              <w:top w:val="nil"/>
              <w:left w:val="nil"/>
              <w:bottom w:val="single" w:sz="4" w:space="0" w:color="auto"/>
              <w:right w:val="single" w:sz="4" w:space="0" w:color="auto"/>
            </w:tcBorders>
            <w:shd w:val="clear" w:color="000000" w:fill="BFBFBF"/>
            <w:noWrap/>
            <w:vAlign w:val="center"/>
            <w:hideMark/>
          </w:tcPr>
          <w:p w14:paraId="2FA37043"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6144</w:t>
            </w:r>
          </w:p>
        </w:tc>
        <w:tc>
          <w:tcPr>
            <w:tcW w:w="663" w:type="dxa"/>
            <w:tcBorders>
              <w:top w:val="nil"/>
              <w:left w:val="nil"/>
              <w:bottom w:val="single" w:sz="4" w:space="0" w:color="auto"/>
              <w:right w:val="single" w:sz="4" w:space="0" w:color="auto"/>
            </w:tcBorders>
            <w:shd w:val="clear" w:color="000000" w:fill="BFBFBF"/>
            <w:noWrap/>
            <w:vAlign w:val="center"/>
            <w:hideMark/>
          </w:tcPr>
          <w:p w14:paraId="2C1690E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sz w:val="22"/>
                <w:szCs w:val="22"/>
              </w:rPr>
            </w:pPr>
            <w:r w:rsidRPr="009620FA">
              <w:rPr>
                <w:rFonts w:ascii="Calibri" w:hAnsi="Calibri"/>
                <w:color w:val="000000"/>
                <w:sz w:val="22"/>
                <w:szCs w:val="22"/>
              </w:rPr>
              <w:t>3072</w:t>
            </w:r>
          </w:p>
        </w:tc>
        <w:tc>
          <w:tcPr>
            <w:tcW w:w="1120" w:type="dxa"/>
            <w:tcBorders>
              <w:top w:val="nil"/>
              <w:left w:val="nil"/>
              <w:bottom w:val="single" w:sz="4" w:space="0" w:color="auto"/>
              <w:right w:val="single" w:sz="4" w:space="0" w:color="auto"/>
            </w:tcBorders>
            <w:shd w:val="clear" w:color="000000" w:fill="BFBFBF"/>
            <w:noWrap/>
            <w:vAlign w:val="bottom"/>
            <w:hideMark/>
          </w:tcPr>
          <w:p w14:paraId="78C10012"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1.79</w:t>
            </w:r>
          </w:p>
        </w:tc>
        <w:tc>
          <w:tcPr>
            <w:tcW w:w="1120" w:type="dxa"/>
            <w:tcBorders>
              <w:top w:val="nil"/>
              <w:left w:val="nil"/>
              <w:bottom w:val="single" w:sz="4" w:space="0" w:color="auto"/>
              <w:right w:val="single" w:sz="4" w:space="0" w:color="auto"/>
            </w:tcBorders>
            <w:shd w:val="clear" w:color="000000" w:fill="BFBFBF"/>
            <w:noWrap/>
            <w:vAlign w:val="bottom"/>
            <w:hideMark/>
          </w:tcPr>
          <w:p w14:paraId="1F2CA7CE"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1.63</w:t>
            </w:r>
          </w:p>
        </w:tc>
        <w:tc>
          <w:tcPr>
            <w:tcW w:w="1120" w:type="dxa"/>
            <w:tcBorders>
              <w:top w:val="nil"/>
              <w:left w:val="nil"/>
              <w:bottom w:val="single" w:sz="4" w:space="0" w:color="auto"/>
              <w:right w:val="single" w:sz="4" w:space="0" w:color="auto"/>
            </w:tcBorders>
            <w:shd w:val="clear" w:color="000000" w:fill="BFBFBF"/>
            <w:noWrap/>
            <w:vAlign w:val="bottom"/>
            <w:hideMark/>
          </w:tcPr>
          <w:p w14:paraId="0F2E47A8" w14:textId="77777777" w:rsidR="009620FA" w:rsidRPr="009620FA" w:rsidRDefault="009620FA" w:rsidP="002F28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Cs/>
                <w:color w:val="000000"/>
                <w:sz w:val="22"/>
                <w:szCs w:val="22"/>
              </w:rPr>
            </w:pPr>
            <w:r w:rsidRPr="009620FA">
              <w:rPr>
                <w:rFonts w:ascii="Calibri" w:hAnsi="Calibri"/>
                <w:bCs/>
                <w:color w:val="000000"/>
                <w:sz w:val="22"/>
                <w:szCs w:val="22"/>
              </w:rPr>
              <w:t>10.02</w:t>
            </w:r>
          </w:p>
        </w:tc>
      </w:tr>
      <w:tr w:rsidR="009620FA" w:rsidRPr="009620FA" w14:paraId="6924F6BE" w14:textId="77777777" w:rsidTr="009620FA">
        <w:trPr>
          <w:trHeight w:val="300"/>
          <w:jc w:val="center"/>
        </w:trPr>
        <w:tc>
          <w:tcPr>
            <w:tcW w:w="1774" w:type="dxa"/>
            <w:tcBorders>
              <w:top w:val="nil"/>
              <w:left w:val="single" w:sz="4" w:space="0" w:color="auto"/>
              <w:bottom w:val="single" w:sz="4" w:space="0" w:color="auto"/>
              <w:right w:val="single" w:sz="4" w:space="0" w:color="auto"/>
            </w:tcBorders>
            <w:shd w:val="clear" w:color="000000" w:fill="FCE4D6"/>
            <w:noWrap/>
            <w:vAlign w:val="bottom"/>
            <w:hideMark/>
          </w:tcPr>
          <w:p w14:paraId="250BD59A"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
                <w:bCs/>
                <w:color w:val="000000"/>
                <w:sz w:val="22"/>
                <w:szCs w:val="22"/>
              </w:rPr>
            </w:pPr>
            <w:r w:rsidRPr="009620FA">
              <w:rPr>
                <w:rFonts w:ascii="Calibri" w:hAnsi="Calibri"/>
                <w:b/>
                <w:bCs/>
                <w:color w:val="000000"/>
                <w:sz w:val="22"/>
                <w:szCs w:val="22"/>
              </w:rPr>
              <w:t>Average</w:t>
            </w:r>
          </w:p>
        </w:tc>
        <w:tc>
          <w:tcPr>
            <w:tcW w:w="663" w:type="dxa"/>
            <w:tcBorders>
              <w:top w:val="nil"/>
              <w:left w:val="nil"/>
              <w:bottom w:val="single" w:sz="4" w:space="0" w:color="auto"/>
              <w:right w:val="single" w:sz="4" w:space="0" w:color="auto"/>
            </w:tcBorders>
            <w:shd w:val="clear" w:color="000000" w:fill="FCE4D6"/>
            <w:noWrap/>
            <w:vAlign w:val="bottom"/>
            <w:hideMark/>
          </w:tcPr>
          <w:p w14:paraId="520E2A38"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
                <w:bCs/>
                <w:color w:val="000000"/>
                <w:sz w:val="22"/>
                <w:szCs w:val="22"/>
              </w:rPr>
            </w:pPr>
            <w:r w:rsidRPr="009620FA">
              <w:rPr>
                <w:rFonts w:ascii="Calibri" w:hAnsi="Calibri"/>
                <w:b/>
                <w:bCs/>
                <w:color w:val="000000"/>
                <w:sz w:val="22"/>
                <w:szCs w:val="22"/>
              </w:rPr>
              <w:t> </w:t>
            </w:r>
          </w:p>
        </w:tc>
        <w:tc>
          <w:tcPr>
            <w:tcW w:w="663" w:type="dxa"/>
            <w:tcBorders>
              <w:top w:val="nil"/>
              <w:left w:val="nil"/>
              <w:bottom w:val="single" w:sz="4" w:space="0" w:color="auto"/>
              <w:right w:val="single" w:sz="4" w:space="0" w:color="auto"/>
            </w:tcBorders>
            <w:shd w:val="clear" w:color="000000" w:fill="FCE4D6"/>
            <w:noWrap/>
            <w:vAlign w:val="bottom"/>
            <w:hideMark/>
          </w:tcPr>
          <w:p w14:paraId="047685CE"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
                <w:bCs/>
                <w:color w:val="000000"/>
                <w:sz w:val="22"/>
                <w:szCs w:val="22"/>
              </w:rPr>
            </w:pPr>
            <w:r w:rsidRPr="009620FA">
              <w:rPr>
                <w:rFonts w:ascii="Calibri" w:hAnsi="Calibri"/>
                <w:b/>
                <w:bCs/>
                <w:color w:val="000000"/>
                <w:sz w:val="22"/>
                <w:szCs w:val="22"/>
              </w:rPr>
              <w:t> </w:t>
            </w:r>
          </w:p>
        </w:tc>
        <w:tc>
          <w:tcPr>
            <w:tcW w:w="1120" w:type="dxa"/>
            <w:tcBorders>
              <w:top w:val="nil"/>
              <w:left w:val="nil"/>
              <w:bottom w:val="single" w:sz="4" w:space="0" w:color="auto"/>
              <w:right w:val="single" w:sz="4" w:space="0" w:color="auto"/>
            </w:tcBorders>
            <w:shd w:val="clear" w:color="000000" w:fill="FCE4D6"/>
            <w:noWrap/>
            <w:vAlign w:val="bottom"/>
            <w:hideMark/>
          </w:tcPr>
          <w:p w14:paraId="51F7F30C"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2.53</w:t>
            </w:r>
          </w:p>
        </w:tc>
        <w:tc>
          <w:tcPr>
            <w:tcW w:w="1120" w:type="dxa"/>
            <w:tcBorders>
              <w:top w:val="nil"/>
              <w:left w:val="nil"/>
              <w:bottom w:val="single" w:sz="4" w:space="0" w:color="auto"/>
              <w:right w:val="single" w:sz="4" w:space="0" w:color="auto"/>
            </w:tcBorders>
            <w:shd w:val="clear" w:color="000000" w:fill="FCE4D6"/>
            <w:noWrap/>
            <w:vAlign w:val="bottom"/>
            <w:hideMark/>
          </w:tcPr>
          <w:p w14:paraId="3033EA94"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3.37</w:t>
            </w:r>
          </w:p>
        </w:tc>
        <w:tc>
          <w:tcPr>
            <w:tcW w:w="1120" w:type="dxa"/>
            <w:tcBorders>
              <w:top w:val="nil"/>
              <w:left w:val="nil"/>
              <w:bottom w:val="single" w:sz="4" w:space="0" w:color="auto"/>
              <w:right w:val="single" w:sz="4" w:space="0" w:color="auto"/>
            </w:tcBorders>
            <w:shd w:val="clear" w:color="000000" w:fill="FCE4D6"/>
            <w:noWrap/>
            <w:vAlign w:val="bottom"/>
            <w:hideMark/>
          </w:tcPr>
          <w:p w14:paraId="52BAF3BA" w14:textId="77777777" w:rsidR="009620FA" w:rsidRPr="009620FA" w:rsidRDefault="009620FA" w:rsidP="009620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000000"/>
                <w:sz w:val="22"/>
                <w:szCs w:val="22"/>
              </w:rPr>
            </w:pPr>
            <w:r w:rsidRPr="009620FA">
              <w:rPr>
                <w:rFonts w:ascii="Calibri" w:hAnsi="Calibri"/>
                <w:b/>
                <w:bCs/>
                <w:color w:val="000000"/>
                <w:sz w:val="22"/>
                <w:szCs w:val="22"/>
              </w:rPr>
              <w:t>15.07</w:t>
            </w:r>
          </w:p>
        </w:tc>
      </w:tr>
    </w:tbl>
    <w:p w14:paraId="3ACC9342" w14:textId="17FFD8C9" w:rsidR="00E00398" w:rsidRDefault="002F2877" w:rsidP="009234A5">
      <w:pPr>
        <w:rPr>
          <w:szCs w:val="22"/>
          <w:lang w:val="en-CA"/>
        </w:rPr>
      </w:pPr>
      <w:r>
        <w:t xml:space="preserve">Cubemap simulations were carried out </w:t>
      </w:r>
      <w:r w:rsidR="00003CBC">
        <w:t>with</w:t>
      </w:r>
      <w:r>
        <w:t xml:space="preserve"> HM using the random access (RA) configuration </w:t>
      </w:r>
      <w:r w:rsidR="00003CBC">
        <w:t>for</w:t>
      </w:r>
      <w:r>
        <w:t xml:space="preserve"> 17 frames for each of the 8K test sequences in the </w:t>
      </w:r>
      <w:r w:rsidRPr="00C72987">
        <w:t>JVET common test conditions and evaluation procedures for 360° video</w:t>
      </w:r>
      <w:r>
        <w:t xml:space="preserve">. The ERP input was first converted to CMP of different resolutions using 360Lib-5.0. </w:t>
      </w:r>
      <w:r w:rsidR="00092586">
        <w:t xml:space="preserve">The results are summarized in </w:t>
      </w:r>
      <w:r w:rsidR="00092586">
        <w:fldChar w:fldCharType="begin"/>
      </w:r>
      <w:r w:rsidR="00092586">
        <w:instrText xml:space="preserve"> REF _Ref518333764 \h </w:instrText>
      </w:r>
      <w:r w:rsidR="00092586">
        <w:fldChar w:fldCharType="separate"/>
      </w:r>
      <w:r w:rsidR="007D2805">
        <w:t xml:space="preserve">Table </w:t>
      </w:r>
      <w:r w:rsidR="007D2805">
        <w:rPr>
          <w:noProof/>
        </w:rPr>
        <w:t>2</w:t>
      </w:r>
      <w:r w:rsidR="00092586">
        <w:fldChar w:fldCharType="end"/>
      </w:r>
      <w:r w:rsidR="00092586">
        <w:t>.</w:t>
      </w:r>
    </w:p>
    <w:p w14:paraId="3AD6FC30" w14:textId="3B93D13B" w:rsidR="00E00398" w:rsidRDefault="00E00398" w:rsidP="00E00398">
      <w:pPr>
        <w:pStyle w:val="Caption"/>
        <w:keepNext/>
        <w:jc w:val="center"/>
      </w:pPr>
      <w:bookmarkStart w:id="9" w:name="_Ref518333764"/>
      <w:r>
        <w:t xml:space="preserve">Table </w:t>
      </w:r>
      <w:r>
        <w:fldChar w:fldCharType="begin"/>
      </w:r>
      <w:r>
        <w:instrText xml:space="preserve"> SEQ Table \* ARABIC </w:instrText>
      </w:r>
      <w:r>
        <w:fldChar w:fldCharType="separate"/>
      </w:r>
      <w:r w:rsidR="007D2805">
        <w:rPr>
          <w:noProof/>
        </w:rPr>
        <w:t>2</w:t>
      </w:r>
      <w:r>
        <w:fldChar w:fldCharType="end"/>
      </w:r>
      <w:bookmarkEnd w:id="9"/>
      <w:r>
        <w:t>. Y-BDBR of different MCTS grids for cubemap projection compared to not using tiles.</w:t>
      </w:r>
    </w:p>
    <w:tbl>
      <w:tblPr>
        <w:tblW w:w="10593" w:type="dxa"/>
        <w:tblInd w:w="-431" w:type="dxa"/>
        <w:tblLook w:val="04A0" w:firstRow="1" w:lastRow="0" w:firstColumn="1" w:lastColumn="0" w:noHBand="0" w:noVBand="1"/>
      </w:tblPr>
      <w:tblGrid>
        <w:gridCol w:w="1956"/>
        <w:gridCol w:w="880"/>
        <w:gridCol w:w="1119"/>
        <w:gridCol w:w="880"/>
        <w:gridCol w:w="880"/>
        <w:gridCol w:w="1119"/>
        <w:gridCol w:w="880"/>
        <w:gridCol w:w="880"/>
        <w:gridCol w:w="1119"/>
        <w:gridCol w:w="880"/>
      </w:tblGrid>
      <w:tr w:rsidR="00E00398" w:rsidRPr="00E00398" w14:paraId="5AB4C570" w14:textId="77777777" w:rsidTr="002F2877">
        <w:trPr>
          <w:trHeight w:val="255"/>
        </w:trPr>
        <w:tc>
          <w:tcPr>
            <w:tcW w:w="19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E31A86"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1F497D"/>
              </w:rPr>
            </w:pPr>
            <w:r w:rsidRPr="00E00398">
              <w:rPr>
                <w:rFonts w:ascii="Calibri" w:hAnsi="Calibri"/>
                <w:b/>
                <w:bCs/>
                <w:color w:val="1F497D"/>
              </w:rPr>
              <w:t>Cube face size</w:t>
            </w:r>
          </w:p>
        </w:tc>
        <w:tc>
          <w:tcPr>
            <w:tcW w:w="880" w:type="dxa"/>
            <w:tcBorders>
              <w:top w:val="single" w:sz="4" w:space="0" w:color="auto"/>
              <w:left w:val="nil"/>
              <w:bottom w:val="single" w:sz="4" w:space="0" w:color="auto"/>
              <w:right w:val="nil"/>
            </w:tcBorders>
            <w:shd w:val="clear" w:color="000000" w:fill="F2F2F2"/>
            <w:noWrap/>
            <w:vAlign w:val="bottom"/>
            <w:hideMark/>
          </w:tcPr>
          <w:p w14:paraId="577D62B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1F497D"/>
              </w:rPr>
            </w:pPr>
            <w:r w:rsidRPr="00E00398">
              <w:rPr>
                <w:rFonts w:ascii="Calibri" w:hAnsi="Calibri"/>
                <w:color w:val="1F497D"/>
              </w:rPr>
              <w:t> </w:t>
            </w:r>
          </w:p>
        </w:tc>
        <w:tc>
          <w:tcPr>
            <w:tcW w:w="111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003FFC3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1024x1024</w:t>
            </w:r>
          </w:p>
        </w:tc>
        <w:tc>
          <w:tcPr>
            <w:tcW w:w="880" w:type="dxa"/>
            <w:tcBorders>
              <w:top w:val="single" w:sz="4" w:space="0" w:color="auto"/>
              <w:left w:val="nil"/>
              <w:bottom w:val="single" w:sz="4" w:space="0" w:color="auto"/>
              <w:right w:val="single" w:sz="4" w:space="0" w:color="auto"/>
            </w:tcBorders>
            <w:shd w:val="clear" w:color="000000" w:fill="F2F2F2"/>
            <w:noWrap/>
            <w:vAlign w:val="bottom"/>
            <w:hideMark/>
          </w:tcPr>
          <w:p w14:paraId="31BC852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 </w:t>
            </w:r>
          </w:p>
        </w:tc>
        <w:tc>
          <w:tcPr>
            <w:tcW w:w="880" w:type="dxa"/>
            <w:tcBorders>
              <w:top w:val="single" w:sz="4" w:space="0" w:color="auto"/>
              <w:left w:val="nil"/>
              <w:bottom w:val="single" w:sz="4" w:space="0" w:color="auto"/>
              <w:right w:val="nil"/>
            </w:tcBorders>
            <w:shd w:val="clear" w:color="000000" w:fill="FDE9D9"/>
            <w:noWrap/>
            <w:vAlign w:val="bottom"/>
            <w:hideMark/>
          </w:tcPr>
          <w:p w14:paraId="284C1C1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1F497D"/>
              </w:rPr>
            </w:pPr>
            <w:r w:rsidRPr="00E00398">
              <w:rPr>
                <w:rFonts w:ascii="Calibri" w:hAnsi="Calibri"/>
                <w:color w:val="1F497D"/>
              </w:rPr>
              <w:t> </w:t>
            </w:r>
          </w:p>
        </w:tc>
        <w:tc>
          <w:tcPr>
            <w:tcW w:w="1119"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0ADE125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1536x1536</w:t>
            </w:r>
          </w:p>
        </w:tc>
        <w:tc>
          <w:tcPr>
            <w:tcW w:w="880" w:type="dxa"/>
            <w:tcBorders>
              <w:top w:val="single" w:sz="4" w:space="0" w:color="auto"/>
              <w:left w:val="nil"/>
              <w:bottom w:val="single" w:sz="4" w:space="0" w:color="auto"/>
              <w:right w:val="single" w:sz="4" w:space="0" w:color="auto"/>
            </w:tcBorders>
            <w:shd w:val="clear" w:color="000000" w:fill="FDE9D9"/>
            <w:noWrap/>
            <w:vAlign w:val="bottom"/>
            <w:hideMark/>
          </w:tcPr>
          <w:p w14:paraId="0473779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 </w:t>
            </w:r>
          </w:p>
        </w:tc>
        <w:tc>
          <w:tcPr>
            <w:tcW w:w="880" w:type="dxa"/>
            <w:tcBorders>
              <w:top w:val="single" w:sz="4" w:space="0" w:color="auto"/>
              <w:left w:val="nil"/>
              <w:bottom w:val="single" w:sz="4" w:space="0" w:color="auto"/>
              <w:right w:val="nil"/>
            </w:tcBorders>
            <w:shd w:val="clear" w:color="000000" w:fill="DAEEF3"/>
            <w:noWrap/>
            <w:vAlign w:val="bottom"/>
            <w:hideMark/>
          </w:tcPr>
          <w:p w14:paraId="5CBFB4B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1F497D"/>
              </w:rPr>
            </w:pPr>
            <w:r w:rsidRPr="00E00398">
              <w:rPr>
                <w:rFonts w:ascii="Calibri" w:hAnsi="Calibri"/>
                <w:color w:val="1F497D"/>
              </w:rPr>
              <w:t> </w:t>
            </w:r>
          </w:p>
        </w:tc>
        <w:tc>
          <w:tcPr>
            <w:tcW w:w="1119" w:type="dxa"/>
            <w:tcBorders>
              <w:top w:val="single" w:sz="4" w:space="0" w:color="auto"/>
              <w:left w:val="single" w:sz="4" w:space="0" w:color="auto"/>
              <w:bottom w:val="single" w:sz="4" w:space="0" w:color="auto"/>
              <w:right w:val="single" w:sz="4" w:space="0" w:color="auto"/>
            </w:tcBorders>
            <w:shd w:val="clear" w:color="000000" w:fill="DAEEF3"/>
            <w:noWrap/>
            <w:vAlign w:val="bottom"/>
            <w:hideMark/>
          </w:tcPr>
          <w:p w14:paraId="4184E10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2048x2048</w:t>
            </w:r>
          </w:p>
        </w:tc>
        <w:tc>
          <w:tcPr>
            <w:tcW w:w="880" w:type="dxa"/>
            <w:tcBorders>
              <w:top w:val="single" w:sz="4" w:space="0" w:color="auto"/>
              <w:left w:val="nil"/>
              <w:bottom w:val="single" w:sz="4" w:space="0" w:color="auto"/>
              <w:right w:val="single" w:sz="4" w:space="0" w:color="auto"/>
            </w:tcBorders>
            <w:shd w:val="clear" w:color="000000" w:fill="DAEEF3"/>
            <w:noWrap/>
            <w:vAlign w:val="bottom"/>
            <w:hideMark/>
          </w:tcPr>
          <w:p w14:paraId="21B93F0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b/>
                <w:bCs/>
                <w:color w:val="1F497D"/>
              </w:rPr>
            </w:pPr>
            <w:r w:rsidRPr="00E00398">
              <w:rPr>
                <w:rFonts w:ascii="Calibri" w:hAnsi="Calibri"/>
                <w:b/>
                <w:bCs/>
                <w:color w:val="1F497D"/>
              </w:rPr>
              <w:t> </w:t>
            </w:r>
          </w:p>
        </w:tc>
      </w:tr>
      <w:tr w:rsidR="00E00398" w:rsidRPr="00E00398" w14:paraId="48633CCB"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6407533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 MCTSs</w:t>
            </w:r>
          </w:p>
        </w:tc>
        <w:tc>
          <w:tcPr>
            <w:tcW w:w="880" w:type="dxa"/>
            <w:tcBorders>
              <w:top w:val="nil"/>
              <w:left w:val="nil"/>
              <w:bottom w:val="single" w:sz="4" w:space="0" w:color="auto"/>
              <w:right w:val="single" w:sz="4" w:space="0" w:color="auto"/>
            </w:tcBorders>
            <w:shd w:val="clear" w:color="000000" w:fill="F2F2F2"/>
            <w:noWrap/>
            <w:vAlign w:val="bottom"/>
            <w:hideMark/>
          </w:tcPr>
          <w:p w14:paraId="08107D0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6</w:t>
            </w:r>
          </w:p>
        </w:tc>
        <w:tc>
          <w:tcPr>
            <w:tcW w:w="1119" w:type="dxa"/>
            <w:tcBorders>
              <w:top w:val="nil"/>
              <w:left w:val="nil"/>
              <w:bottom w:val="single" w:sz="4" w:space="0" w:color="auto"/>
              <w:right w:val="single" w:sz="4" w:space="0" w:color="auto"/>
            </w:tcBorders>
            <w:shd w:val="clear" w:color="000000" w:fill="F2F2F2"/>
            <w:noWrap/>
            <w:vAlign w:val="bottom"/>
            <w:hideMark/>
          </w:tcPr>
          <w:p w14:paraId="7B98A49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24</w:t>
            </w:r>
          </w:p>
        </w:tc>
        <w:tc>
          <w:tcPr>
            <w:tcW w:w="880" w:type="dxa"/>
            <w:tcBorders>
              <w:top w:val="nil"/>
              <w:left w:val="nil"/>
              <w:bottom w:val="single" w:sz="4" w:space="0" w:color="auto"/>
              <w:right w:val="single" w:sz="4" w:space="0" w:color="auto"/>
            </w:tcBorders>
            <w:shd w:val="clear" w:color="000000" w:fill="F2F2F2"/>
            <w:noWrap/>
            <w:vAlign w:val="bottom"/>
            <w:hideMark/>
          </w:tcPr>
          <w:p w14:paraId="29F03B0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96</w:t>
            </w:r>
          </w:p>
        </w:tc>
        <w:tc>
          <w:tcPr>
            <w:tcW w:w="880" w:type="dxa"/>
            <w:tcBorders>
              <w:top w:val="nil"/>
              <w:left w:val="nil"/>
              <w:bottom w:val="single" w:sz="4" w:space="0" w:color="auto"/>
              <w:right w:val="single" w:sz="4" w:space="0" w:color="auto"/>
            </w:tcBorders>
            <w:shd w:val="clear" w:color="000000" w:fill="FDE9D9"/>
            <w:noWrap/>
            <w:vAlign w:val="bottom"/>
            <w:hideMark/>
          </w:tcPr>
          <w:p w14:paraId="00148E1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6</w:t>
            </w:r>
          </w:p>
        </w:tc>
        <w:tc>
          <w:tcPr>
            <w:tcW w:w="1119" w:type="dxa"/>
            <w:tcBorders>
              <w:top w:val="nil"/>
              <w:left w:val="nil"/>
              <w:bottom w:val="single" w:sz="4" w:space="0" w:color="auto"/>
              <w:right w:val="single" w:sz="4" w:space="0" w:color="auto"/>
            </w:tcBorders>
            <w:shd w:val="clear" w:color="000000" w:fill="FDE9D9"/>
            <w:noWrap/>
            <w:vAlign w:val="bottom"/>
            <w:hideMark/>
          </w:tcPr>
          <w:p w14:paraId="2F9B3A4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24</w:t>
            </w:r>
          </w:p>
        </w:tc>
        <w:tc>
          <w:tcPr>
            <w:tcW w:w="880" w:type="dxa"/>
            <w:tcBorders>
              <w:top w:val="nil"/>
              <w:left w:val="nil"/>
              <w:bottom w:val="single" w:sz="4" w:space="0" w:color="auto"/>
              <w:right w:val="single" w:sz="4" w:space="0" w:color="auto"/>
            </w:tcBorders>
            <w:shd w:val="clear" w:color="000000" w:fill="FDE9D9"/>
            <w:noWrap/>
            <w:vAlign w:val="bottom"/>
            <w:hideMark/>
          </w:tcPr>
          <w:p w14:paraId="7117ABA7"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96</w:t>
            </w:r>
          </w:p>
        </w:tc>
        <w:tc>
          <w:tcPr>
            <w:tcW w:w="880" w:type="dxa"/>
            <w:tcBorders>
              <w:top w:val="nil"/>
              <w:left w:val="nil"/>
              <w:bottom w:val="single" w:sz="4" w:space="0" w:color="auto"/>
              <w:right w:val="single" w:sz="4" w:space="0" w:color="auto"/>
            </w:tcBorders>
            <w:shd w:val="clear" w:color="000000" w:fill="DAEEF3"/>
            <w:noWrap/>
            <w:vAlign w:val="bottom"/>
            <w:hideMark/>
          </w:tcPr>
          <w:p w14:paraId="342128C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6</w:t>
            </w:r>
          </w:p>
        </w:tc>
        <w:tc>
          <w:tcPr>
            <w:tcW w:w="1119" w:type="dxa"/>
            <w:tcBorders>
              <w:top w:val="nil"/>
              <w:left w:val="nil"/>
              <w:bottom w:val="single" w:sz="4" w:space="0" w:color="auto"/>
              <w:right w:val="single" w:sz="4" w:space="0" w:color="auto"/>
            </w:tcBorders>
            <w:shd w:val="clear" w:color="000000" w:fill="DAEEF3"/>
            <w:noWrap/>
            <w:vAlign w:val="bottom"/>
            <w:hideMark/>
          </w:tcPr>
          <w:p w14:paraId="7726C8C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24</w:t>
            </w:r>
          </w:p>
        </w:tc>
        <w:tc>
          <w:tcPr>
            <w:tcW w:w="880" w:type="dxa"/>
            <w:tcBorders>
              <w:top w:val="nil"/>
              <w:left w:val="nil"/>
              <w:bottom w:val="single" w:sz="4" w:space="0" w:color="auto"/>
              <w:right w:val="single" w:sz="4" w:space="0" w:color="auto"/>
            </w:tcBorders>
            <w:shd w:val="clear" w:color="000000" w:fill="DAEEF3"/>
            <w:noWrap/>
            <w:vAlign w:val="bottom"/>
            <w:hideMark/>
          </w:tcPr>
          <w:p w14:paraId="25F1CD7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C0504D"/>
              </w:rPr>
            </w:pPr>
            <w:r w:rsidRPr="00E00398">
              <w:rPr>
                <w:rFonts w:ascii="Calibri" w:hAnsi="Calibri"/>
                <w:b/>
                <w:bCs/>
                <w:color w:val="C0504D"/>
              </w:rPr>
              <w:t>96</w:t>
            </w:r>
          </w:p>
        </w:tc>
      </w:tr>
      <w:tr w:rsidR="00E00398" w:rsidRPr="00E00398" w14:paraId="1C595B70"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2220224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 MCTSs / cube face</w:t>
            </w:r>
          </w:p>
        </w:tc>
        <w:tc>
          <w:tcPr>
            <w:tcW w:w="880" w:type="dxa"/>
            <w:tcBorders>
              <w:top w:val="nil"/>
              <w:left w:val="nil"/>
              <w:bottom w:val="single" w:sz="4" w:space="0" w:color="auto"/>
              <w:right w:val="single" w:sz="4" w:space="0" w:color="auto"/>
            </w:tcBorders>
            <w:shd w:val="clear" w:color="000000" w:fill="F2F2F2"/>
            <w:noWrap/>
            <w:vAlign w:val="bottom"/>
            <w:hideMark/>
          </w:tcPr>
          <w:p w14:paraId="45D07C5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1x1</w:t>
            </w:r>
          </w:p>
        </w:tc>
        <w:tc>
          <w:tcPr>
            <w:tcW w:w="1119" w:type="dxa"/>
            <w:tcBorders>
              <w:top w:val="nil"/>
              <w:left w:val="nil"/>
              <w:bottom w:val="single" w:sz="4" w:space="0" w:color="auto"/>
              <w:right w:val="single" w:sz="4" w:space="0" w:color="auto"/>
            </w:tcBorders>
            <w:shd w:val="clear" w:color="000000" w:fill="F2F2F2"/>
            <w:noWrap/>
            <w:vAlign w:val="bottom"/>
            <w:hideMark/>
          </w:tcPr>
          <w:p w14:paraId="6A3E574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2x2</w:t>
            </w:r>
          </w:p>
        </w:tc>
        <w:tc>
          <w:tcPr>
            <w:tcW w:w="880" w:type="dxa"/>
            <w:tcBorders>
              <w:top w:val="nil"/>
              <w:left w:val="nil"/>
              <w:bottom w:val="single" w:sz="4" w:space="0" w:color="auto"/>
              <w:right w:val="single" w:sz="4" w:space="0" w:color="auto"/>
            </w:tcBorders>
            <w:shd w:val="clear" w:color="000000" w:fill="F2F2F2"/>
            <w:noWrap/>
            <w:vAlign w:val="bottom"/>
            <w:hideMark/>
          </w:tcPr>
          <w:p w14:paraId="74A6A0B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4x4</w:t>
            </w:r>
          </w:p>
        </w:tc>
        <w:tc>
          <w:tcPr>
            <w:tcW w:w="880" w:type="dxa"/>
            <w:tcBorders>
              <w:top w:val="nil"/>
              <w:left w:val="nil"/>
              <w:bottom w:val="single" w:sz="4" w:space="0" w:color="auto"/>
              <w:right w:val="single" w:sz="4" w:space="0" w:color="auto"/>
            </w:tcBorders>
            <w:shd w:val="clear" w:color="000000" w:fill="FDE9D9"/>
            <w:noWrap/>
            <w:vAlign w:val="bottom"/>
            <w:hideMark/>
          </w:tcPr>
          <w:p w14:paraId="37719F7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1x1</w:t>
            </w:r>
          </w:p>
        </w:tc>
        <w:tc>
          <w:tcPr>
            <w:tcW w:w="1119" w:type="dxa"/>
            <w:tcBorders>
              <w:top w:val="nil"/>
              <w:left w:val="nil"/>
              <w:bottom w:val="single" w:sz="4" w:space="0" w:color="auto"/>
              <w:right w:val="single" w:sz="4" w:space="0" w:color="auto"/>
            </w:tcBorders>
            <w:shd w:val="clear" w:color="000000" w:fill="FDE9D9"/>
            <w:noWrap/>
            <w:vAlign w:val="bottom"/>
            <w:hideMark/>
          </w:tcPr>
          <w:p w14:paraId="1CFEAD2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2x2</w:t>
            </w:r>
          </w:p>
        </w:tc>
        <w:tc>
          <w:tcPr>
            <w:tcW w:w="880" w:type="dxa"/>
            <w:tcBorders>
              <w:top w:val="nil"/>
              <w:left w:val="nil"/>
              <w:bottom w:val="single" w:sz="4" w:space="0" w:color="auto"/>
              <w:right w:val="single" w:sz="4" w:space="0" w:color="auto"/>
            </w:tcBorders>
            <w:shd w:val="clear" w:color="000000" w:fill="FDE9D9"/>
            <w:noWrap/>
            <w:vAlign w:val="bottom"/>
            <w:hideMark/>
          </w:tcPr>
          <w:p w14:paraId="7145C21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4x4</w:t>
            </w:r>
          </w:p>
        </w:tc>
        <w:tc>
          <w:tcPr>
            <w:tcW w:w="880" w:type="dxa"/>
            <w:tcBorders>
              <w:top w:val="nil"/>
              <w:left w:val="nil"/>
              <w:bottom w:val="single" w:sz="4" w:space="0" w:color="auto"/>
              <w:right w:val="single" w:sz="4" w:space="0" w:color="auto"/>
            </w:tcBorders>
            <w:shd w:val="clear" w:color="000000" w:fill="DAEEF3"/>
            <w:noWrap/>
            <w:vAlign w:val="bottom"/>
            <w:hideMark/>
          </w:tcPr>
          <w:p w14:paraId="1C335E5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1x1</w:t>
            </w:r>
          </w:p>
        </w:tc>
        <w:tc>
          <w:tcPr>
            <w:tcW w:w="1119" w:type="dxa"/>
            <w:tcBorders>
              <w:top w:val="nil"/>
              <w:left w:val="nil"/>
              <w:bottom w:val="single" w:sz="4" w:space="0" w:color="auto"/>
              <w:right w:val="single" w:sz="4" w:space="0" w:color="auto"/>
            </w:tcBorders>
            <w:shd w:val="clear" w:color="000000" w:fill="DAEEF3"/>
            <w:noWrap/>
            <w:vAlign w:val="bottom"/>
            <w:hideMark/>
          </w:tcPr>
          <w:p w14:paraId="79B73127"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2x2</w:t>
            </w:r>
          </w:p>
        </w:tc>
        <w:tc>
          <w:tcPr>
            <w:tcW w:w="880" w:type="dxa"/>
            <w:tcBorders>
              <w:top w:val="nil"/>
              <w:left w:val="nil"/>
              <w:bottom w:val="single" w:sz="4" w:space="0" w:color="auto"/>
              <w:right w:val="single" w:sz="4" w:space="0" w:color="auto"/>
            </w:tcBorders>
            <w:shd w:val="clear" w:color="000000" w:fill="DAEEF3"/>
            <w:noWrap/>
            <w:vAlign w:val="bottom"/>
            <w:hideMark/>
          </w:tcPr>
          <w:p w14:paraId="03E5A78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7030A0"/>
              </w:rPr>
            </w:pPr>
            <w:r w:rsidRPr="00E00398">
              <w:rPr>
                <w:rFonts w:ascii="Calibri" w:hAnsi="Calibri"/>
                <w:b/>
                <w:bCs/>
                <w:color w:val="7030A0"/>
              </w:rPr>
              <w:t>4x4</w:t>
            </w:r>
          </w:p>
        </w:tc>
      </w:tr>
      <w:tr w:rsidR="00E00398" w:rsidRPr="00E00398" w14:paraId="2E78A3BD"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2B15864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Trolley</w:t>
            </w:r>
          </w:p>
        </w:tc>
        <w:tc>
          <w:tcPr>
            <w:tcW w:w="880" w:type="dxa"/>
            <w:tcBorders>
              <w:top w:val="nil"/>
              <w:left w:val="nil"/>
              <w:bottom w:val="single" w:sz="4" w:space="0" w:color="auto"/>
              <w:right w:val="single" w:sz="4" w:space="0" w:color="auto"/>
            </w:tcBorders>
            <w:shd w:val="clear" w:color="000000" w:fill="F2F2F2"/>
            <w:noWrap/>
            <w:vAlign w:val="bottom"/>
            <w:hideMark/>
          </w:tcPr>
          <w:p w14:paraId="73CDC45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0.01 %</w:t>
            </w:r>
          </w:p>
        </w:tc>
        <w:tc>
          <w:tcPr>
            <w:tcW w:w="1119" w:type="dxa"/>
            <w:tcBorders>
              <w:top w:val="nil"/>
              <w:left w:val="nil"/>
              <w:bottom w:val="single" w:sz="4" w:space="0" w:color="auto"/>
              <w:right w:val="single" w:sz="4" w:space="0" w:color="auto"/>
            </w:tcBorders>
            <w:shd w:val="clear" w:color="000000" w:fill="F2F2F2"/>
            <w:noWrap/>
            <w:vAlign w:val="bottom"/>
            <w:hideMark/>
          </w:tcPr>
          <w:p w14:paraId="37F1EFF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1.01 %</w:t>
            </w:r>
          </w:p>
        </w:tc>
        <w:tc>
          <w:tcPr>
            <w:tcW w:w="880" w:type="dxa"/>
            <w:tcBorders>
              <w:top w:val="nil"/>
              <w:left w:val="nil"/>
              <w:bottom w:val="single" w:sz="4" w:space="0" w:color="auto"/>
              <w:right w:val="single" w:sz="4" w:space="0" w:color="auto"/>
            </w:tcBorders>
            <w:shd w:val="clear" w:color="000000" w:fill="F2F2F2"/>
            <w:noWrap/>
            <w:vAlign w:val="bottom"/>
            <w:hideMark/>
          </w:tcPr>
          <w:p w14:paraId="578F663D"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4.63 %</w:t>
            </w:r>
          </w:p>
        </w:tc>
        <w:tc>
          <w:tcPr>
            <w:tcW w:w="880" w:type="dxa"/>
            <w:tcBorders>
              <w:top w:val="nil"/>
              <w:left w:val="nil"/>
              <w:bottom w:val="single" w:sz="4" w:space="0" w:color="auto"/>
              <w:right w:val="single" w:sz="4" w:space="0" w:color="auto"/>
            </w:tcBorders>
            <w:shd w:val="clear" w:color="000000" w:fill="FDE9D9"/>
            <w:noWrap/>
            <w:vAlign w:val="bottom"/>
            <w:hideMark/>
          </w:tcPr>
          <w:p w14:paraId="3352230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-0.11 %</w:t>
            </w:r>
          </w:p>
        </w:tc>
        <w:tc>
          <w:tcPr>
            <w:tcW w:w="1119" w:type="dxa"/>
            <w:tcBorders>
              <w:top w:val="nil"/>
              <w:left w:val="nil"/>
              <w:bottom w:val="single" w:sz="4" w:space="0" w:color="auto"/>
              <w:right w:val="single" w:sz="4" w:space="0" w:color="auto"/>
            </w:tcBorders>
            <w:shd w:val="clear" w:color="000000" w:fill="FDE9D9"/>
            <w:noWrap/>
            <w:vAlign w:val="bottom"/>
            <w:hideMark/>
          </w:tcPr>
          <w:p w14:paraId="7115A5F7"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0.84 %</w:t>
            </w:r>
          </w:p>
        </w:tc>
        <w:tc>
          <w:tcPr>
            <w:tcW w:w="880" w:type="dxa"/>
            <w:tcBorders>
              <w:top w:val="nil"/>
              <w:left w:val="nil"/>
              <w:bottom w:val="single" w:sz="4" w:space="0" w:color="auto"/>
              <w:right w:val="single" w:sz="4" w:space="0" w:color="auto"/>
            </w:tcBorders>
            <w:shd w:val="clear" w:color="000000" w:fill="FDE9D9"/>
            <w:noWrap/>
            <w:vAlign w:val="bottom"/>
            <w:hideMark/>
          </w:tcPr>
          <w:p w14:paraId="668CF54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3.90 %</w:t>
            </w:r>
          </w:p>
        </w:tc>
        <w:tc>
          <w:tcPr>
            <w:tcW w:w="880" w:type="dxa"/>
            <w:tcBorders>
              <w:top w:val="nil"/>
              <w:left w:val="nil"/>
              <w:bottom w:val="single" w:sz="4" w:space="0" w:color="auto"/>
              <w:right w:val="single" w:sz="4" w:space="0" w:color="auto"/>
            </w:tcBorders>
            <w:shd w:val="clear" w:color="000000" w:fill="DAEEF3"/>
            <w:noWrap/>
            <w:vAlign w:val="bottom"/>
            <w:hideMark/>
          </w:tcPr>
          <w:p w14:paraId="48ABA5D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-0.25 %</w:t>
            </w:r>
          </w:p>
        </w:tc>
        <w:tc>
          <w:tcPr>
            <w:tcW w:w="1119" w:type="dxa"/>
            <w:tcBorders>
              <w:top w:val="nil"/>
              <w:left w:val="nil"/>
              <w:bottom w:val="single" w:sz="4" w:space="0" w:color="auto"/>
              <w:right w:val="single" w:sz="4" w:space="0" w:color="auto"/>
            </w:tcBorders>
            <w:shd w:val="clear" w:color="000000" w:fill="DAEEF3"/>
            <w:noWrap/>
            <w:vAlign w:val="bottom"/>
            <w:hideMark/>
          </w:tcPr>
          <w:p w14:paraId="7C0660F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0.36 %</w:t>
            </w:r>
          </w:p>
        </w:tc>
        <w:tc>
          <w:tcPr>
            <w:tcW w:w="880" w:type="dxa"/>
            <w:tcBorders>
              <w:top w:val="nil"/>
              <w:left w:val="nil"/>
              <w:bottom w:val="single" w:sz="4" w:space="0" w:color="auto"/>
              <w:right w:val="single" w:sz="4" w:space="0" w:color="auto"/>
            </w:tcBorders>
            <w:shd w:val="clear" w:color="000000" w:fill="DAEEF3"/>
            <w:noWrap/>
            <w:vAlign w:val="bottom"/>
            <w:hideMark/>
          </w:tcPr>
          <w:p w14:paraId="1BC34D4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2.46 %</w:t>
            </w:r>
          </w:p>
        </w:tc>
      </w:tr>
      <w:tr w:rsidR="00E00398" w:rsidRPr="00E00398" w14:paraId="4D6E9AD2"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652E68A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GasLamp</w:t>
            </w:r>
          </w:p>
        </w:tc>
        <w:tc>
          <w:tcPr>
            <w:tcW w:w="880" w:type="dxa"/>
            <w:tcBorders>
              <w:top w:val="nil"/>
              <w:left w:val="nil"/>
              <w:bottom w:val="single" w:sz="4" w:space="0" w:color="auto"/>
              <w:right w:val="single" w:sz="4" w:space="0" w:color="auto"/>
            </w:tcBorders>
            <w:shd w:val="clear" w:color="000000" w:fill="F2F2F2"/>
            <w:noWrap/>
            <w:vAlign w:val="bottom"/>
            <w:hideMark/>
          </w:tcPr>
          <w:p w14:paraId="40724E40"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0.55 %</w:t>
            </w:r>
          </w:p>
        </w:tc>
        <w:tc>
          <w:tcPr>
            <w:tcW w:w="1119" w:type="dxa"/>
            <w:tcBorders>
              <w:top w:val="nil"/>
              <w:left w:val="nil"/>
              <w:bottom w:val="single" w:sz="4" w:space="0" w:color="auto"/>
              <w:right w:val="single" w:sz="4" w:space="0" w:color="auto"/>
            </w:tcBorders>
            <w:shd w:val="clear" w:color="000000" w:fill="F2F2F2"/>
            <w:noWrap/>
            <w:vAlign w:val="bottom"/>
            <w:hideMark/>
          </w:tcPr>
          <w:p w14:paraId="7C30B6D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3.02 %</w:t>
            </w:r>
          </w:p>
        </w:tc>
        <w:tc>
          <w:tcPr>
            <w:tcW w:w="880" w:type="dxa"/>
            <w:tcBorders>
              <w:top w:val="nil"/>
              <w:left w:val="nil"/>
              <w:bottom w:val="single" w:sz="4" w:space="0" w:color="auto"/>
              <w:right w:val="single" w:sz="4" w:space="0" w:color="auto"/>
            </w:tcBorders>
            <w:shd w:val="clear" w:color="000000" w:fill="F2F2F2"/>
            <w:noWrap/>
            <w:vAlign w:val="bottom"/>
            <w:hideMark/>
          </w:tcPr>
          <w:p w14:paraId="73E2CB17"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12.51 %</w:t>
            </w:r>
          </w:p>
        </w:tc>
        <w:tc>
          <w:tcPr>
            <w:tcW w:w="880" w:type="dxa"/>
            <w:tcBorders>
              <w:top w:val="nil"/>
              <w:left w:val="nil"/>
              <w:bottom w:val="single" w:sz="4" w:space="0" w:color="auto"/>
              <w:right w:val="single" w:sz="4" w:space="0" w:color="auto"/>
            </w:tcBorders>
            <w:shd w:val="clear" w:color="000000" w:fill="FDE9D9"/>
            <w:noWrap/>
            <w:vAlign w:val="bottom"/>
            <w:hideMark/>
          </w:tcPr>
          <w:p w14:paraId="5E9616B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0.13 %</w:t>
            </w:r>
          </w:p>
        </w:tc>
        <w:tc>
          <w:tcPr>
            <w:tcW w:w="1119" w:type="dxa"/>
            <w:tcBorders>
              <w:top w:val="nil"/>
              <w:left w:val="nil"/>
              <w:bottom w:val="single" w:sz="4" w:space="0" w:color="auto"/>
              <w:right w:val="single" w:sz="4" w:space="0" w:color="auto"/>
            </w:tcBorders>
            <w:shd w:val="clear" w:color="000000" w:fill="FDE9D9"/>
            <w:noWrap/>
            <w:vAlign w:val="bottom"/>
            <w:hideMark/>
          </w:tcPr>
          <w:p w14:paraId="3EF2FAF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2.59 %</w:t>
            </w:r>
          </w:p>
        </w:tc>
        <w:tc>
          <w:tcPr>
            <w:tcW w:w="880" w:type="dxa"/>
            <w:tcBorders>
              <w:top w:val="nil"/>
              <w:left w:val="nil"/>
              <w:bottom w:val="single" w:sz="4" w:space="0" w:color="auto"/>
              <w:right w:val="single" w:sz="4" w:space="0" w:color="auto"/>
            </w:tcBorders>
            <w:shd w:val="clear" w:color="000000" w:fill="FDE9D9"/>
            <w:noWrap/>
            <w:vAlign w:val="bottom"/>
            <w:hideMark/>
          </w:tcPr>
          <w:p w14:paraId="0A93D42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10.70 %</w:t>
            </w:r>
          </w:p>
        </w:tc>
        <w:tc>
          <w:tcPr>
            <w:tcW w:w="880" w:type="dxa"/>
            <w:tcBorders>
              <w:top w:val="nil"/>
              <w:left w:val="nil"/>
              <w:bottom w:val="single" w:sz="4" w:space="0" w:color="auto"/>
              <w:right w:val="single" w:sz="4" w:space="0" w:color="auto"/>
            </w:tcBorders>
            <w:shd w:val="clear" w:color="000000" w:fill="DAEEF3"/>
            <w:noWrap/>
            <w:vAlign w:val="bottom"/>
            <w:hideMark/>
          </w:tcPr>
          <w:p w14:paraId="643F2CB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-0.17 %</w:t>
            </w:r>
          </w:p>
        </w:tc>
        <w:tc>
          <w:tcPr>
            <w:tcW w:w="1119" w:type="dxa"/>
            <w:tcBorders>
              <w:top w:val="nil"/>
              <w:left w:val="nil"/>
              <w:bottom w:val="single" w:sz="4" w:space="0" w:color="auto"/>
              <w:right w:val="single" w:sz="4" w:space="0" w:color="auto"/>
            </w:tcBorders>
            <w:shd w:val="clear" w:color="000000" w:fill="DAEEF3"/>
            <w:noWrap/>
            <w:vAlign w:val="bottom"/>
            <w:hideMark/>
          </w:tcPr>
          <w:p w14:paraId="66A26F8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1.21 %</w:t>
            </w:r>
          </w:p>
        </w:tc>
        <w:tc>
          <w:tcPr>
            <w:tcW w:w="880" w:type="dxa"/>
            <w:tcBorders>
              <w:top w:val="nil"/>
              <w:left w:val="nil"/>
              <w:bottom w:val="single" w:sz="4" w:space="0" w:color="auto"/>
              <w:right w:val="single" w:sz="4" w:space="0" w:color="auto"/>
            </w:tcBorders>
            <w:shd w:val="clear" w:color="000000" w:fill="DAEEF3"/>
            <w:noWrap/>
            <w:vAlign w:val="bottom"/>
            <w:hideMark/>
          </w:tcPr>
          <w:p w14:paraId="009E214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6.57 %</w:t>
            </w:r>
          </w:p>
        </w:tc>
      </w:tr>
      <w:tr w:rsidR="00E00398" w:rsidRPr="00E00398" w14:paraId="3762B94E"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27364CD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Skateboarding_in_lot</w:t>
            </w:r>
          </w:p>
        </w:tc>
        <w:tc>
          <w:tcPr>
            <w:tcW w:w="880" w:type="dxa"/>
            <w:tcBorders>
              <w:top w:val="nil"/>
              <w:left w:val="nil"/>
              <w:bottom w:val="single" w:sz="4" w:space="0" w:color="auto"/>
              <w:right w:val="single" w:sz="4" w:space="0" w:color="auto"/>
            </w:tcBorders>
            <w:shd w:val="clear" w:color="000000" w:fill="F2F2F2"/>
            <w:noWrap/>
            <w:vAlign w:val="bottom"/>
            <w:hideMark/>
          </w:tcPr>
          <w:p w14:paraId="692DF41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0.25 %</w:t>
            </w:r>
          </w:p>
        </w:tc>
        <w:tc>
          <w:tcPr>
            <w:tcW w:w="1119" w:type="dxa"/>
            <w:tcBorders>
              <w:top w:val="nil"/>
              <w:left w:val="nil"/>
              <w:bottom w:val="single" w:sz="4" w:space="0" w:color="auto"/>
              <w:right w:val="single" w:sz="4" w:space="0" w:color="auto"/>
            </w:tcBorders>
            <w:shd w:val="clear" w:color="000000" w:fill="F2F2F2"/>
            <w:noWrap/>
            <w:vAlign w:val="bottom"/>
            <w:hideMark/>
          </w:tcPr>
          <w:p w14:paraId="22FB2F5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9.07 %</w:t>
            </w:r>
          </w:p>
        </w:tc>
        <w:tc>
          <w:tcPr>
            <w:tcW w:w="880" w:type="dxa"/>
            <w:tcBorders>
              <w:top w:val="nil"/>
              <w:left w:val="nil"/>
              <w:bottom w:val="single" w:sz="4" w:space="0" w:color="auto"/>
              <w:right w:val="single" w:sz="4" w:space="0" w:color="auto"/>
            </w:tcBorders>
            <w:shd w:val="clear" w:color="000000" w:fill="F2F2F2"/>
            <w:noWrap/>
            <w:vAlign w:val="bottom"/>
            <w:hideMark/>
          </w:tcPr>
          <w:p w14:paraId="1952F90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21.28 %</w:t>
            </w:r>
          </w:p>
        </w:tc>
        <w:tc>
          <w:tcPr>
            <w:tcW w:w="880" w:type="dxa"/>
            <w:tcBorders>
              <w:top w:val="nil"/>
              <w:left w:val="nil"/>
              <w:bottom w:val="single" w:sz="4" w:space="0" w:color="auto"/>
              <w:right w:val="single" w:sz="4" w:space="0" w:color="auto"/>
            </w:tcBorders>
            <w:shd w:val="clear" w:color="000000" w:fill="FDE9D9"/>
            <w:noWrap/>
            <w:vAlign w:val="bottom"/>
            <w:hideMark/>
          </w:tcPr>
          <w:p w14:paraId="1F28BA7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-0.78 %</w:t>
            </w:r>
          </w:p>
        </w:tc>
        <w:tc>
          <w:tcPr>
            <w:tcW w:w="1119" w:type="dxa"/>
            <w:tcBorders>
              <w:top w:val="nil"/>
              <w:left w:val="nil"/>
              <w:bottom w:val="single" w:sz="4" w:space="0" w:color="auto"/>
              <w:right w:val="single" w:sz="4" w:space="0" w:color="auto"/>
            </w:tcBorders>
            <w:shd w:val="clear" w:color="000000" w:fill="FDE9D9"/>
            <w:noWrap/>
            <w:vAlign w:val="bottom"/>
            <w:hideMark/>
          </w:tcPr>
          <w:p w14:paraId="78864C2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7.88 %</w:t>
            </w:r>
          </w:p>
        </w:tc>
        <w:tc>
          <w:tcPr>
            <w:tcW w:w="880" w:type="dxa"/>
            <w:tcBorders>
              <w:top w:val="nil"/>
              <w:left w:val="nil"/>
              <w:bottom w:val="single" w:sz="4" w:space="0" w:color="auto"/>
              <w:right w:val="single" w:sz="4" w:space="0" w:color="auto"/>
            </w:tcBorders>
            <w:shd w:val="clear" w:color="000000" w:fill="FDE9D9"/>
            <w:noWrap/>
            <w:vAlign w:val="bottom"/>
            <w:hideMark/>
          </w:tcPr>
          <w:p w14:paraId="53248E1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18.60 %</w:t>
            </w:r>
          </w:p>
        </w:tc>
        <w:tc>
          <w:tcPr>
            <w:tcW w:w="880" w:type="dxa"/>
            <w:tcBorders>
              <w:top w:val="nil"/>
              <w:left w:val="nil"/>
              <w:bottom w:val="single" w:sz="4" w:space="0" w:color="auto"/>
              <w:right w:val="single" w:sz="4" w:space="0" w:color="auto"/>
            </w:tcBorders>
            <w:shd w:val="clear" w:color="000000" w:fill="DAEEF3"/>
            <w:noWrap/>
            <w:vAlign w:val="bottom"/>
            <w:hideMark/>
          </w:tcPr>
          <w:p w14:paraId="3C6B25F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-0.93 %</w:t>
            </w:r>
          </w:p>
        </w:tc>
        <w:tc>
          <w:tcPr>
            <w:tcW w:w="1119" w:type="dxa"/>
            <w:tcBorders>
              <w:top w:val="nil"/>
              <w:left w:val="nil"/>
              <w:bottom w:val="single" w:sz="4" w:space="0" w:color="auto"/>
              <w:right w:val="single" w:sz="4" w:space="0" w:color="auto"/>
            </w:tcBorders>
            <w:shd w:val="clear" w:color="000000" w:fill="DAEEF3"/>
            <w:noWrap/>
            <w:vAlign w:val="bottom"/>
            <w:hideMark/>
          </w:tcPr>
          <w:p w14:paraId="759CAEB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4.48 %</w:t>
            </w:r>
          </w:p>
        </w:tc>
        <w:tc>
          <w:tcPr>
            <w:tcW w:w="880" w:type="dxa"/>
            <w:tcBorders>
              <w:top w:val="nil"/>
              <w:left w:val="nil"/>
              <w:bottom w:val="single" w:sz="4" w:space="0" w:color="auto"/>
              <w:right w:val="single" w:sz="4" w:space="0" w:color="auto"/>
            </w:tcBorders>
            <w:shd w:val="clear" w:color="000000" w:fill="DAEEF3"/>
            <w:noWrap/>
            <w:vAlign w:val="bottom"/>
            <w:hideMark/>
          </w:tcPr>
          <w:p w14:paraId="16E702C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11.50 %</w:t>
            </w:r>
          </w:p>
        </w:tc>
      </w:tr>
      <w:tr w:rsidR="00E00398" w:rsidRPr="00E00398" w14:paraId="765D6C47"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616BA87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Chairlift</w:t>
            </w:r>
          </w:p>
        </w:tc>
        <w:tc>
          <w:tcPr>
            <w:tcW w:w="880" w:type="dxa"/>
            <w:tcBorders>
              <w:top w:val="nil"/>
              <w:left w:val="nil"/>
              <w:bottom w:val="single" w:sz="4" w:space="0" w:color="auto"/>
              <w:right w:val="single" w:sz="4" w:space="0" w:color="auto"/>
            </w:tcBorders>
            <w:shd w:val="clear" w:color="000000" w:fill="F2F2F2"/>
            <w:noWrap/>
            <w:vAlign w:val="bottom"/>
            <w:hideMark/>
          </w:tcPr>
          <w:p w14:paraId="7A2AFA34"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1.56 %</w:t>
            </w:r>
          </w:p>
        </w:tc>
        <w:tc>
          <w:tcPr>
            <w:tcW w:w="1119" w:type="dxa"/>
            <w:tcBorders>
              <w:top w:val="nil"/>
              <w:left w:val="nil"/>
              <w:bottom w:val="single" w:sz="4" w:space="0" w:color="auto"/>
              <w:right w:val="single" w:sz="4" w:space="0" w:color="auto"/>
            </w:tcBorders>
            <w:shd w:val="clear" w:color="000000" w:fill="F2F2F2"/>
            <w:noWrap/>
            <w:vAlign w:val="bottom"/>
            <w:hideMark/>
          </w:tcPr>
          <w:p w14:paraId="5DCD8B5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9.73 %</w:t>
            </w:r>
          </w:p>
        </w:tc>
        <w:tc>
          <w:tcPr>
            <w:tcW w:w="880" w:type="dxa"/>
            <w:tcBorders>
              <w:top w:val="nil"/>
              <w:left w:val="nil"/>
              <w:bottom w:val="single" w:sz="4" w:space="0" w:color="auto"/>
              <w:right w:val="single" w:sz="4" w:space="0" w:color="auto"/>
            </w:tcBorders>
            <w:shd w:val="clear" w:color="000000" w:fill="F2F2F2"/>
            <w:noWrap/>
            <w:vAlign w:val="bottom"/>
            <w:hideMark/>
          </w:tcPr>
          <w:p w14:paraId="3167323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29.43 %</w:t>
            </w:r>
          </w:p>
        </w:tc>
        <w:tc>
          <w:tcPr>
            <w:tcW w:w="880" w:type="dxa"/>
            <w:tcBorders>
              <w:top w:val="nil"/>
              <w:left w:val="nil"/>
              <w:bottom w:val="single" w:sz="4" w:space="0" w:color="auto"/>
              <w:right w:val="single" w:sz="4" w:space="0" w:color="auto"/>
            </w:tcBorders>
            <w:shd w:val="clear" w:color="000000" w:fill="FDE9D9"/>
            <w:noWrap/>
            <w:vAlign w:val="bottom"/>
            <w:hideMark/>
          </w:tcPr>
          <w:p w14:paraId="5EFD545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0.78 %</w:t>
            </w:r>
          </w:p>
        </w:tc>
        <w:tc>
          <w:tcPr>
            <w:tcW w:w="1119" w:type="dxa"/>
            <w:tcBorders>
              <w:top w:val="nil"/>
              <w:left w:val="nil"/>
              <w:bottom w:val="single" w:sz="4" w:space="0" w:color="auto"/>
              <w:right w:val="single" w:sz="4" w:space="0" w:color="auto"/>
            </w:tcBorders>
            <w:shd w:val="clear" w:color="000000" w:fill="FDE9D9"/>
            <w:noWrap/>
            <w:vAlign w:val="bottom"/>
            <w:hideMark/>
          </w:tcPr>
          <w:p w14:paraId="379AA0C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8.80 %</w:t>
            </w:r>
          </w:p>
        </w:tc>
        <w:tc>
          <w:tcPr>
            <w:tcW w:w="880" w:type="dxa"/>
            <w:tcBorders>
              <w:top w:val="nil"/>
              <w:left w:val="nil"/>
              <w:bottom w:val="single" w:sz="4" w:space="0" w:color="auto"/>
              <w:right w:val="single" w:sz="4" w:space="0" w:color="auto"/>
            </w:tcBorders>
            <w:shd w:val="clear" w:color="000000" w:fill="FDE9D9"/>
            <w:noWrap/>
            <w:vAlign w:val="bottom"/>
            <w:hideMark/>
          </w:tcPr>
          <w:p w14:paraId="4217753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26.30 %</w:t>
            </w:r>
          </w:p>
        </w:tc>
        <w:tc>
          <w:tcPr>
            <w:tcW w:w="880" w:type="dxa"/>
            <w:tcBorders>
              <w:top w:val="nil"/>
              <w:left w:val="nil"/>
              <w:bottom w:val="single" w:sz="4" w:space="0" w:color="auto"/>
              <w:right w:val="single" w:sz="4" w:space="0" w:color="auto"/>
            </w:tcBorders>
            <w:shd w:val="clear" w:color="000000" w:fill="DAEEF3"/>
            <w:noWrap/>
            <w:vAlign w:val="bottom"/>
            <w:hideMark/>
          </w:tcPr>
          <w:p w14:paraId="18F9C22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0.23 %</w:t>
            </w:r>
          </w:p>
        </w:tc>
        <w:tc>
          <w:tcPr>
            <w:tcW w:w="1119" w:type="dxa"/>
            <w:tcBorders>
              <w:top w:val="nil"/>
              <w:left w:val="nil"/>
              <w:bottom w:val="single" w:sz="4" w:space="0" w:color="auto"/>
              <w:right w:val="single" w:sz="4" w:space="0" w:color="auto"/>
            </w:tcBorders>
            <w:shd w:val="clear" w:color="000000" w:fill="DAEEF3"/>
            <w:noWrap/>
            <w:vAlign w:val="bottom"/>
            <w:hideMark/>
          </w:tcPr>
          <w:p w14:paraId="409980C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5.81 %</w:t>
            </w:r>
          </w:p>
        </w:tc>
        <w:tc>
          <w:tcPr>
            <w:tcW w:w="880" w:type="dxa"/>
            <w:tcBorders>
              <w:top w:val="nil"/>
              <w:left w:val="nil"/>
              <w:bottom w:val="single" w:sz="4" w:space="0" w:color="auto"/>
              <w:right w:val="single" w:sz="4" w:space="0" w:color="auto"/>
            </w:tcBorders>
            <w:shd w:val="clear" w:color="000000" w:fill="DAEEF3"/>
            <w:noWrap/>
            <w:vAlign w:val="bottom"/>
            <w:hideMark/>
          </w:tcPr>
          <w:p w14:paraId="5BEEE1E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18.72 %</w:t>
            </w:r>
          </w:p>
        </w:tc>
      </w:tr>
      <w:tr w:rsidR="00E00398" w:rsidRPr="00E00398" w14:paraId="0213B8B0"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790FC85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KiteFlite</w:t>
            </w:r>
          </w:p>
        </w:tc>
        <w:tc>
          <w:tcPr>
            <w:tcW w:w="880" w:type="dxa"/>
            <w:tcBorders>
              <w:top w:val="nil"/>
              <w:left w:val="nil"/>
              <w:bottom w:val="single" w:sz="4" w:space="0" w:color="auto"/>
              <w:right w:val="single" w:sz="4" w:space="0" w:color="auto"/>
            </w:tcBorders>
            <w:shd w:val="clear" w:color="000000" w:fill="F2F2F2"/>
            <w:noWrap/>
            <w:vAlign w:val="bottom"/>
            <w:hideMark/>
          </w:tcPr>
          <w:p w14:paraId="6D84B43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0.09 %</w:t>
            </w:r>
          </w:p>
        </w:tc>
        <w:tc>
          <w:tcPr>
            <w:tcW w:w="1119" w:type="dxa"/>
            <w:tcBorders>
              <w:top w:val="nil"/>
              <w:left w:val="nil"/>
              <w:bottom w:val="single" w:sz="4" w:space="0" w:color="auto"/>
              <w:right w:val="single" w:sz="4" w:space="0" w:color="auto"/>
            </w:tcBorders>
            <w:shd w:val="clear" w:color="000000" w:fill="F2F2F2"/>
            <w:noWrap/>
            <w:vAlign w:val="bottom"/>
            <w:hideMark/>
          </w:tcPr>
          <w:p w14:paraId="1703D996"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1.74 %</w:t>
            </w:r>
          </w:p>
        </w:tc>
        <w:tc>
          <w:tcPr>
            <w:tcW w:w="880" w:type="dxa"/>
            <w:tcBorders>
              <w:top w:val="nil"/>
              <w:left w:val="nil"/>
              <w:bottom w:val="single" w:sz="4" w:space="0" w:color="auto"/>
              <w:right w:val="single" w:sz="4" w:space="0" w:color="auto"/>
            </w:tcBorders>
            <w:shd w:val="clear" w:color="000000" w:fill="F2F2F2"/>
            <w:noWrap/>
            <w:vAlign w:val="bottom"/>
            <w:hideMark/>
          </w:tcPr>
          <w:p w14:paraId="09BF1D5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5.73 %</w:t>
            </w:r>
          </w:p>
        </w:tc>
        <w:tc>
          <w:tcPr>
            <w:tcW w:w="880" w:type="dxa"/>
            <w:tcBorders>
              <w:top w:val="nil"/>
              <w:left w:val="nil"/>
              <w:bottom w:val="single" w:sz="4" w:space="0" w:color="auto"/>
              <w:right w:val="single" w:sz="4" w:space="0" w:color="auto"/>
            </w:tcBorders>
            <w:shd w:val="clear" w:color="000000" w:fill="FDE9D9"/>
            <w:noWrap/>
            <w:vAlign w:val="bottom"/>
            <w:hideMark/>
          </w:tcPr>
          <w:p w14:paraId="03D5883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-0.15 %</w:t>
            </w:r>
          </w:p>
        </w:tc>
        <w:tc>
          <w:tcPr>
            <w:tcW w:w="1119" w:type="dxa"/>
            <w:tcBorders>
              <w:top w:val="nil"/>
              <w:left w:val="nil"/>
              <w:bottom w:val="single" w:sz="4" w:space="0" w:color="auto"/>
              <w:right w:val="single" w:sz="4" w:space="0" w:color="auto"/>
            </w:tcBorders>
            <w:shd w:val="clear" w:color="000000" w:fill="FDE9D9"/>
            <w:noWrap/>
            <w:vAlign w:val="bottom"/>
            <w:hideMark/>
          </w:tcPr>
          <w:p w14:paraId="31D8931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1.54 %</w:t>
            </w:r>
          </w:p>
        </w:tc>
        <w:tc>
          <w:tcPr>
            <w:tcW w:w="880" w:type="dxa"/>
            <w:tcBorders>
              <w:top w:val="nil"/>
              <w:left w:val="nil"/>
              <w:bottom w:val="single" w:sz="4" w:space="0" w:color="auto"/>
              <w:right w:val="single" w:sz="4" w:space="0" w:color="auto"/>
            </w:tcBorders>
            <w:shd w:val="clear" w:color="000000" w:fill="FDE9D9"/>
            <w:noWrap/>
            <w:vAlign w:val="bottom"/>
            <w:hideMark/>
          </w:tcPr>
          <w:p w14:paraId="5C9051D1"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5.06 %</w:t>
            </w:r>
          </w:p>
        </w:tc>
        <w:tc>
          <w:tcPr>
            <w:tcW w:w="880" w:type="dxa"/>
            <w:tcBorders>
              <w:top w:val="nil"/>
              <w:left w:val="nil"/>
              <w:bottom w:val="single" w:sz="4" w:space="0" w:color="auto"/>
              <w:right w:val="single" w:sz="4" w:space="0" w:color="auto"/>
            </w:tcBorders>
            <w:shd w:val="clear" w:color="000000" w:fill="DAEEF3"/>
            <w:noWrap/>
            <w:vAlign w:val="bottom"/>
            <w:hideMark/>
          </w:tcPr>
          <w:p w14:paraId="279FA50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-0.40 %</w:t>
            </w:r>
          </w:p>
        </w:tc>
        <w:tc>
          <w:tcPr>
            <w:tcW w:w="1119" w:type="dxa"/>
            <w:tcBorders>
              <w:top w:val="nil"/>
              <w:left w:val="nil"/>
              <w:bottom w:val="single" w:sz="4" w:space="0" w:color="auto"/>
              <w:right w:val="single" w:sz="4" w:space="0" w:color="auto"/>
            </w:tcBorders>
            <w:shd w:val="clear" w:color="000000" w:fill="DAEEF3"/>
            <w:noWrap/>
            <w:vAlign w:val="bottom"/>
            <w:hideMark/>
          </w:tcPr>
          <w:p w14:paraId="328BD3AB"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0.76 %</w:t>
            </w:r>
          </w:p>
        </w:tc>
        <w:tc>
          <w:tcPr>
            <w:tcW w:w="880" w:type="dxa"/>
            <w:tcBorders>
              <w:top w:val="nil"/>
              <w:left w:val="nil"/>
              <w:bottom w:val="single" w:sz="4" w:space="0" w:color="auto"/>
              <w:right w:val="single" w:sz="4" w:space="0" w:color="auto"/>
            </w:tcBorders>
            <w:shd w:val="clear" w:color="000000" w:fill="DAEEF3"/>
            <w:noWrap/>
            <w:vAlign w:val="bottom"/>
            <w:hideMark/>
          </w:tcPr>
          <w:p w14:paraId="394408D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3.30 %</w:t>
            </w:r>
          </w:p>
        </w:tc>
      </w:tr>
      <w:tr w:rsidR="00E00398" w:rsidRPr="00E00398" w14:paraId="6E645BCF"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49A0DB3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olor w:val="000000"/>
              </w:rPr>
            </w:pPr>
            <w:r w:rsidRPr="00E00398">
              <w:rPr>
                <w:rFonts w:ascii="Calibri" w:hAnsi="Calibri"/>
                <w:color w:val="000000"/>
              </w:rPr>
              <w:t>Harbor</w:t>
            </w:r>
          </w:p>
        </w:tc>
        <w:tc>
          <w:tcPr>
            <w:tcW w:w="880" w:type="dxa"/>
            <w:tcBorders>
              <w:top w:val="nil"/>
              <w:left w:val="nil"/>
              <w:bottom w:val="single" w:sz="4" w:space="0" w:color="auto"/>
              <w:right w:val="single" w:sz="4" w:space="0" w:color="auto"/>
            </w:tcBorders>
            <w:shd w:val="clear" w:color="000000" w:fill="F2F2F2"/>
            <w:noWrap/>
            <w:vAlign w:val="bottom"/>
            <w:hideMark/>
          </w:tcPr>
          <w:p w14:paraId="3B072F1E"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-0.26 %</w:t>
            </w:r>
          </w:p>
        </w:tc>
        <w:tc>
          <w:tcPr>
            <w:tcW w:w="1119" w:type="dxa"/>
            <w:tcBorders>
              <w:top w:val="nil"/>
              <w:left w:val="nil"/>
              <w:bottom w:val="single" w:sz="4" w:space="0" w:color="auto"/>
              <w:right w:val="single" w:sz="4" w:space="0" w:color="auto"/>
            </w:tcBorders>
            <w:shd w:val="clear" w:color="000000" w:fill="F2F2F2"/>
            <w:noWrap/>
            <w:vAlign w:val="bottom"/>
            <w:hideMark/>
          </w:tcPr>
          <w:p w14:paraId="1DA763B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2.63 %</w:t>
            </w:r>
          </w:p>
        </w:tc>
        <w:tc>
          <w:tcPr>
            <w:tcW w:w="880" w:type="dxa"/>
            <w:tcBorders>
              <w:top w:val="nil"/>
              <w:left w:val="nil"/>
              <w:bottom w:val="single" w:sz="4" w:space="0" w:color="auto"/>
              <w:right w:val="single" w:sz="4" w:space="0" w:color="auto"/>
            </w:tcBorders>
            <w:shd w:val="clear" w:color="000000" w:fill="F2F2F2"/>
            <w:noWrap/>
            <w:vAlign w:val="bottom"/>
            <w:hideMark/>
          </w:tcPr>
          <w:p w14:paraId="39A9712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11.52 %</w:t>
            </w:r>
          </w:p>
        </w:tc>
        <w:tc>
          <w:tcPr>
            <w:tcW w:w="880" w:type="dxa"/>
            <w:tcBorders>
              <w:top w:val="nil"/>
              <w:left w:val="nil"/>
              <w:bottom w:val="single" w:sz="4" w:space="0" w:color="auto"/>
              <w:right w:val="single" w:sz="4" w:space="0" w:color="auto"/>
            </w:tcBorders>
            <w:shd w:val="clear" w:color="000000" w:fill="FDE9D9"/>
            <w:noWrap/>
            <w:vAlign w:val="bottom"/>
            <w:hideMark/>
          </w:tcPr>
          <w:p w14:paraId="34676AF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-0.63 %</w:t>
            </w:r>
          </w:p>
        </w:tc>
        <w:tc>
          <w:tcPr>
            <w:tcW w:w="1119" w:type="dxa"/>
            <w:tcBorders>
              <w:top w:val="nil"/>
              <w:left w:val="nil"/>
              <w:bottom w:val="single" w:sz="4" w:space="0" w:color="auto"/>
              <w:right w:val="single" w:sz="4" w:space="0" w:color="auto"/>
            </w:tcBorders>
            <w:shd w:val="clear" w:color="000000" w:fill="FDE9D9"/>
            <w:noWrap/>
            <w:vAlign w:val="bottom"/>
            <w:hideMark/>
          </w:tcPr>
          <w:p w14:paraId="7E7F7898"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2.25 %</w:t>
            </w:r>
          </w:p>
        </w:tc>
        <w:tc>
          <w:tcPr>
            <w:tcW w:w="880" w:type="dxa"/>
            <w:tcBorders>
              <w:top w:val="nil"/>
              <w:left w:val="nil"/>
              <w:bottom w:val="single" w:sz="4" w:space="0" w:color="auto"/>
              <w:right w:val="single" w:sz="4" w:space="0" w:color="auto"/>
            </w:tcBorders>
            <w:shd w:val="clear" w:color="000000" w:fill="FDE9D9"/>
            <w:noWrap/>
            <w:vAlign w:val="bottom"/>
            <w:hideMark/>
          </w:tcPr>
          <w:p w14:paraId="7B424A83"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9.90 %</w:t>
            </w:r>
          </w:p>
        </w:tc>
        <w:tc>
          <w:tcPr>
            <w:tcW w:w="880" w:type="dxa"/>
            <w:tcBorders>
              <w:top w:val="nil"/>
              <w:left w:val="nil"/>
              <w:bottom w:val="single" w:sz="4" w:space="0" w:color="auto"/>
              <w:right w:val="single" w:sz="4" w:space="0" w:color="auto"/>
            </w:tcBorders>
            <w:shd w:val="clear" w:color="000000" w:fill="DAEEF3"/>
            <w:noWrap/>
            <w:vAlign w:val="bottom"/>
            <w:hideMark/>
          </w:tcPr>
          <w:p w14:paraId="393187FD"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-0.54 %</w:t>
            </w:r>
          </w:p>
        </w:tc>
        <w:tc>
          <w:tcPr>
            <w:tcW w:w="1119" w:type="dxa"/>
            <w:tcBorders>
              <w:top w:val="nil"/>
              <w:left w:val="nil"/>
              <w:bottom w:val="single" w:sz="4" w:space="0" w:color="auto"/>
              <w:right w:val="single" w:sz="4" w:space="0" w:color="auto"/>
            </w:tcBorders>
            <w:shd w:val="clear" w:color="000000" w:fill="DAEEF3"/>
            <w:noWrap/>
            <w:vAlign w:val="bottom"/>
            <w:hideMark/>
          </w:tcPr>
          <w:p w14:paraId="3C3ACD40"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1.19 %</w:t>
            </w:r>
          </w:p>
        </w:tc>
        <w:tc>
          <w:tcPr>
            <w:tcW w:w="880" w:type="dxa"/>
            <w:tcBorders>
              <w:top w:val="nil"/>
              <w:left w:val="nil"/>
              <w:bottom w:val="single" w:sz="4" w:space="0" w:color="auto"/>
              <w:right w:val="single" w:sz="4" w:space="0" w:color="auto"/>
            </w:tcBorders>
            <w:shd w:val="clear" w:color="000000" w:fill="DAEEF3"/>
            <w:noWrap/>
            <w:vAlign w:val="bottom"/>
            <w:hideMark/>
          </w:tcPr>
          <w:p w14:paraId="36E0F00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color w:val="000000"/>
              </w:rPr>
            </w:pPr>
            <w:r w:rsidRPr="00E00398">
              <w:rPr>
                <w:rFonts w:ascii="Calibri" w:hAnsi="Calibri"/>
                <w:color w:val="000000"/>
              </w:rPr>
              <w:t>6.11 %</w:t>
            </w:r>
          </w:p>
        </w:tc>
      </w:tr>
      <w:tr w:rsidR="00E00398" w:rsidRPr="00E00398" w14:paraId="777B85AB" w14:textId="77777777" w:rsidTr="002F2877">
        <w:trPr>
          <w:trHeight w:val="255"/>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1B23014C"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b/>
                <w:bCs/>
                <w:color w:val="000000"/>
              </w:rPr>
            </w:pPr>
            <w:r w:rsidRPr="00E00398">
              <w:rPr>
                <w:rFonts w:ascii="Calibri" w:hAnsi="Calibri"/>
                <w:b/>
                <w:bCs/>
                <w:color w:val="000000"/>
              </w:rPr>
              <w:t>Average</w:t>
            </w:r>
          </w:p>
        </w:tc>
        <w:tc>
          <w:tcPr>
            <w:tcW w:w="880" w:type="dxa"/>
            <w:tcBorders>
              <w:top w:val="nil"/>
              <w:left w:val="nil"/>
              <w:bottom w:val="single" w:sz="4" w:space="0" w:color="auto"/>
              <w:right w:val="single" w:sz="4" w:space="0" w:color="auto"/>
            </w:tcBorders>
            <w:shd w:val="clear" w:color="000000" w:fill="F2F2F2"/>
            <w:noWrap/>
            <w:vAlign w:val="bottom"/>
            <w:hideMark/>
          </w:tcPr>
          <w:p w14:paraId="28F58612"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0.37 %</w:t>
            </w:r>
          </w:p>
        </w:tc>
        <w:tc>
          <w:tcPr>
            <w:tcW w:w="1119" w:type="dxa"/>
            <w:tcBorders>
              <w:top w:val="nil"/>
              <w:left w:val="nil"/>
              <w:bottom w:val="single" w:sz="4" w:space="0" w:color="auto"/>
              <w:right w:val="single" w:sz="4" w:space="0" w:color="auto"/>
            </w:tcBorders>
            <w:shd w:val="clear" w:color="000000" w:fill="F2F2F2"/>
            <w:noWrap/>
            <w:vAlign w:val="bottom"/>
            <w:hideMark/>
          </w:tcPr>
          <w:p w14:paraId="6E2522A0"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4.53 %</w:t>
            </w:r>
          </w:p>
        </w:tc>
        <w:tc>
          <w:tcPr>
            <w:tcW w:w="880" w:type="dxa"/>
            <w:tcBorders>
              <w:top w:val="nil"/>
              <w:left w:val="nil"/>
              <w:bottom w:val="single" w:sz="4" w:space="0" w:color="auto"/>
              <w:right w:val="single" w:sz="4" w:space="0" w:color="auto"/>
            </w:tcBorders>
            <w:shd w:val="clear" w:color="000000" w:fill="F2F2F2"/>
            <w:noWrap/>
            <w:vAlign w:val="bottom"/>
            <w:hideMark/>
          </w:tcPr>
          <w:p w14:paraId="21AE35E9"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14.18 %</w:t>
            </w:r>
          </w:p>
        </w:tc>
        <w:tc>
          <w:tcPr>
            <w:tcW w:w="880" w:type="dxa"/>
            <w:tcBorders>
              <w:top w:val="nil"/>
              <w:left w:val="nil"/>
              <w:bottom w:val="single" w:sz="4" w:space="0" w:color="auto"/>
              <w:right w:val="single" w:sz="4" w:space="0" w:color="auto"/>
            </w:tcBorders>
            <w:shd w:val="clear" w:color="000000" w:fill="FDE9D9"/>
            <w:noWrap/>
            <w:vAlign w:val="bottom"/>
            <w:hideMark/>
          </w:tcPr>
          <w:p w14:paraId="3356E0C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-0.13 %</w:t>
            </w:r>
          </w:p>
        </w:tc>
        <w:tc>
          <w:tcPr>
            <w:tcW w:w="1119" w:type="dxa"/>
            <w:tcBorders>
              <w:top w:val="nil"/>
              <w:left w:val="nil"/>
              <w:bottom w:val="single" w:sz="4" w:space="0" w:color="auto"/>
              <w:right w:val="single" w:sz="4" w:space="0" w:color="auto"/>
            </w:tcBorders>
            <w:shd w:val="clear" w:color="000000" w:fill="FDE9D9"/>
            <w:noWrap/>
            <w:vAlign w:val="bottom"/>
            <w:hideMark/>
          </w:tcPr>
          <w:p w14:paraId="26F9B717"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3.98 %</w:t>
            </w:r>
          </w:p>
        </w:tc>
        <w:tc>
          <w:tcPr>
            <w:tcW w:w="880" w:type="dxa"/>
            <w:tcBorders>
              <w:top w:val="nil"/>
              <w:left w:val="nil"/>
              <w:bottom w:val="single" w:sz="4" w:space="0" w:color="auto"/>
              <w:right w:val="single" w:sz="4" w:space="0" w:color="auto"/>
            </w:tcBorders>
            <w:shd w:val="clear" w:color="000000" w:fill="FDE9D9"/>
            <w:noWrap/>
            <w:vAlign w:val="bottom"/>
            <w:hideMark/>
          </w:tcPr>
          <w:p w14:paraId="54F1B8C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12.41 %</w:t>
            </w:r>
          </w:p>
        </w:tc>
        <w:tc>
          <w:tcPr>
            <w:tcW w:w="880" w:type="dxa"/>
            <w:tcBorders>
              <w:top w:val="nil"/>
              <w:left w:val="nil"/>
              <w:bottom w:val="single" w:sz="4" w:space="0" w:color="auto"/>
              <w:right w:val="single" w:sz="4" w:space="0" w:color="auto"/>
            </w:tcBorders>
            <w:shd w:val="clear" w:color="000000" w:fill="DAEEF3"/>
            <w:noWrap/>
            <w:vAlign w:val="bottom"/>
            <w:hideMark/>
          </w:tcPr>
          <w:p w14:paraId="584BB3AA"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-0.35 %</w:t>
            </w:r>
          </w:p>
        </w:tc>
        <w:tc>
          <w:tcPr>
            <w:tcW w:w="1119" w:type="dxa"/>
            <w:tcBorders>
              <w:top w:val="nil"/>
              <w:left w:val="nil"/>
              <w:bottom w:val="single" w:sz="4" w:space="0" w:color="auto"/>
              <w:right w:val="single" w:sz="4" w:space="0" w:color="auto"/>
            </w:tcBorders>
            <w:shd w:val="clear" w:color="000000" w:fill="DAEEF3"/>
            <w:noWrap/>
            <w:vAlign w:val="bottom"/>
            <w:hideMark/>
          </w:tcPr>
          <w:p w14:paraId="6B38721F"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2.30 %</w:t>
            </w:r>
          </w:p>
        </w:tc>
        <w:tc>
          <w:tcPr>
            <w:tcW w:w="880" w:type="dxa"/>
            <w:tcBorders>
              <w:top w:val="nil"/>
              <w:left w:val="nil"/>
              <w:bottom w:val="single" w:sz="4" w:space="0" w:color="auto"/>
              <w:right w:val="single" w:sz="4" w:space="0" w:color="auto"/>
            </w:tcBorders>
            <w:shd w:val="clear" w:color="000000" w:fill="DAEEF3"/>
            <w:noWrap/>
            <w:vAlign w:val="bottom"/>
            <w:hideMark/>
          </w:tcPr>
          <w:p w14:paraId="6F7F08A5" w14:textId="77777777" w:rsidR="00E00398" w:rsidRPr="00E00398" w:rsidRDefault="00E00398" w:rsidP="00E003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Calibri" w:hAnsi="Calibri"/>
                <w:b/>
                <w:bCs/>
                <w:color w:val="000000"/>
              </w:rPr>
            </w:pPr>
            <w:r w:rsidRPr="00E00398">
              <w:rPr>
                <w:rFonts w:ascii="Calibri" w:hAnsi="Calibri"/>
                <w:b/>
                <w:bCs/>
                <w:color w:val="000000"/>
              </w:rPr>
              <w:t>8.11 %</w:t>
            </w:r>
          </w:p>
        </w:tc>
      </w:tr>
    </w:tbl>
    <w:p w14:paraId="74C56C63" w14:textId="49196DA7" w:rsidR="00C62FE5" w:rsidRDefault="00092586" w:rsidP="009234A5">
      <w:pPr>
        <w:rPr>
          <w:szCs w:val="22"/>
          <w:lang w:val="en-CA"/>
        </w:rPr>
      </w:pPr>
      <w:r>
        <w:rPr>
          <w:szCs w:val="22"/>
          <w:lang w:val="en-CA"/>
        </w:rPr>
        <w:t>It can be observed that for some sequences the rate-distortion cost caused by MCTSs is significant.</w:t>
      </w:r>
    </w:p>
    <w:p w14:paraId="5986CD13" w14:textId="6CBF9E5B" w:rsidR="00AB6609" w:rsidRDefault="00AB6609" w:rsidP="00AB6609">
      <w:pPr>
        <w:pStyle w:val="Heading3"/>
        <w:rPr>
          <w:lang w:val="en-CA"/>
        </w:rPr>
      </w:pPr>
      <w:r>
        <w:rPr>
          <w:lang w:val="en-CA"/>
        </w:rPr>
        <w:t xml:space="preserve">Suggested </w:t>
      </w:r>
      <w:r w:rsidR="007F5CAB">
        <w:rPr>
          <w:lang w:val="en-CA"/>
        </w:rPr>
        <w:t>design goal</w:t>
      </w:r>
    </w:p>
    <w:p w14:paraId="7D01358C" w14:textId="76493CEF" w:rsidR="008569C4" w:rsidRDefault="008569C4" w:rsidP="009234A5">
      <w:pPr>
        <w:rPr>
          <w:szCs w:val="22"/>
          <w:lang w:val="en-CA"/>
        </w:rPr>
      </w:pPr>
      <w:r>
        <w:rPr>
          <w:szCs w:val="22"/>
          <w:lang w:val="en-CA"/>
        </w:rPr>
        <w:t xml:space="preserve">The tile design of VVC should enable encoding of </w:t>
      </w:r>
      <w:r w:rsidR="00C62FE5">
        <w:rPr>
          <w:szCs w:val="22"/>
          <w:lang w:val="en-CA"/>
        </w:rPr>
        <w:t>motion-constrained</w:t>
      </w:r>
      <w:r>
        <w:rPr>
          <w:szCs w:val="22"/>
          <w:lang w:val="en-CA"/>
        </w:rPr>
        <w:t xml:space="preserve"> tile sets </w:t>
      </w:r>
      <w:r w:rsidR="00C62FE5">
        <w:rPr>
          <w:szCs w:val="22"/>
          <w:lang w:val="en-CA"/>
        </w:rPr>
        <w:t xml:space="preserve">(MCTSs) that are more efficient than HEVC MCTSs in terms of rate-distortion penalty. </w:t>
      </w:r>
    </w:p>
    <w:p w14:paraId="1D769E49" w14:textId="7FB34525" w:rsidR="00036187" w:rsidRDefault="00036187" w:rsidP="00036187">
      <w:pPr>
        <w:pStyle w:val="Heading2"/>
        <w:rPr>
          <w:lang w:val="en-CA"/>
        </w:rPr>
      </w:pPr>
      <w:r>
        <w:rPr>
          <w:lang w:val="en-CA"/>
        </w:rPr>
        <w:t>MCTS boundary visibility</w:t>
      </w:r>
    </w:p>
    <w:p w14:paraId="6AA30A25" w14:textId="77777777" w:rsidR="00036187" w:rsidRDefault="00036187" w:rsidP="00036187">
      <w:pPr>
        <w:pStyle w:val="Heading3"/>
        <w:rPr>
          <w:lang w:val="en-CA"/>
        </w:rPr>
      </w:pPr>
      <w:r>
        <w:rPr>
          <w:lang w:val="en-CA"/>
        </w:rPr>
        <w:t>Motivation</w:t>
      </w:r>
    </w:p>
    <w:p w14:paraId="3B067CDF" w14:textId="6467B70E" w:rsidR="00036187" w:rsidRDefault="00451DE4" w:rsidP="00036187">
      <w:pPr>
        <w:rPr>
          <w:lang w:val="en-CA"/>
        </w:rPr>
      </w:pPr>
      <w:r>
        <w:rPr>
          <w:lang w:val="en-CA"/>
        </w:rPr>
        <w:t xml:space="preserve">In order to make MCTSs independent of each other, deblocking across MCTS boundaries is turned off for viewport-dependent video. </w:t>
      </w:r>
      <w:r w:rsidR="00A03AD3">
        <w:rPr>
          <w:lang w:val="en-CA"/>
        </w:rPr>
        <w:t xml:space="preserve">Since </w:t>
      </w:r>
      <w:r>
        <w:rPr>
          <w:lang w:val="en-CA"/>
        </w:rPr>
        <w:t xml:space="preserve">no deblocking is applied and since </w:t>
      </w:r>
      <w:r w:rsidR="00A03AD3">
        <w:rPr>
          <w:lang w:val="en-CA"/>
        </w:rPr>
        <w:t xml:space="preserve">prediction dependencies are </w:t>
      </w:r>
      <w:r>
        <w:rPr>
          <w:lang w:val="en-CA"/>
        </w:rPr>
        <w:t>disabled</w:t>
      </w:r>
      <w:r w:rsidR="00A03AD3">
        <w:rPr>
          <w:lang w:val="en-CA"/>
        </w:rPr>
        <w:t xml:space="preserve"> in tile boundaries, they can become visible. </w:t>
      </w:r>
      <w:r w:rsidR="00A03AD3">
        <w:rPr>
          <w:lang w:val="en-CA"/>
        </w:rPr>
        <w:fldChar w:fldCharType="begin"/>
      </w:r>
      <w:r w:rsidR="00A03AD3">
        <w:rPr>
          <w:lang w:val="en-CA"/>
        </w:rPr>
        <w:instrText xml:space="preserve"> REF _Ref518335754 \h </w:instrText>
      </w:r>
      <w:r w:rsidR="00A03AD3">
        <w:rPr>
          <w:lang w:val="en-CA"/>
        </w:rPr>
      </w:r>
      <w:r w:rsidR="00A03AD3">
        <w:rPr>
          <w:lang w:val="en-CA"/>
        </w:rPr>
        <w:fldChar w:fldCharType="separate"/>
      </w:r>
      <w:r w:rsidR="007D2805">
        <w:t xml:space="preserve">Figure </w:t>
      </w:r>
      <w:r w:rsidR="007D2805">
        <w:rPr>
          <w:noProof/>
        </w:rPr>
        <w:t>5</w:t>
      </w:r>
      <w:r w:rsidR="00A03AD3">
        <w:rPr>
          <w:lang w:val="en-CA"/>
        </w:rPr>
        <w:fldChar w:fldCharType="end"/>
      </w:r>
      <w:r w:rsidR="00A03AD3">
        <w:rPr>
          <w:lang w:val="en-CA"/>
        </w:rPr>
        <w:t xml:space="preserve"> presents examples of visible tile boundaries.</w:t>
      </w:r>
    </w:p>
    <w:p w14:paraId="239556C7" w14:textId="75893714" w:rsidR="00A03AD3" w:rsidRDefault="00A03AD3" w:rsidP="00A03AD3">
      <w:pPr>
        <w:jc w:val="center"/>
        <w:rPr>
          <w:lang w:val="en-CA"/>
        </w:rPr>
      </w:pPr>
      <w:r>
        <w:rPr>
          <w:noProof/>
        </w:rPr>
        <w:lastRenderedPageBreak/>
        <w:drawing>
          <wp:inline distT="0" distB="0" distL="0" distR="0" wp14:anchorId="41F1E977" wp14:editId="4C690F9F">
            <wp:extent cx="6059805" cy="318833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9805" cy="3188335"/>
                    </a:xfrm>
                    <a:prstGeom prst="rect">
                      <a:avLst/>
                    </a:prstGeom>
                    <a:noFill/>
                  </pic:spPr>
                </pic:pic>
              </a:graphicData>
            </a:graphic>
          </wp:inline>
        </w:drawing>
      </w:r>
    </w:p>
    <w:p w14:paraId="624D051F" w14:textId="4FFD6893" w:rsidR="00A03AD3" w:rsidRDefault="00A03AD3" w:rsidP="00A03AD3">
      <w:pPr>
        <w:jc w:val="center"/>
        <w:rPr>
          <w:lang w:val="en-CA"/>
        </w:rPr>
      </w:pPr>
      <w:r>
        <w:rPr>
          <w:noProof/>
        </w:rPr>
        <w:drawing>
          <wp:inline distT="0" distB="0" distL="0" distR="0" wp14:anchorId="45F36472" wp14:editId="0B1A5F52">
            <wp:extent cx="2422800" cy="3880800"/>
            <wp:effectExtent l="0" t="0" r="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22800" cy="3880800"/>
                    </a:xfrm>
                    <a:prstGeom prst="rect">
                      <a:avLst/>
                    </a:prstGeom>
                    <a:noFill/>
                  </pic:spPr>
                </pic:pic>
              </a:graphicData>
            </a:graphic>
          </wp:inline>
        </w:drawing>
      </w:r>
      <w:r>
        <w:rPr>
          <w:noProof/>
        </w:rPr>
        <w:t xml:space="preserve">        </w:t>
      </w:r>
      <w:r>
        <w:rPr>
          <w:noProof/>
        </w:rPr>
        <w:drawing>
          <wp:inline distT="0" distB="0" distL="0" distR="0" wp14:anchorId="2A6EF8DC" wp14:editId="0DC77F5E">
            <wp:extent cx="2671200" cy="26712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1200" cy="2671200"/>
                    </a:xfrm>
                    <a:prstGeom prst="rect">
                      <a:avLst/>
                    </a:prstGeom>
                    <a:noFill/>
                  </pic:spPr>
                </pic:pic>
              </a:graphicData>
            </a:graphic>
          </wp:inline>
        </w:drawing>
      </w:r>
    </w:p>
    <w:p w14:paraId="253CBC84" w14:textId="23874C04" w:rsidR="00A03AD3" w:rsidRPr="005B217D" w:rsidRDefault="00A03AD3" w:rsidP="00A03AD3">
      <w:pPr>
        <w:pStyle w:val="Caption"/>
        <w:jc w:val="center"/>
        <w:rPr>
          <w:szCs w:val="22"/>
          <w:lang w:val="en-CA"/>
        </w:rPr>
      </w:pPr>
      <w:bookmarkStart w:id="10" w:name="_Ref518335754"/>
      <w:r>
        <w:t xml:space="preserve">Figure </w:t>
      </w:r>
      <w:r>
        <w:fldChar w:fldCharType="begin"/>
      </w:r>
      <w:r>
        <w:instrText xml:space="preserve"> SEQ Figure \* ARABIC </w:instrText>
      </w:r>
      <w:r>
        <w:fldChar w:fldCharType="separate"/>
      </w:r>
      <w:r w:rsidR="007D2805">
        <w:rPr>
          <w:noProof/>
        </w:rPr>
        <w:t>5</w:t>
      </w:r>
      <w:r>
        <w:rPr>
          <w:noProof/>
        </w:rPr>
        <w:fldChar w:fldCharType="end"/>
      </w:r>
      <w:bookmarkEnd w:id="10"/>
      <w:r>
        <w:t xml:space="preserve">. </w:t>
      </w:r>
      <w:r w:rsidRPr="007B7D01">
        <w:rPr>
          <w:rFonts w:eastAsia="Malgun Gothic"/>
          <w:lang w:eastAsia="ko-KR"/>
        </w:rPr>
        <w:t>Example</w:t>
      </w:r>
      <w:r>
        <w:rPr>
          <w:rFonts w:eastAsia="Malgun Gothic"/>
          <w:lang w:eastAsia="ko-KR"/>
        </w:rPr>
        <w:t xml:space="preserve"> of tile boundaries, Tampere Polevault, QP37</w:t>
      </w:r>
      <w:r>
        <w:t>.</w:t>
      </w:r>
    </w:p>
    <w:p w14:paraId="3FCA7018" w14:textId="6C88858E" w:rsidR="00A03AD3" w:rsidRDefault="00451DE4" w:rsidP="00036187">
      <w:pPr>
        <w:rPr>
          <w:lang w:val="en-CA"/>
        </w:rPr>
      </w:pPr>
      <w:r>
        <w:rPr>
          <w:lang w:val="en-CA"/>
        </w:rPr>
        <w:t>The visibility of tile boundaries can be concealed by encoding slightly overlapped content in tiles. The overlapped regions can be blended</w:t>
      </w:r>
      <w:r w:rsidR="00DF6012">
        <w:rPr>
          <w:lang w:val="en-CA"/>
        </w:rPr>
        <w:t xml:space="preserve"> as a decoder-side post-processing step</w:t>
      </w:r>
      <w:r>
        <w:rPr>
          <w:lang w:val="en-CA"/>
        </w:rPr>
        <w:t xml:space="preserve">. However, such an approach </w:t>
      </w:r>
      <w:r w:rsidR="00DF6012">
        <w:rPr>
          <w:lang w:val="en-CA"/>
        </w:rPr>
        <w:t xml:space="preserve">either </w:t>
      </w:r>
      <w:r>
        <w:rPr>
          <w:lang w:val="en-CA"/>
        </w:rPr>
        <w:t>requires greater decoding capacity or causes smaller effective picture sizes for region-wise mixed-quality or mixed-resolution viewport-dependent streaming. Moreover, region-wise mixed-quality streaming would no longer use the projected picture format as such but region-wise packing would be required.</w:t>
      </w:r>
    </w:p>
    <w:p w14:paraId="02F145FD" w14:textId="77777777" w:rsidR="00036187" w:rsidRPr="007F5CAB" w:rsidRDefault="00036187" w:rsidP="00036187">
      <w:pPr>
        <w:pStyle w:val="Heading3"/>
        <w:rPr>
          <w:lang w:val="en-CA"/>
        </w:rPr>
      </w:pPr>
      <w:r>
        <w:rPr>
          <w:lang w:val="en-CA"/>
        </w:rPr>
        <w:t>Suggested design goal</w:t>
      </w:r>
    </w:p>
    <w:p w14:paraId="6CC1FFE4" w14:textId="2469DD4E" w:rsidR="00036187" w:rsidRDefault="00DF6012" w:rsidP="00036187">
      <w:pPr>
        <w:rPr>
          <w:szCs w:val="22"/>
          <w:lang w:val="en-CA"/>
        </w:rPr>
      </w:pPr>
      <w:r>
        <w:rPr>
          <w:szCs w:val="22"/>
          <w:lang w:val="en-CA"/>
        </w:rPr>
        <w:t>The tile design of VVC should enable avoiding visible MCTS boundaries with as small processing cost as possible.</w:t>
      </w:r>
    </w:p>
    <w:p w14:paraId="3938CA9A" w14:textId="703897F5" w:rsidR="00AB6609" w:rsidRDefault="007F5CAB" w:rsidP="007F5CAB">
      <w:pPr>
        <w:pStyle w:val="Heading2"/>
        <w:rPr>
          <w:lang w:val="en-CA"/>
        </w:rPr>
      </w:pPr>
      <w:r>
        <w:rPr>
          <w:lang w:val="en-CA"/>
        </w:rPr>
        <w:lastRenderedPageBreak/>
        <w:t>Intra block copy prediction across tiles for achieving inter-view prediction in stereoscopic video</w:t>
      </w:r>
    </w:p>
    <w:p w14:paraId="65B5F6B3" w14:textId="3CFF2BF7" w:rsidR="007F5CAB" w:rsidRDefault="007F5CAB" w:rsidP="007F5CAB">
      <w:pPr>
        <w:pStyle w:val="Heading3"/>
        <w:rPr>
          <w:lang w:val="en-CA"/>
        </w:rPr>
      </w:pPr>
      <w:r>
        <w:rPr>
          <w:lang w:val="en-CA"/>
        </w:rPr>
        <w:t>Motivation</w:t>
      </w:r>
    </w:p>
    <w:p w14:paraId="7E19C09C" w14:textId="383E8E1D" w:rsidR="007F5CAB" w:rsidRDefault="00EC7BC5" w:rsidP="009234A5">
      <w:pPr>
        <w:rPr>
          <w:szCs w:val="22"/>
          <w:lang w:val="en-CA"/>
        </w:rPr>
      </w:pPr>
      <w:r>
        <w:rPr>
          <w:szCs w:val="22"/>
          <w:lang w:val="en-CA"/>
        </w:rPr>
        <w:t>In simulations of JVET-G0064</w:t>
      </w:r>
      <w:r w:rsidR="00B72855">
        <w:rPr>
          <w:szCs w:val="22"/>
          <w:lang w:val="en-CA"/>
        </w:rPr>
        <w:t xml:space="preserve"> </w:t>
      </w:r>
      <w:r w:rsidR="00B72855">
        <w:rPr>
          <w:szCs w:val="22"/>
          <w:lang w:val="en-CA"/>
        </w:rPr>
        <w:fldChar w:fldCharType="begin"/>
      </w:r>
      <w:r w:rsidR="00B72855">
        <w:rPr>
          <w:szCs w:val="22"/>
          <w:lang w:val="en-CA"/>
        </w:rPr>
        <w:instrText xml:space="preserve"> REF _Ref518339415 \r \h </w:instrText>
      </w:r>
      <w:r w:rsidR="00B72855">
        <w:rPr>
          <w:szCs w:val="22"/>
          <w:lang w:val="en-CA"/>
        </w:rPr>
      </w:r>
      <w:r w:rsidR="00B72855">
        <w:rPr>
          <w:szCs w:val="22"/>
          <w:lang w:val="en-CA"/>
        </w:rPr>
        <w:fldChar w:fldCharType="separate"/>
      </w:r>
      <w:r w:rsidR="00B72855">
        <w:rPr>
          <w:szCs w:val="22"/>
          <w:lang w:val="en-CA"/>
        </w:rPr>
        <w:t>[4]</w:t>
      </w:r>
      <w:r w:rsidR="00B72855">
        <w:rPr>
          <w:szCs w:val="22"/>
          <w:lang w:val="en-CA"/>
        </w:rPr>
        <w:fldChar w:fldCharType="end"/>
      </w:r>
      <w:r>
        <w:rPr>
          <w:szCs w:val="22"/>
          <w:lang w:val="en-CA"/>
        </w:rPr>
        <w:t xml:space="preserve">, HEVC screen content coding was tested for stereoscopic top-bottom frame-packed ERP content. </w:t>
      </w:r>
      <w:r w:rsidRPr="00FE7F3D">
        <w:rPr>
          <w:lang w:val="en-CA"/>
        </w:rPr>
        <w:t>HEVC SCC 16.15_SCM8.4</w:t>
      </w:r>
      <w:r>
        <w:rPr>
          <w:lang w:val="en-CA"/>
        </w:rPr>
        <w:t xml:space="preserve"> was used with without other screen content coding tools than intra block copy (IBC). </w:t>
      </w:r>
      <w:r>
        <w:rPr>
          <w:szCs w:val="22"/>
          <w:lang w:val="en-CA"/>
        </w:rPr>
        <w:t xml:space="preserve">The Y-BDBR in random access common test conditions was found to be -19.3% on average. </w:t>
      </w:r>
      <w:r w:rsidR="001524EF">
        <w:rPr>
          <w:szCs w:val="22"/>
          <w:lang w:val="en-CA"/>
        </w:rPr>
        <w:t>This result suggests that IBC would significantly improve the rate-distortion performance of frame-packed stereoscopic video.</w:t>
      </w:r>
    </w:p>
    <w:p w14:paraId="217AF663" w14:textId="77777777" w:rsidR="001524EF" w:rsidRDefault="00EC7BC5" w:rsidP="009234A5">
      <w:pPr>
        <w:rPr>
          <w:szCs w:val="22"/>
          <w:lang w:val="en-CA"/>
        </w:rPr>
      </w:pPr>
      <w:r>
        <w:rPr>
          <w:szCs w:val="22"/>
          <w:lang w:val="en-CA"/>
        </w:rPr>
        <w:t>As discussed in previous sections, the use of motion-constrained tile sets is desired in viewport-depende</w:t>
      </w:r>
      <w:r w:rsidR="001524EF">
        <w:rPr>
          <w:szCs w:val="22"/>
          <w:lang w:val="en-CA"/>
        </w:rPr>
        <w:t xml:space="preserve">nt streaming. </w:t>
      </w:r>
    </w:p>
    <w:p w14:paraId="7760A763" w14:textId="62D0056E" w:rsidR="00EC7BC5" w:rsidRDefault="001524EF" w:rsidP="009234A5">
      <w:pPr>
        <w:rPr>
          <w:szCs w:val="22"/>
          <w:lang w:val="en-CA"/>
        </w:rPr>
      </w:pPr>
      <w:r>
        <w:rPr>
          <w:szCs w:val="22"/>
          <w:lang w:val="en-CA"/>
        </w:rPr>
        <w:t>As a consequence of the paragraphs above, it is proposed to enable intra block copy across tiles.</w:t>
      </w:r>
    </w:p>
    <w:p w14:paraId="10C60F84" w14:textId="3CE0D742" w:rsidR="007F5CAB" w:rsidRDefault="007F5CAB" w:rsidP="007F5CAB">
      <w:pPr>
        <w:pStyle w:val="Heading3"/>
        <w:rPr>
          <w:lang w:val="en-CA"/>
        </w:rPr>
      </w:pPr>
      <w:r>
        <w:rPr>
          <w:lang w:val="en-CA"/>
        </w:rPr>
        <w:t>Suggested design goal</w:t>
      </w:r>
    </w:p>
    <w:p w14:paraId="43FA4A3A" w14:textId="47ED6A25" w:rsidR="001524EF" w:rsidRDefault="001524EF" w:rsidP="009234A5">
      <w:pPr>
        <w:rPr>
          <w:szCs w:val="22"/>
          <w:lang w:val="en-CA"/>
        </w:rPr>
      </w:pPr>
      <w:r>
        <w:rPr>
          <w:szCs w:val="22"/>
          <w:lang w:val="en-CA"/>
        </w:rPr>
        <w:t xml:space="preserve">Provided that intra block copy is adopted as a tool in VVC, </w:t>
      </w:r>
      <w:r w:rsidR="002C6247">
        <w:rPr>
          <w:szCs w:val="22"/>
          <w:lang w:val="en-CA"/>
        </w:rPr>
        <w:t>the tile design of VVC should</w:t>
      </w:r>
      <w:r>
        <w:rPr>
          <w:szCs w:val="22"/>
          <w:lang w:val="en-CA"/>
        </w:rPr>
        <w:t xml:space="preserve"> enable intra block copy across tiles for enabling prediction from one constituent frame to another for frame-packed stereoscopic video.</w:t>
      </w:r>
    </w:p>
    <w:p w14:paraId="1C5B010B" w14:textId="164E07B5" w:rsidR="005B2B1D" w:rsidRDefault="00E1449B" w:rsidP="007F5CAB">
      <w:pPr>
        <w:pStyle w:val="Heading2"/>
        <w:rPr>
          <w:lang w:val="en-CA"/>
        </w:rPr>
      </w:pPr>
      <w:r>
        <w:rPr>
          <w:lang w:val="en-CA"/>
        </w:rPr>
        <w:t>MCTS</w:t>
      </w:r>
      <w:r w:rsidR="007F5CAB">
        <w:rPr>
          <w:lang w:val="en-CA"/>
        </w:rPr>
        <w:t xml:space="preserve"> </w:t>
      </w:r>
      <w:r w:rsidR="00442C29">
        <w:rPr>
          <w:lang w:val="en-CA"/>
        </w:rPr>
        <w:t>reordering</w:t>
      </w:r>
    </w:p>
    <w:p w14:paraId="4E206FD3" w14:textId="3BE4C7EB" w:rsidR="007F5CAB" w:rsidRDefault="007F5CAB" w:rsidP="007F5CAB">
      <w:pPr>
        <w:pStyle w:val="Heading3"/>
        <w:rPr>
          <w:lang w:val="en-CA"/>
        </w:rPr>
      </w:pPr>
      <w:r>
        <w:rPr>
          <w:lang w:val="en-CA"/>
        </w:rPr>
        <w:t>Motivation</w:t>
      </w:r>
    </w:p>
    <w:p w14:paraId="54902620" w14:textId="63BB5FC2" w:rsidR="00876214" w:rsidRDefault="00442C29" w:rsidP="007F5CAB">
      <w:pPr>
        <w:rPr>
          <w:lang w:val="en-CA"/>
        </w:rPr>
      </w:pPr>
      <w:r>
        <w:rPr>
          <w:lang w:val="en-CA"/>
        </w:rPr>
        <w:t xml:space="preserve">As demonstrated in the examples of 360° + viewport video </w:t>
      </w:r>
      <w:r w:rsidR="00E23B83">
        <w:rPr>
          <w:lang w:val="en-CA"/>
        </w:rPr>
        <w:t xml:space="preserve">(Section </w:t>
      </w:r>
      <w:r w:rsidR="00E23B83">
        <w:rPr>
          <w:lang w:val="en-CA"/>
        </w:rPr>
        <w:fldChar w:fldCharType="begin"/>
      </w:r>
      <w:r w:rsidR="00E23B83">
        <w:rPr>
          <w:lang w:val="en-CA"/>
        </w:rPr>
        <w:instrText xml:space="preserve"> REF _Ref518334445 \r \h </w:instrText>
      </w:r>
      <w:r w:rsidR="00E23B83">
        <w:rPr>
          <w:lang w:val="en-CA"/>
        </w:rPr>
      </w:r>
      <w:r w:rsidR="00E23B83">
        <w:rPr>
          <w:lang w:val="en-CA"/>
        </w:rPr>
        <w:fldChar w:fldCharType="separate"/>
      </w:r>
      <w:r w:rsidR="007D2805">
        <w:rPr>
          <w:lang w:val="en-CA"/>
        </w:rPr>
        <w:t>2.4</w:t>
      </w:r>
      <w:r w:rsidR="00E23B83">
        <w:rPr>
          <w:lang w:val="en-CA"/>
        </w:rPr>
        <w:fldChar w:fldCharType="end"/>
      </w:r>
      <w:r w:rsidR="00E23B83">
        <w:rPr>
          <w:lang w:val="en-CA"/>
        </w:rPr>
        <w:t xml:space="preserve">) </w:t>
      </w:r>
      <w:r>
        <w:rPr>
          <w:lang w:val="en-CA"/>
        </w:rPr>
        <w:t xml:space="preserve">and </w:t>
      </w:r>
      <w:r w:rsidR="00E23B83">
        <w:rPr>
          <w:lang w:val="en-CA"/>
        </w:rPr>
        <w:t>region-wise mixed resolution</w:t>
      </w:r>
      <w:r>
        <w:rPr>
          <w:lang w:val="en-CA"/>
        </w:rPr>
        <w:t xml:space="preserve"> 360° video</w:t>
      </w:r>
      <w:r w:rsidR="00E23B83">
        <w:rPr>
          <w:lang w:val="en-CA"/>
        </w:rPr>
        <w:t xml:space="preserve"> (Section </w:t>
      </w:r>
      <w:r w:rsidR="00E23B83">
        <w:rPr>
          <w:lang w:val="en-CA"/>
        </w:rPr>
        <w:fldChar w:fldCharType="begin"/>
      </w:r>
      <w:r w:rsidR="00E23B83">
        <w:rPr>
          <w:lang w:val="en-CA"/>
        </w:rPr>
        <w:instrText xml:space="preserve"> REF _Ref518334446 \r \h </w:instrText>
      </w:r>
      <w:r w:rsidR="00E23B83">
        <w:rPr>
          <w:lang w:val="en-CA"/>
        </w:rPr>
      </w:r>
      <w:r w:rsidR="00E23B83">
        <w:rPr>
          <w:lang w:val="en-CA"/>
        </w:rPr>
        <w:fldChar w:fldCharType="separate"/>
      </w:r>
      <w:r w:rsidR="007D2805">
        <w:rPr>
          <w:lang w:val="en-CA"/>
        </w:rPr>
        <w:t>2.5</w:t>
      </w:r>
      <w:r w:rsidR="00E23B83">
        <w:rPr>
          <w:lang w:val="en-CA"/>
        </w:rPr>
        <w:fldChar w:fldCharType="end"/>
      </w:r>
      <w:r w:rsidR="00E23B83">
        <w:rPr>
          <w:lang w:val="en-CA"/>
        </w:rPr>
        <w:t>)</w:t>
      </w:r>
      <w:r>
        <w:rPr>
          <w:lang w:val="en-CA"/>
        </w:rPr>
        <w:t>, the tile positions in the encoder outputs differ from those of the merged bitstream that is input to the decoder. Thus, parameter sets and slice headers need to be rewritten for the merged bitstream. Two approaches exist for such rewriting:</w:t>
      </w:r>
    </w:p>
    <w:p w14:paraId="1F2E0138" w14:textId="6E5F3D58" w:rsidR="00442C29" w:rsidRDefault="00442C29" w:rsidP="00442C29">
      <w:pPr>
        <w:pStyle w:val="ListParagraph"/>
        <w:numPr>
          <w:ilvl w:val="0"/>
          <w:numId w:val="15"/>
        </w:numPr>
        <w:rPr>
          <w:lang w:val="en-CA"/>
        </w:rPr>
      </w:pPr>
      <w:r w:rsidRPr="00442C29">
        <w:rPr>
          <w:lang w:val="en-CA"/>
        </w:rPr>
        <w:t>Client-side slice header rewriting.</w:t>
      </w:r>
      <w:r w:rsidR="00E23B83">
        <w:rPr>
          <w:lang w:val="en-CA"/>
        </w:rPr>
        <w:t xml:space="preserve"> S</w:t>
      </w:r>
      <w:r w:rsidRPr="00442C29">
        <w:rPr>
          <w:lang w:val="en-CA"/>
        </w:rPr>
        <w:t xml:space="preserve">ince this is not </w:t>
      </w:r>
      <w:r w:rsidR="00E23B83">
        <w:rPr>
          <w:lang w:val="en-CA"/>
        </w:rPr>
        <w:t xml:space="preserve">part </w:t>
      </w:r>
      <w:r w:rsidRPr="00442C29">
        <w:rPr>
          <w:lang w:val="en-CA"/>
        </w:rPr>
        <w:t xml:space="preserve">a standardized </w:t>
      </w:r>
      <w:r w:rsidR="00E23B83">
        <w:rPr>
          <w:lang w:val="en-CA"/>
        </w:rPr>
        <w:t xml:space="preserve">decoding </w:t>
      </w:r>
      <w:r w:rsidRPr="00442C29">
        <w:rPr>
          <w:lang w:val="en-CA"/>
        </w:rPr>
        <w:t xml:space="preserve">operation, it might not be supported by decoder APIs and </w:t>
      </w:r>
      <w:r>
        <w:rPr>
          <w:lang w:val="en-CA"/>
        </w:rPr>
        <w:t xml:space="preserve">many decoder </w:t>
      </w:r>
      <w:r w:rsidRPr="00442C29">
        <w:rPr>
          <w:lang w:val="en-CA"/>
        </w:rPr>
        <w:t xml:space="preserve">implementations. </w:t>
      </w:r>
    </w:p>
    <w:p w14:paraId="486414C1" w14:textId="77777777" w:rsidR="00442C29" w:rsidRPr="00442C29" w:rsidRDefault="00442C29" w:rsidP="00442C29">
      <w:pPr>
        <w:pStyle w:val="ListParagraph"/>
        <w:ind w:left="360"/>
        <w:rPr>
          <w:lang w:val="en-CA"/>
        </w:rPr>
      </w:pPr>
    </w:p>
    <w:p w14:paraId="42F19411" w14:textId="731A05AC" w:rsidR="00442C29" w:rsidRPr="00442C29" w:rsidRDefault="00442C29" w:rsidP="00442C29">
      <w:pPr>
        <w:pStyle w:val="ListParagraph"/>
        <w:numPr>
          <w:ilvl w:val="0"/>
          <w:numId w:val="15"/>
        </w:numPr>
        <w:rPr>
          <w:lang w:val="en-CA"/>
        </w:rPr>
      </w:pPr>
      <w:r w:rsidRPr="00442C29">
        <w:rPr>
          <w:lang w:val="en-CA"/>
        </w:rPr>
        <w:t xml:space="preserve">Extractor track with rewritten slice header. </w:t>
      </w:r>
      <w:r>
        <w:rPr>
          <w:lang w:val="en-CA"/>
        </w:rPr>
        <w:t>ISO/IEC 1</w:t>
      </w:r>
      <w:r w:rsidR="00003CBC">
        <w:rPr>
          <w:lang w:val="en-CA"/>
        </w:rPr>
        <w:t xml:space="preserve">4496-15 (the file format for NAL </w:t>
      </w:r>
      <w:r>
        <w:rPr>
          <w:lang w:val="en-CA"/>
        </w:rPr>
        <w:t xml:space="preserve">unit structured video) includes the design for extractors, which can be used for rewriting parameter sets and slice headers in the extractor track, while the tile data is included by reference. </w:t>
      </w:r>
      <w:r w:rsidRPr="00442C29">
        <w:rPr>
          <w:lang w:val="en-CA"/>
        </w:rPr>
        <w:t xml:space="preserve">This approach </w:t>
      </w:r>
      <w:r>
        <w:rPr>
          <w:lang w:val="en-CA"/>
        </w:rPr>
        <w:t>might</w:t>
      </w:r>
      <w:r w:rsidRPr="00442C29">
        <w:rPr>
          <w:lang w:val="en-CA"/>
        </w:rPr>
        <w:t xml:space="preserve"> require </w:t>
      </w:r>
      <w:r>
        <w:rPr>
          <w:lang w:val="en-CA"/>
        </w:rPr>
        <w:t>one extractor track</w:t>
      </w:r>
      <w:r w:rsidRPr="00442C29">
        <w:rPr>
          <w:lang w:val="en-CA"/>
        </w:rPr>
        <w:t xml:space="preserve"> per each possible extracted combination, such as one per each range of 360° video viewing orientations that results in a different set of picked tiles</w:t>
      </w:r>
      <w:r>
        <w:rPr>
          <w:lang w:val="en-CA"/>
        </w:rPr>
        <w:t>.</w:t>
      </w:r>
    </w:p>
    <w:p w14:paraId="16849298" w14:textId="14C1D730" w:rsidR="007F5CAB" w:rsidRPr="007F5CAB" w:rsidRDefault="007F5CAB" w:rsidP="007F5CAB">
      <w:pPr>
        <w:pStyle w:val="Heading3"/>
        <w:rPr>
          <w:lang w:val="en-CA"/>
        </w:rPr>
      </w:pPr>
      <w:r>
        <w:rPr>
          <w:lang w:val="en-CA"/>
        </w:rPr>
        <w:t>Suggested design goal</w:t>
      </w:r>
    </w:p>
    <w:p w14:paraId="55D641AB" w14:textId="690E1B09" w:rsidR="007F5CAB" w:rsidRDefault="002C6247" w:rsidP="007F5CAB">
      <w:pPr>
        <w:rPr>
          <w:szCs w:val="22"/>
          <w:lang w:val="en-CA"/>
        </w:rPr>
      </w:pPr>
      <w:r>
        <w:rPr>
          <w:szCs w:val="22"/>
          <w:lang w:val="en-CA"/>
        </w:rPr>
        <w:t>T</w:t>
      </w:r>
      <w:r w:rsidR="00442C29">
        <w:rPr>
          <w:szCs w:val="22"/>
          <w:lang w:val="en-CA"/>
        </w:rPr>
        <w:t xml:space="preserve">he tile design of VVC should enable extracting VCL NAL units of a </w:t>
      </w:r>
      <w:r>
        <w:rPr>
          <w:szCs w:val="22"/>
          <w:lang w:val="en-CA"/>
        </w:rPr>
        <w:t>sub</w:t>
      </w:r>
      <w:r w:rsidR="00442C29">
        <w:rPr>
          <w:szCs w:val="22"/>
          <w:lang w:val="en-CA"/>
        </w:rPr>
        <w:t>set of MCTSs from one VVC bitstream and reposition them to another VVC bitstream without VCL NAL unit modification</w:t>
      </w:r>
      <w:r>
        <w:rPr>
          <w:szCs w:val="22"/>
          <w:lang w:val="en-CA"/>
        </w:rPr>
        <w:t>s</w:t>
      </w:r>
      <w:r w:rsidR="00442C29">
        <w:rPr>
          <w:szCs w:val="22"/>
          <w:lang w:val="en-CA"/>
        </w:rPr>
        <w:t xml:space="preserve">. </w:t>
      </w:r>
    </w:p>
    <w:p w14:paraId="3BDD73EE" w14:textId="74218042" w:rsidR="00D22D06" w:rsidRDefault="00D22D06" w:rsidP="00D22D06">
      <w:pPr>
        <w:pStyle w:val="Heading1"/>
        <w:rPr>
          <w:lang w:val="en-CA"/>
        </w:rPr>
      </w:pPr>
      <w:bookmarkStart w:id="11" w:name="_Ref518337405"/>
      <w:r>
        <w:rPr>
          <w:lang w:val="en-CA"/>
        </w:rPr>
        <w:t>References</w:t>
      </w:r>
      <w:bookmarkEnd w:id="11"/>
    </w:p>
    <w:p w14:paraId="2818B5A1" w14:textId="5E27F015" w:rsidR="007D2805" w:rsidRDefault="007D2805" w:rsidP="007D2805">
      <w:pPr>
        <w:pStyle w:val="ListParagraph"/>
        <w:numPr>
          <w:ilvl w:val="0"/>
          <w:numId w:val="21"/>
        </w:numPr>
        <w:rPr>
          <w:szCs w:val="22"/>
          <w:lang w:val="en-CA"/>
        </w:rPr>
      </w:pPr>
      <w:bookmarkStart w:id="12" w:name="_Ref518338778"/>
      <w:r w:rsidRPr="007D2805">
        <w:rPr>
          <w:szCs w:val="22"/>
          <w:lang w:val="en-CA"/>
        </w:rPr>
        <w:t>MPEG N17074</w:t>
      </w:r>
      <w:r>
        <w:rPr>
          <w:szCs w:val="22"/>
          <w:lang w:val="en-CA"/>
        </w:rPr>
        <w:t>, "</w:t>
      </w:r>
      <w:r w:rsidRPr="007D2805">
        <w:rPr>
          <w:szCs w:val="22"/>
          <w:lang w:val="en-CA"/>
        </w:rPr>
        <w:t>Requirements for a Future Video Coding Standard v5</w:t>
      </w:r>
      <w:r>
        <w:rPr>
          <w:szCs w:val="22"/>
          <w:lang w:val="en-CA"/>
        </w:rPr>
        <w:t>," July 2017.</w:t>
      </w:r>
      <w:bookmarkEnd w:id="12"/>
    </w:p>
    <w:p w14:paraId="5648E33C" w14:textId="49D20660" w:rsidR="00B72855" w:rsidRDefault="00B72855" w:rsidP="007D2805">
      <w:pPr>
        <w:pStyle w:val="ListParagraph"/>
        <w:numPr>
          <w:ilvl w:val="0"/>
          <w:numId w:val="21"/>
        </w:numPr>
        <w:rPr>
          <w:szCs w:val="22"/>
          <w:lang w:val="en-CA"/>
        </w:rPr>
      </w:pPr>
      <w:bookmarkStart w:id="13" w:name="_Ref518339011"/>
      <w:r>
        <w:rPr>
          <w:szCs w:val="22"/>
          <w:lang w:val="en-CA"/>
        </w:rPr>
        <w:t>MPEG N17563, "Second revised text of ISO/IEC FDIS 23090-2," April 2018.</w:t>
      </w:r>
      <w:bookmarkEnd w:id="13"/>
    </w:p>
    <w:p w14:paraId="3EFB4D52" w14:textId="07366959" w:rsidR="00B72855" w:rsidRPr="00B72855" w:rsidRDefault="00B72855" w:rsidP="007D2805">
      <w:pPr>
        <w:pStyle w:val="ListParagraph"/>
        <w:numPr>
          <w:ilvl w:val="0"/>
          <w:numId w:val="21"/>
        </w:numPr>
        <w:rPr>
          <w:szCs w:val="22"/>
          <w:lang w:val="en-CA"/>
        </w:rPr>
      </w:pPr>
      <w:bookmarkStart w:id="14" w:name="_Ref518339153"/>
      <w:r w:rsidRPr="00B72855">
        <w:rPr>
          <w:szCs w:val="22"/>
        </w:rPr>
        <w:t xml:space="preserve">Virtual Reality Industry Forum Guidelines, draft version 1.1, May 2018. Online: </w:t>
      </w:r>
      <w:hyperlink r:id="rId19" w:history="1">
        <w:r w:rsidRPr="00B72855">
          <w:rPr>
            <w:rStyle w:val="Hyperlink"/>
            <w:szCs w:val="22"/>
          </w:rPr>
          <w:t>https://www.vr-if.org/guidelines/</w:t>
        </w:r>
      </w:hyperlink>
      <w:r w:rsidRPr="00B72855">
        <w:rPr>
          <w:szCs w:val="22"/>
        </w:rPr>
        <w:t>, accessed 2018-06-24.</w:t>
      </w:r>
      <w:bookmarkEnd w:id="14"/>
    </w:p>
    <w:p w14:paraId="14F0CD1D" w14:textId="0103264C" w:rsidR="00B72855" w:rsidRPr="007D2805" w:rsidRDefault="00B72855" w:rsidP="00B72855">
      <w:pPr>
        <w:pStyle w:val="ListParagraph"/>
        <w:numPr>
          <w:ilvl w:val="0"/>
          <w:numId w:val="21"/>
        </w:numPr>
        <w:rPr>
          <w:szCs w:val="22"/>
          <w:lang w:val="en-CA"/>
        </w:rPr>
      </w:pPr>
      <w:bookmarkStart w:id="15" w:name="_Ref518339415"/>
      <w:r>
        <w:rPr>
          <w:szCs w:val="22"/>
          <w:lang w:val="en-CA"/>
        </w:rPr>
        <w:t>F. Henry, J. Jung, A. Ouach, B. Ray, and P. Schwellenbach, "</w:t>
      </w:r>
      <w:r w:rsidRPr="00B72855">
        <w:rPr>
          <w:szCs w:val="22"/>
          <w:lang w:val="en-CA"/>
        </w:rPr>
        <w:t>Stereoscopic 360 video compression with the next generation video codec</w:t>
      </w:r>
      <w:r>
        <w:rPr>
          <w:szCs w:val="22"/>
          <w:lang w:val="en-CA"/>
        </w:rPr>
        <w:t>," JVET-G0064, July 2017.</w:t>
      </w:r>
      <w:bookmarkEnd w:id="15"/>
    </w:p>
    <w:p w14:paraId="5F0CF8E4" w14:textId="77777777" w:rsidR="001F2594" w:rsidRPr="005B217D" w:rsidRDefault="001F2594" w:rsidP="00E11923">
      <w:pPr>
        <w:pStyle w:val="Heading1"/>
        <w:rPr>
          <w:lang w:val="en-CA"/>
        </w:rPr>
      </w:pPr>
      <w:bookmarkStart w:id="16" w:name="_Ref518337407"/>
      <w:r w:rsidRPr="005B217D">
        <w:rPr>
          <w:lang w:val="en-CA"/>
        </w:rPr>
        <w:t>Patent rights declaration</w:t>
      </w:r>
      <w:r w:rsidR="00B94B06" w:rsidRPr="005B217D">
        <w:rPr>
          <w:lang w:val="en-CA"/>
        </w:rPr>
        <w:t>(s)</w:t>
      </w:r>
      <w:bookmarkEnd w:id="16"/>
    </w:p>
    <w:p w14:paraId="32EAF635" w14:textId="4858839B" w:rsidR="007F1F8B" w:rsidRPr="005B217D" w:rsidRDefault="00757FD3" w:rsidP="009234A5">
      <w:pPr>
        <w:rPr>
          <w:szCs w:val="22"/>
          <w:lang w:val="en-CA"/>
        </w:rPr>
      </w:pPr>
      <w:r>
        <w:rPr>
          <w:b/>
          <w:szCs w:val="22"/>
          <w:lang w:val="en-CA"/>
        </w:rPr>
        <w:t>Nokia Technologies</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bookmarkStart w:id="17" w:name="_GoBack"/>
      <w:bookmarkEnd w:id="17"/>
    </w:p>
    <w:sectPr w:rsidR="007F1F8B" w:rsidRPr="005B217D"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0AD9AE" w14:textId="77777777" w:rsidR="003C4EB1" w:rsidRDefault="003C4EB1">
      <w:r>
        <w:separator/>
      </w:r>
    </w:p>
  </w:endnote>
  <w:endnote w:type="continuationSeparator" w:id="0">
    <w:p w14:paraId="34D23632" w14:textId="77777777" w:rsidR="003C4EB1" w:rsidRDefault="003C4E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49021FE" w:rsidR="00E23B83" w:rsidRPr="00C00DDE" w:rsidRDefault="00E23B8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486FA7">
      <w:rPr>
        <w:rStyle w:val="PageNumber"/>
        <w:noProof/>
      </w:rPr>
      <w:t>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D2805">
      <w:rPr>
        <w:rStyle w:val="PageNumber"/>
        <w:noProof/>
      </w:rPr>
      <w:t>2018-07-02</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D92207" w14:textId="77777777" w:rsidR="003C4EB1" w:rsidRDefault="003C4EB1">
      <w:r>
        <w:separator/>
      </w:r>
    </w:p>
  </w:footnote>
  <w:footnote w:type="continuationSeparator" w:id="0">
    <w:p w14:paraId="618E3983" w14:textId="77777777" w:rsidR="003C4EB1" w:rsidRDefault="003C4EB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7687FAD"/>
    <w:multiLevelType w:val="hybridMultilevel"/>
    <w:tmpl w:val="BF9AEFA6"/>
    <w:lvl w:ilvl="0" w:tplc="676296D4">
      <w:start w:val="2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5443B7F"/>
    <w:multiLevelType w:val="hybridMultilevel"/>
    <w:tmpl w:val="D8141B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6B1C33"/>
    <w:multiLevelType w:val="hybridMultilevel"/>
    <w:tmpl w:val="0200238A"/>
    <w:lvl w:ilvl="0" w:tplc="D25E129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09475A"/>
    <w:multiLevelType w:val="hybridMultilevel"/>
    <w:tmpl w:val="266AFC1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BB32B42"/>
    <w:multiLevelType w:val="hybridMultilevel"/>
    <w:tmpl w:val="0B3EBAFA"/>
    <w:lvl w:ilvl="0" w:tplc="CCEAB8B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752E1B"/>
    <w:multiLevelType w:val="hybridMultilevel"/>
    <w:tmpl w:val="0F94F7A6"/>
    <w:lvl w:ilvl="0" w:tplc="E6E46F2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6D193812"/>
    <w:multiLevelType w:val="hybridMultilevel"/>
    <w:tmpl w:val="C964A9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70F47F97"/>
    <w:multiLevelType w:val="hybridMultilevel"/>
    <w:tmpl w:val="9AC0451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71D53BDB"/>
    <w:multiLevelType w:val="hybridMultilevel"/>
    <w:tmpl w:val="012E9BC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73F67CE3"/>
    <w:multiLevelType w:val="hybridMultilevel"/>
    <w:tmpl w:val="252A2DD0"/>
    <w:lvl w:ilvl="0" w:tplc="EB5E26C2">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2"/>
  </w:num>
  <w:num w:numId="4">
    <w:abstractNumId w:val="10"/>
  </w:num>
  <w:num w:numId="5">
    <w:abstractNumId w:val="11"/>
  </w:num>
  <w:num w:numId="6">
    <w:abstractNumId w:val="4"/>
  </w:num>
  <w:num w:numId="7">
    <w:abstractNumId w:val="7"/>
  </w:num>
  <w:num w:numId="8">
    <w:abstractNumId w:val="4"/>
  </w:num>
  <w:num w:numId="9">
    <w:abstractNumId w:val="1"/>
  </w:num>
  <w:num w:numId="10">
    <w:abstractNumId w:val="3"/>
  </w:num>
  <w:num w:numId="11">
    <w:abstractNumId w:val="2"/>
  </w:num>
  <w:num w:numId="12">
    <w:abstractNumId w:val="8"/>
  </w:num>
  <w:num w:numId="13">
    <w:abstractNumId w:val="13"/>
  </w:num>
  <w:num w:numId="14">
    <w:abstractNumId w:val="6"/>
  </w:num>
  <w:num w:numId="15">
    <w:abstractNumId w:val="17"/>
  </w:num>
  <w:num w:numId="16">
    <w:abstractNumId w:val="19"/>
  </w:num>
  <w:num w:numId="17">
    <w:abstractNumId w:val="5"/>
  </w:num>
  <w:num w:numId="18">
    <w:abstractNumId w:val="18"/>
  </w:num>
  <w:num w:numId="19">
    <w:abstractNumId w:val="14"/>
  </w:num>
  <w:num w:numId="20">
    <w:abstractNumId w:val="16"/>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3CBC"/>
    <w:rsid w:val="000308A3"/>
    <w:rsid w:val="00036187"/>
    <w:rsid w:val="000458BC"/>
    <w:rsid w:val="00045C41"/>
    <w:rsid w:val="00046C03"/>
    <w:rsid w:val="00065039"/>
    <w:rsid w:val="0007614F"/>
    <w:rsid w:val="00092586"/>
    <w:rsid w:val="000A0177"/>
    <w:rsid w:val="000B0C0F"/>
    <w:rsid w:val="000B1C6B"/>
    <w:rsid w:val="000B4FF9"/>
    <w:rsid w:val="000C09AC"/>
    <w:rsid w:val="000E00F3"/>
    <w:rsid w:val="000F158C"/>
    <w:rsid w:val="00102F3D"/>
    <w:rsid w:val="00124E38"/>
    <w:rsid w:val="0012580B"/>
    <w:rsid w:val="00131F90"/>
    <w:rsid w:val="0013458C"/>
    <w:rsid w:val="0013526E"/>
    <w:rsid w:val="00146152"/>
    <w:rsid w:val="0015105E"/>
    <w:rsid w:val="001520DF"/>
    <w:rsid w:val="001524EF"/>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1F3524"/>
    <w:rsid w:val="002055A6"/>
    <w:rsid w:val="00206460"/>
    <w:rsid w:val="002069B4"/>
    <w:rsid w:val="00215DFC"/>
    <w:rsid w:val="002212DF"/>
    <w:rsid w:val="00222CD4"/>
    <w:rsid w:val="00225016"/>
    <w:rsid w:val="002264A6"/>
    <w:rsid w:val="00227BA7"/>
    <w:rsid w:val="0023011C"/>
    <w:rsid w:val="002375C1"/>
    <w:rsid w:val="00263398"/>
    <w:rsid w:val="00266F06"/>
    <w:rsid w:val="00275BCF"/>
    <w:rsid w:val="00291E36"/>
    <w:rsid w:val="00292257"/>
    <w:rsid w:val="002A54E0"/>
    <w:rsid w:val="002B1595"/>
    <w:rsid w:val="002B191D"/>
    <w:rsid w:val="002C57D3"/>
    <w:rsid w:val="002C6247"/>
    <w:rsid w:val="002D0AF6"/>
    <w:rsid w:val="002F164D"/>
    <w:rsid w:val="002F2877"/>
    <w:rsid w:val="003021BC"/>
    <w:rsid w:val="00305DF2"/>
    <w:rsid w:val="00306206"/>
    <w:rsid w:val="00317D85"/>
    <w:rsid w:val="00327C56"/>
    <w:rsid w:val="003315A1"/>
    <w:rsid w:val="003373EC"/>
    <w:rsid w:val="00342FF4"/>
    <w:rsid w:val="00346148"/>
    <w:rsid w:val="003669EA"/>
    <w:rsid w:val="003706CC"/>
    <w:rsid w:val="00377710"/>
    <w:rsid w:val="003A2D8E"/>
    <w:rsid w:val="003A7CE6"/>
    <w:rsid w:val="003C20E4"/>
    <w:rsid w:val="003C4EB1"/>
    <w:rsid w:val="003D6342"/>
    <w:rsid w:val="003E6F90"/>
    <w:rsid w:val="003E73ED"/>
    <w:rsid w:val="003F5D0F"/>
    <w:rsid w:val="00414101"/>
    <w:rsid w:val="004219CF"/>
    <w:rsid w:val="004234F0"/>
    <w:rsid w:val="00433DDB"/>
    <w:rsid w:val="00435A29"/>
    <w:rsid w:val="00437619"/>
    <w:rsid w:val="00442C29"/>
    <w:rsid w:val="00451DE4"/>
    <w:rsid w:val="00452607"/>
    <w:rsid w:val="00465A1E"/>
    <w:rsid w:val="00467B26"/>
    <w:rsid w:val="00486FA7"/>
    <w:rsid w:val="004A2A63"/>
    <w:rsid w:val="004B210C"/>
    <w:rsid w:val="004D405F"/>
    <w:rsid w:val="004E46D6"/>
    <w:rsid w:val="004E4F4F"/>
    <w:rsid w:val="004E6789"/>
    <w:rsid w:val="004F61E3"/>
    <w:rsid w:val="00502E10"/>
    <w:rsid w:val="0051015C"/>
    <w:rsid w:val="00516CF1"/>
    <w:rsid w:val="00531525"/>
    <w:rsid w:val="00531AE9"/>
    <w:rsid w:val="005331F4"/>
    <w:rsid w:val="00550A66"/>
    <w:rsid w:val="00567EC7"/>
    <w:rsid w:val="00570013"/>
    <w:rsid w:val="00572816"/>
    <w:rsid w:val="005801A2"/>
    <w:rsid w:val="005952A5"/>
    <w:rsid w:val="005A33A1"/>
    <w:rsid w:val="005B217D"/>
    <w:rsid w:val="005B2B1D"/>
    <w:rsid w:val="005C385F"/>
    <w:rsid w:val="005E1AC6"/>
    <w:rsid w:val="005F6F1B"/>
    <w:rsid w:val="00615995"/>
    <w:rsid w:val="00616155"/>
    <w:rsid w:val="00624B33"/>
    <w:rsid w:val="0063041A"/>
    <w:rsid w:val="00630AA2"/>
    <w:rsid w:val="00646707"/>
    <w:rsid w:val="00657F7E"/>
    <w:rsid w:val="00662E58"/>
    <w:rsid w:val="006637F2"/>
    <w:rsid w:val="006642A5"/>
    <w:rsid w:val="00664DCF"/>
    <w:rsid w:val="006A2D89"/>
    <w:rsid w:val="006C5D39"/>
    <w:rsid w:val="006D6D9B"/>
    <w:rsid w:val="006E2810"/>
    <w:rsid w:val="006E5417"/>
    <w:rsid w:val="006F0794"/>
    <w:rsid w:val="007023DE"/>
    <w:rsid w:val="00712F60"/>
    <w:rsid w:val="00720E3B"/>
    <w:rsid w:val="0074393F"/>
    <w:rsid w:val="00745F6B"/>
    <w:rsid w:val="0075585E"/>
    <w:rsid w:val="00757FD3"/>
    <w:rsid w:val="00770571"/>
    <w:rsid w:val="007768FF"/>
    <w:rsid w:val="007824D3"/>
    <w:rsid w:val="00796EE3"/>
    <w:rsid w:val="007A7D29"/>
    <w:rsid w:val="007A7DEC"/>
    <w:rsid w:val="007B4AB8"/>
    <w:rsid w:val="007D1181"/>
    <w:rsid w:val="007D2805"/>
    <w:rsid w:val="007E01A3"/>
    <w:rsid w:val="007E2C2A"/>
    <w:rsid w:val="007F1F8B"/>
    <w:rsid w:val="007F5CAB"/>
    <w:rsid w:val="007F67A1"/>
    <w:rsid w:val="00811C05"/>
    <w:rsid w:val="008206C8"/>
    <w:rsid w:val="008569C4"/>
    <w:rsid w:val="0086387C"/>
    <w:rsid w:val="00874A6C"/>
    <w:rsid w:val="00876214"/>
    <w:rsid w:val="00876C65"/>
    <w:rsid w:val="008955F1"/>
    <w:rsid w:val="008A4B4C"/>
    <w:rsid w:val="008C239F"/>
    <w:rsid w:val="008E480C"/>
    <w:rsid w:val="00907757"/>
    <w:rsid w:val="009212B0"/>
    <w:rsid w:val="00921FA1"/>
    <w:rsid w:val="009234A5"/>
    <w:rsid w:val="00927568"/>
    <w:rsid w:val="00933453"/>
    <w:rsid w:val="009336F7"/>
    <w:rsid w:val="0093636C"/>
    <w:rsid w:val="009374A7"/>
    <w:rsid w:val="00955F6D"/>
    <w:rsid w:val="009620FA"/>
    <w:rsid w:val="00977C16"/>
    <w:rsid w:val="0098551D"/>
    <w:rsid w:val="0099518F"/>
    <w:rsid w:val="009A523D"/>
    <w:rsid w:val="009B02A1"/>
    <w:rsid w:val="009D7CE6"/>
    <w:rsid w:val="009F496B"/>
    <w:rsid w:val="00A01439"/>
    <w:rsid w:val="00A02E61"/>
    <w:rsid w:val="00A03AD3"/>
    <w:rsid w:val="00A05CFF"/>
    <w:rsid w:val="00A13048"/>
    <w:rsid w:val="00A46843"/>
    <w:rsid w:val="00A56B97"/>
    <w:rsid w:val="00A6093D"/>
    <w:rsid w:val="00A767DC"/>
    <w:rsid w:val="00A76A6D"/>
    <w:rsid w:val="00A83253"/>
    <w:rsid w:val="00A927A6"/>
    <w:rsid w:val="00AA6E84"/>
    <w:rsid w:val="00AB1A1C"/>
    <w:rsid w:val="00AB6609"/>
    <w:rsid w:val="00AD05A8"/>
    <w:rsid w:val="00AE341B"/>
    <w:rsid w:val="00B01905"/>
    <w:rsid w:val="00B07CA7"/>
    <w:rsid w:val="00B1279A"/>
    <w:rsid w:val="00B4194A"/>
    <w:rsid w:val="00B437E8"/>
    <w:rsid w:val="00B5222E"/>
    <w:rsid w:val="00B53179"/>
    <w:rsid w:val="00B57A23"/>
    <w:rsid w:val="00B600CD"/>
    <w:rsid w:val="00B61C96"/>
    <w:rsid w:val="00B72855"/>
    <w:rsid w:val="00B73A2A"/>
    <w:rsid w:val="00B75A51"/>
    <w:rsid w:val="00B827C6"/>
    <w:rsid w:val="00B94B06"/>
    <w:rsid w:val="00B94C28"/>
    <w:rsid w:val="00BC10BA"/>
    <w:rsid w:val="00BC261A"/>
    <w:rsid w:val="00BC5AFD"/>
    <w:rsid w:val="00C00DDE"/>
    <w:rsid w:val="00C04F43"/>
    <w:rsid w:val="00C0609D"/>
    <w:rsid w:val="00C115AB"/>
    <w:rsid w:val="00C26CCB"/>
    <w:rsid w:val="00C30249"/>
    <w:rsid w:val="00C3723B"/>
    <w:rsid w:val="00C42466"/>
    <w:rsid w:val="00C606C9"/>
    <w:rsid w:val="00C62FE5"/>
    <w:rsid w:val="00C80288"/>
    <w:rsid w:val="00C84003"/>
    <w:rsid w:val="00C90650"/>
    <w:rsid w:val="00C97D78"/>
    <w:rsid w:val="00CC2AAE"/>
    <w:rsid w:val="00CC5A42"/>
    <w:rsid w:val="00CD0BFB"/>
    <w:rsid w:val="00CD0EAB"/>
    <w:rsid w:val="00CE5E02"/>
    <w:rsid w:val="00CF34DB"/>
    <w:rsid w:val="00CF558F"/>
    <w:rsid w:val="00D010C0"/>
    <w:rsid w:val="00D073E2"/>
    <w:rsid w:val="00D22D06"/>
    <w:rsid w:val="00D446EC"/>
    <w:rsid w:val="00D51BF0"/>
    <w:rsid w:val="00D531DB"/>
    <w:rsid w:val="00D55942"/>
    <w:rsid w:val="00D62CBB"/>
    <w:rsid w:val="00D807BF"/>
    <w:rsid w:val="00D82FCC"/>
    <w:rsid w:val="00DA17FC"/>
    <w:rsid w:val="00DA7887"/>
    <w:rsid w:val="00DB23FF"/>
    <w:rsid w:val="00DB2C26"/>
    <w:rsid w:val="00DC2A0F"/>
    <w:rsid w:val="00DD02F4"/>
    <w:rsid w:val="00DD6622"/>
    <w:rsid w:val="00DE1C7C"/>
    <w:rsid w:val="00DE6B43"/>
    <w:rsid w:val="00DF6012"/>
    <w:rsid w:val="00E00398"/>
    <w:rsid w:val="00E11923"/>
    <w:rsid w:val="00E1449B"/>
    <w:rsid w:val="00E23B83"/>
    <w:rsid w:val="00E262D4"/>
    <w:rsid w:val="00E36250"/>
    <w:rsid w:val="00E47F2D"/>
    <w:rsid w:val="00E54511"/>
    <w:rsid w:val="00E61DAC"/>
    <w:rsid w:val="00E72B80"/>
    <w:rsid w:val="00E75FE3"/>
    <w:rsid w:val="00E86C4C"/>
    <w:rsid w:val="00E907A3"/>
    <w:rsid w:val="00EA5AE0"/>
    <w:rsid w:val="00EB56E1"/>
    <w:rsid w:val="00EB7AB1"/>
    <w:rsid w:val="00EC7BC5"/>
    <w:rsid w:val="00EE7CD8"/>
    <w:rsid w:val="00EF48CC"/>
    <w:rsid w:val="00EF7AE8"/>
    <w:rsid w:val="00F00801"/>
    <w:rsid w:val="00F2488D"/>
    <w:rsid w:val="00F601A0"/>
    <w:rsid w:val="00F712E9"/>
    <w:rsid w:val="00F73032"/>
    <w:rsid w:val="00F848FC"/>
    <w:rsid w:val="00F906F6"/>
    <w:rsid w:val="00F91C6E"/>
    <w:rsid w:val="00F9282A"/>
    <w:rsid w:val="00F96BAD"/>
    <w:rsid w:val="00FA139D"/>
    <w:rsid w:val="00FB0E84"/>
    <w:rsid w:val="00FC2405"/>
    <w:rsid w:val="00FD01C2"/>
    <w:rsid w:val="00FE3990"/>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27A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AB6609"/>
    <w:pPr>
      <w:ind w:left="720"/>
      <w:contextualSpacing/>
    </w:pPr>
  </w:style>
  <w:style w:type="paragraph" w:styleId="Caption">
    <w:name w:val="caption"/>
    <w:basedOn w:val="Normal"/>
    <w:next w:val="Normal"/>
    <w:unhideWhenUsed/>
    <w:qFormat/>
    <w:rsid w:val="006A2D89"/>
    <w:pPr>
      <w:tabs>
        <w:tab w:val="clear" w:pos="1800"/>
        <w:tab w:val="clear" w:pos="2160"/>
        <w:tab w:val="clear" w:pos="2520"/>
        <w:tab w:val="clear" w:pos="2880"/>
        <w:tab w:val="clear" w:pos="3240"/>
        <w:tab w:val="clear" w:pos="3600"/>
        <w:tab w:val="clear" w:pos="3960"/>
        <w:tab w:val="clear" w:pos="4320"/>
      </w:tabs>
      <w:spacing w:after="120"/>
      <w:jc w:val="left"/>
    </w:pPr>
    <w:rPr>
      <w:b/>
      <w:bCs/>
    </w:rPr>
  </w:style>
  <w:style w:type="character" w:styleId="CommentReference">
    <w:name w:val="annotation reference"/>
    <w:basedOn w:val="DefaultParagraphFont"/>
    <w:rsid w:val="00927568"/>
    <w:rPr>
      <w:sz w:val="16"/>
      <w:szCs w:val="16"/>
    </w:rPr>
  </w:style>
  <w:style w:type="paragraph" w:styleId="CommentText">
    <w:name w:val="annotation text"/>
    <w:basedOn w:val="Normal"/>
    <w:link w:val="CommentTextChar"/>
    <w:rsid w:val="009275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style>
  <w:style w:type="character" w:customStyle="1" w:styleId="CommentTextChar">
    <w:name w:val="Comment Text Char"/>
    <w:basedOn w:val="DefaultParagraphFont"/>
    <w:link w:val="CommentText"/>
    <w:rsid w:val="00927568"/>
  </w:style>
  <w:style w:type="paragraph" w:styleId="EndnoteText">
    <w:name w:val="endnote text"/>
    <w:basedOn w:val="Normal"/>
    <w:link w:val="EndnoteTextChar"/>
    <w:rsid w:val="004E46D6"/>
    <w:pPr>
      <w:spacing w:before="0"/>
    </w:pPr>
  </w:style>
  <w:style w:type="character" w:customStyle="1" w:styleId="EndnoteTextChar">
    <w:name w:val="Endnote Text Char"/>
    <w:basedOn w:val="DefaultParagraphFont"/>
    <w:link w:val="EndnoteText"/>
    <w:rsid w:val="004E46D6"/>
  </w:style>
  <w:style w:type="character" w:styleId="EndnoteReference">
    <w:name w:val="endnote reference"/>
    <w:basedOn w:val="DefaultParagraphFont"/>
    <w:rsid w:val="004E46D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8318569">
      <w:bodyDiv w:val="1"/>
      <w:marLeft w:val="0"/>
      <w:marRight w:val="0"/>
      <w:marTop w:val="0"/>
      <w:marBottom w:val="0"/>
      <w:divBdr>
        <w:top w:val="none" w:sz="0" w:space="0" w:color="auto"/>
        <w:left w:val="none" w:sz="0" w:space="0" w:color="auto"/>
        <w:bottom w:val="none" w:sz="0" w:space="0" w:color="auto"/>
        <w:right w:val="none" w:sz="0" w:space="0" w:color="auto"/>
      </w:divBdr>
    </w:div>
    <w:div w:id="342172635">
      <w:bodyDiv w:val="1"/>
      <w:marLeft w:val="0"/>
      <w:marRight w:val="0"/>
      <w:marTop w:val="0"/>
      <w:marBottom w:val="0"/>
      <w:divBdr>
        <w:top w:val="none" w:sz="0" w:space="0" w:color="auto"/>
        <w:left w:val="none" w:sz="0" w:space="0" w:color="auto"/>
        <w:bottom w:val="none" w:sz="0" w:space="0" w:color="auto"/>
        <w:right w:val="none" w:sz="0" w:space="0" w:color="auto"/>
      </w:divBdr>
    </w:div>
    <w:div w:id="361319744">
      <w:bodyDiv w:val="1"/>
      <w:marLeft w:val="0"/>
      <w:marRight w:val="0"/>
      <w:marTop w:val="0"/>
      <w:marBottom w:val="0"/>
      <w:divBdr>
        <w:top w:val="none" w:sz="0" w:space="0" w:color="auto"/>
        <w:left w:val="none" w:sz="0" w:space="0" w:color="auto"/>
        <w:bottom w:val="none" w:sz="0" w:space="0" w:color="auto"/>
        <w:right w:val="none" w:sz="0" w:space="0" w:color="auto"/>
      </w:divBdr>
    </w:div>
    <w:div w:id="509221823">
      <w:bodyDiv w:val="1"/>
      <w:marLeft w:val="0"/>
      <w:marRight w:val="0"/>
      <w:marTop w:val="0"/>
      <w:marBottom w:val="0"/>
      <w:divBdr>
        <w:top w:val="none" w:sz="0" w:space="0" w:color="auto"/>
        <w:left w:val="none" w:sz="0" w:space="0" w:color="auto"/>
        <w:bottom w:val="none" w:sz="0" w:space="0" w:color="auto"/>
        <w:right w:val="none" w:sz="0" w:space="0" w:color="auto"/>
      </w:divBdr>
    </w:div>
    <w:div w:id="635988573">
      <w:bodyDiv w:val="1"/>
      <w:marLeft w:val="0"/>
      <w:marRight w:val="0"/>
      <w:marTop w:val="0"/>
      <w:marBottom w:val="0"/>
      <w:divBdr>
        <w:top w:val="none" w:sz="0" w:space="0" w:color="auto"/>
        <w:left w:val="none" w:sz="0" w:space="0" w:color="auto"/>
        <w:bottom w:val="none" w:sz="0" w:space="0" w:color="auto"/>
        <w:right w:val="none" w:sz="0" w:space="0" w:color="auto"/>
      </w:divBdr>
    </w:div>
    <w:div w:id="831682819">
      <w:bodyDiv w:val="1"/>
      <w:marLeft w:val="0"/>
      <w:marRight w:val="0"/>
      <w:marTop w:val="0"/>
      <w:marBottom w:val="0"/>
      <w:divBdr>
        <w:top w:val="none" w:sz="0" w:space="0" w:color="auto"/>
        <w:left w:val="none" w:sz="0" w:space="0" w:color="auto"/>
        <w:bottom w:val="none" w:sz="0" w:space="0" w:color="auto"/>
        <w:right w:val="none" w:sz="0" w:space="0" w:color="auto"/>
      </w:divBdr>
    </w:div>
    <w:div w:id="957493752">
      <w:bodyDiv w:val="1"/>
      <w:marLeft w:val="0"/>
      <w:marRight w:val="0"/>
      <w:marTop w:val="0"/>
      <w:marBottom w:val="0"/>
      <w:divBdr>
        <w:top w:val="none" w:sz="0" w:space="0" w:color="auto"/>
        <w:left w:val="none" w:sz="0" w:space="0" w:color="auto"/>
        <w:bottom w:val="none" w:sz="0" w:space="0" w:color="auto"/>
        <w:right w:val="none" w:sz="0" w:space="0" w:color="auto"/>
      </w:divBdr>
    </w:div>
    <w:div w:id="1314875806">
      <w:bodyDiv w:val="1"/>
      <w:marLeft w:val="0"/>
      <w:marRight w:val="0"/>
      <w:marTop w:val="0"/>
      <w:marBottom w:val="0"/>
      <w:divBdr>
        <w:top w:val="none" w:sz="0" w:space="0" w:color="auto"/>
        <w:left w:val="none" w:sz="0" w:space="0" w:color="auto"/>
        <w:bottom w:val="none" w:sz="0" w:space="0" w:color="auto"/>
        <w:right w:val="none" w:sz="0" w:space="0" w:color="auto"/>
      </w:divBdr>
    </w:div>
    <w:div w:id="1476219514">
      <w:bodyDiv w:val="1"/>
      <w:marLeft w:val="0"/>
      <w:marRight w:val="0"/>
      <w:marTop w:val="0"/>
      <w:marBottom w:val="0"/>
      <w:divBdr>
        <w:top w:val="none" w:sz="0" w:space="0" w:color="auto"/>
        <w:left w:val="none" w:sz="0" w:space="0" w:color="auto"/>
        <w:bottom w:val="none" w:sz="0" w:space="0" w:color="auto"/>
        <w:right w:val="none" w:sz="0" w:space="0" w:color="auto"/>
      </w:divBdr>
    </w:div>
    <w:div w:id="1638294343">
      <w:bodyDiv w:val="1"/>
      <w:marLeft w:val="0"/>
      <w:marRight w:val="0"/>
      <w:marTop w:val="0"/>
      <w:marBottom w:val="0"/>
      <w:divBdr>
        <w:top w:val="none" w:sz="0" w:space="0" w:color="auto"/>
        <w:left w:val="none" w:sz="0" w:space="0" w:color="auto"/>
        <w:bottom w:val="none" w:sz="0" w:space="0" w:color="auto"/>
        <w:right w:val="none" w:sz="0" w:space="0" w:color="auto"/>
      </w:divBdr>
    </w:div>
    <w:div w:id="167989150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yperlink" Target="https://www.vr-if.org/guideline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8</Pages>
  <Words>2506</Words>
  <Characters>14289</Characters>
  <Application>Microsoft Office Word</Application>
  <DocSecurity>0</DocSecurity>
  <Lines>119</Lines>
  <Paragraphs>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16762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Miska Hannuksela</cp:lastModifiedBy>
  <cp:revision>3</cp:revision>
  <cp:lastPrinted>1900-01-01T08:00:00Z</cp:lastPrinted>
  <dcterms:created xsi:type="dcterms:W3CDTF">2018-07-02T21:10:00Z</dcterms:created>
  <dcterms:modified xsi:type="dcterms:W3CDTF">2018-07-02T21:12:00Z</dcterms:modified>
</cp:coreProperties>
</file>