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B239B3"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8E9F0F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06675">
              <w:rPr>
                <w:lang w:val="en-CA"/>
              </w:rPr>
              <w:t>0228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DFE76D3" w:rsidR="00E61DAC" w:rsidRPr="005B217D" w:rsidRDefault="00B57A23" w:rsidP="009D7CE6">
            <w:pPr>
              <w:spacing w:before="60" w:after="60"/>
              <w:rPr>
                <w:b/>
                <w:szCs w:val="22"/>
                <w:lang w:val="en-CA"/>
              </w:rPr>
            </w:pPr>
            <w:r>
              <w:rPr>
                <w:b/>
                <w:szCs w:val="22"/>
                <w:lang w:val="en-CA"/>
              </w:rPr>
              <w:t xml:space="preserve">CE </w:t>
            </w:r>
            <w:r w:rsidR="00050792">
              <w:rPr>
                <w:b/>
                <w:szCs w:val="22"/>
                <w:lang w:val="en-CA"/>
              </w:rPr>
              <w:t>4-</w:t>
            </w:r>
            <w:r w:rsidR="00D40EE8">
              <w:rPr>
                <w:b/>
                <w:szCs w:val="22"/>
                <w:lang w:val="en-CA"/>
              </w:rPr>
              <w:t xml:space="preserve">2.1: </w:t>
            </w:r>
            <w:r w:rsidR="00816D8D">
              <w:rPr>
                <w:b/>
                <w:szCs w:val="22"/>
                <w:lang w:val="en-CA"/>
              </w:rPr>
              <w:t>Adding non-adjacent spatial merge candidates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4AB6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bookmarkStart w:id="0" w:name="_GoBack"/>
        <w:bookmarkEnd w:id="0"/>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FC50F9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7F099A7" w:rsidR="00E61DAC" w:rsidRPr="008D509A" w:rsidRDefault="00442BEB">
            <w:pPr>
              <w:spacing w:before="60" w:after="60"/>
              <w:rPr>
                <w:szCs w:val="22"/>
                <w:lang w:val="sv-SE"/>
              </w:rPr>
            </w:pPr>
            <w:r w:rsidRPr="008D509A">
              <w:rPr>
                <w:szCs w:val="22"/>
                <w:lang w:val="sv-SE"/>
              </w:rPr>
              <w:t>Ruoyang Yu</w:t>
            </w:r>
            <w:r w:rsidR="00E61DAC" w:rsidRPr="008D509A">
              <w:rPr>
                <w:szCs w:val="22"/>
                <w:lang w:val="sv-SE"/>
              </w:rPr>
              <w:br/>
            </w:r>
            <w:r w:rsidRPr="008D509A">
              <w:rPr>
                <w:szCs w:val="22"/>
                <w:lang w:val="sv-SE"/>
              </w:rPr>
              <w:t xml:space="preserve">Per </w:t>
            </w:r>
            <w:r w:rsidRPr="008D509A">
              <w:rPr>
                <w:szCs w:val="22"/>
                <w:lang w:val="sv-SE" w:eastAsia="zh-TW"/>
              </w:rPr>
              <w:t>Wennersten</w:t>
            </w:r>
            <w:r w:rsidR="00E61DAC" w:rsidRPr="008D509A">
              <w:rPr>
                <w:szCs w:val="22"/>
                <w:lang w:val="sv-SE"/>
              </w:rPr>
              <w:br/>
            </w:r>
            <w:r w:rsidRPr="008D509A">
              <w:rPr>
                <w:szCs w:val="22"/>
                <w:lang w:val="sv-SE"/>
              </w:rPr>
              <w:t xml:space="preserve">Rickard </w:t>
            </w:r>
            <w:r w:rsidRPr="008D509A">
              <w:rPr>
                <w:szCs w:val="22"/>
                <w:lang w:val="sv-SE" w:eastAsia="zh-TW"/>
              </w:rPr>
              <w:t>Sjöberg</w:t>
            </w:r>
            <w:r w:rsidR="00E61DAC" w:rsidRPr="008D509A">
              <w:rPr>
                <w:szCs w:val="22"/>
                <w:lang w:val="sv-SE"/>
              </w:rPr>
              <w:br/>
            </w:r>
          </w:p>
        </w:tc>
        <w:tc>
          <w:tcPr>
            <w:tcW w:w="900" w:type="dxa"/>
          </w:tcPr>
          <w:p w14:paraId="0140ECA2" w14:textId="77777777" w:rsidR="00E61DAC" w:rsidRPr="005B217D" w:rsidRDefault="00E61DAC">
            <w:pPr>
              <w:spacing w:before="60" w:after="60"/>
              <w:rPr>
                <w:szCs w:val="22"/>
                <w:lang w:val="en-CA"/>
              </w:rPr>
            </w:pPr>
            <w:r w:rsidRPr="008D509A">
              <w:rPr>
                <w:szCs w:val="22"/>
                <w:lang w:val="sv-SE"/>
              </w:rPr>
              <w:br/>
            </w:r>
            <w:r w:rsidRPr="005B217D">
              <w:rPr>
                <w:szCs w:val="22"/>
                <w:lang w:val="en-CA"/>
              </w:rPr>
              <w:t>Tel:</w:t>
            </w:r>
            <w:r w:rsidRPr="005B217D">
              <w:rPr>
                <w:szCs w:val="22"/>
                <w:lang w:val="en-CA"/>
              </w:rPr>
              <w:br/>
              <w:t>Email:</w:t>
            </w:r>
          </w:p>
        </w:tc>
        <w:tc>
          <w:tcPr>
            <w:tcW w:w="3168" w:type="dxa"/>
          </w:tcPr>
          <w:p w14:paraId="32C2ABFD" w14:textId="6E89006A" w:rsidR="00E61DAC" w:rsidRPr="005B217D" w:rsidRDefault="00E61DAC" w:rsidP="005952A5">
            <w:pPr>
              <w:spacing w:before="60" w:after="60"/>
              <w:rPr>
                <w:szCs w:val="22"/>
                <w:lang w:val="en-CA"/>
              </w:rPr>
            </w:pPr>
            <w:r w:rsidRPr="005B217D">
              <w:rPr>
                <w:szCs w:val="22"/>
                <w:lang w:val="en-CA"/>
              </w:rPr>
              <w:br/>
            </w:r>
            <w:r w:rsidR="00442BEB">
              <w:rPr>
                <w:szCs w:val="22"/>
                <w:lang w:val="en-CA"/>
              </w:rPr>
              <w:t>+46725298793</w:t>
            </w:r>
            <w:r w:rsidRPr="005B217D">
              <w:rPr>
                <w:szCs w:val="22"/>
                <w:lang w:val="en-CA"/>
              </w:rPr>
              <w:br/>
            </w:r>
            <w:r w:rsidR="00442BEB">
              <w:rPr>
                <w:szCs w:val="22"/>
                <w:lang w:val="en-CA"/>
              </w:rPr>
              <w:t>ruoyang.yu@ericsson.com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3701960" w:rsidR="00E61DAC" w:rsidRPr="005B217D" w:rsidRDefault="00816D8D">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16F210" w14:textId="00314666" w:rsidR="007C5382" w:rsidRPr="005B217D" w:rsidRDefault="007C5382" w:rsidP="009234A5">
      <w:pPr>
        <w:rPr>
          <w:szCs w:val="22"/>
          <w:lang w:val="en-CA"/>
        </w:rPr>
      </w:pPr>
      <w:r>
        <w:rPr>
          <w:szCs w:val="22"/>
          <w:lang w:val="en-CA"/>
        </w:rPr>
        <w:t xml:space="preserve">This contribution reports the results </w:t>
      </w:r>
      <w:r w:rsidR="00173375">
        <w:rPr>
          <w:szCs w:val="22"/>
          <w:lang w:val="en-CA"/>
        </w:rPr>
        <w:t xml:space="preserve">for </w:t>
      </w:r>
      <w:r w:rsidR="00D644F8">
        <w:rPr>
          <w:szCs w:val="22"/>
          <w:lang w:val="en-CA"/>
        </w:rPr>
        <w:t>Core Experiment (CE) 4-</w:t>
      </w:r>
      <w:r w:rsidR="00173375">
        <w:rPr>
          <w:szCs w:val="22"/>
          <w:lang w:val="en-CA"/>
        </w:rPr>
        <w:t>2.1 on a</w:t>
      </w:r>
      <w:r>
        <w:rPr>
          <w:szCs w:val="22"/>
          <w:lang w:val="en-CA"/>
        </w:rPr>
        <w:t>dding non-ad</w:t>
      </w:r>
      <w:r w:rsidR="00173375">
        <w:rPr>
          <w:szCs w:val="22"/>
          <w:lang w:val="en-CA"/>
        </w:rPr>
        <w:t>jacent spatial merge candidates</w:t>
      </w:r>
      <w:r w:rsidR="003C46F0">
        <w:rPr>
          <w:szCs w:val="22"/>
          <w:lang w:val="en-CA"/>
        </w:rPr>
        <w:t>. The tool</w:t>
      </w:r>
      <w:r>
        <w:rPr>
          <w:szCs w:val="22"/>
          <w:lang w:val="en-CA"/>
        </w:rPr>
        <w:t xml:space="preserve"> modifies the merge candidate list generation process such that spatial candidates can be derived from non-adjacent neighboring positions. The BD</w:t>
      </w:r>
      <w:r w:rsidR="00AF25E4">
        <w:rPr>
          <w:szCs w:val="22"/>
          <w:lang w:val="en-CA"/>
        </w:rPr>
        <w:t xml:space="preserve">-rate </w:t>
      </w:r>
      <w:proofErr w:type="spellStart"/>
      <w:r w:rsidR="00357D1B">
        <w:rPr>
          <w:szCs w:val="22"/>
          <w:lang w:val="en-CA"/>
        </w:rPr>
        <w:t>l</w:t>
      </w:r>
      <w:r w:rsidR="00AF25E4">
        <w:rPr>
          <w:szCs w:val="22"/>
          <w:lang w:val="en-CA"/>
        </w:rPr>
        <w:t>uma</w:t>
      </w:r>
      <w:proofErr w:type="spellEnd"/>
      <w:r w:rsidR="00AF25E4">
        <w:rPr>
          <w:szCs w:val="22"/>
          <w:lang w:val="en-CA"/>
        </w:rPr>
        <w:t xml:space="preserve"> results over VTM-1.0 under</w:t>
      </w:r>
      <w:r>
        <w:rPr>
          <w:szCs w:val="22"/>
          <w:lang w:val="en-CA"/>
        </w:rPr>
        <w:t xml:space="preserve"> random access (RA), low delay B (LB), and low d</w:t>
      </w:r>
      <w:r w:rsidR="00AF25E4">
        <w:rPr>
          <w:szCs w:val="22"/>
          <w:lang w:val="en-CA"/>
        </w:rPr>
        <w:t xml:space="preserve">elay P (LP) </w:t>
      </w:r>
      <w:r w:rsidR="00DA3D40">
        <w:rPr>
          <w:szCs w:val="22"/>
          <w:lang w:val="en-CA"/>
        </w:rPr>
        <w:t xml:space="preserve">common test </w:t>
      </w:r>
      <w:r w:rsidR="00AF25E4">
        <w:rPr>
          <w:szCs w:val="22"/>
          <w:lang w:val="en-CA"/>
        </w:rPr>
        <w:t xml:space="preserve">configurations are </w:t>
      </w:r>
      <w:r>
        <w:rPr>
          <w:szCs w:val="22"/>
          <w:lang w:val="en-CA"/>
        </w:rPr>
        <w:t>-0.45%, -0.12%, and -0.47%</w:t>
      </w:r>
      <w:r w:rsidR="00AF25E4">
        <w:rPr>
          <w:szCs w:val="22"/>
          <w:lang w:val="en-CA"/>
        </w:rPr>
        <w:t xml:space="preserve"> respectively</w:t>
      </w:r>
      <w:r>
        <w:rPr>
          <w:szCs w:val="22"/>
          <w:lang w:val="en-CA"/>
        </w:rPr>
        <w:t>. The BD-rat</w:t>
      </w:r>
      <w:r w:rsidR="003C55DC">
        <w:rPr>
          <w:szCs w:val="22"/>
          <w:lang w:val="en-CA"/>
        </w:rPr>
        <w:t xml:space="preserve">e </w:t>
      </w:r>
      <w:proofErr w:type="spellStart"/>
      <w:r w:rsidR="003C55DC">
        <w:rPr>
          <w:szCs w:val="22"/>
          <w:lang w:val="en-CA"/>
        </w:rPr>
        <w:t>luma</w:t>
      </w:r>
      <w:proofErr w:type="spellEnd"/>
      <w:r w:rsidR="003C55DC">
        <w:rPr>
          <w:szCs w:val="22"/>
          <w:lang w:val="en-CA"/>
        </w:rPr>
        <w:t xml:space="preserve"> results over BMS-1.0 are </w:t>
      </w:r>
      <w:r>
        <w:rPr>
          <w:szCs w:val="22"/>
          <w:lang w:val="en-CA"/>
        </w:rPr>
        <w:t>-0.22%</w:t>
      </w:r>
      <w:r w:rsidR="00AF25E4">
        <w:rPr>
          <w:szCs w:val="22"/>
          <w:lang w:val="en-CA"/>
        </w:rPr>
        <w:t xml:space="preserve"> </w:t>
      </w:r>
      <w:r w:rsidR="003C55DC">
        <w:rPr>
          <w:szCs w:val="22"/>
          <w:lang w:val="en-CA"/>
        </w:rPr>
        <w:t xml:space="preserve">for </w:t>
      </w:r>
      <w:r w:rsidR="00AF25E4">
        <w:rPr>
          <w:szCs w:val="22"/>
          <w:lang w:val="en-CA"/>
        </w:rPr>
        <w:t xml:space="preserve">RA, </w:t>
      </w:r>
      <w:r>
        <w:rPr>
          <w:szCs w:val="22"/>
          <w:lang w:val="en-CA"/>
        </w:rPr>
        <w:t>-0.09%</w:t>
      </w:r>
      <w:r w:rsidR="00AF25E4">
        <w:rPr>
          <w:szCs w:val="22"/>
          <w:lang w:val="en-CA"/>
        </w:rPr>
        <w:t xml:space="preserve"> </w:t>
      </w:r>
      <w:r w:rsidR="003C55DC">
        <w:rPr>
          <w:szCs w:val="22"/>
          <w:lang w:val="en-CA"/>
        </w:rPr>
        <w:t xml:space="preserve">for </w:t>
      </w:r>
      <w:r w:rsidR="00AF25E4">
        <w:rPr>
          <w:szCs w:val="22"/>
          <w:lang w:val="en-CA"/>
        </w:rPr>
        <w:t>LB, and</w:t>
      </w:r>
      <w:r>
        <w:rPr>
          <w:szCs w:val="22"/>
          <w:lang w:val="en-CA"/>
        </w:rPr>
        <w:t xml:space="preserve"> </w:t>
      </w:r>
      <w:r w:rsidRPr="00357D1B">
        <w:rPr>
          <w:szCs w:val="22"/>
          <w:lang w:val="en-CA"/>
        </w:rPr>
        <w:t>-0.</w:t>
      </w:r>
      <w:r w:rsidR="00357D1B">
        <w:rPr>
          <w:szCs w:val="22"/>
          <w:lang w:val="en-CA"/>
        </w:rPr>
        <w:t>22</w:t>
      </w:r>
      <w:r w:rsidRPr="00357D1B">
        <w:rPr>
          <w:szCs w:val="22"/>
          <w:lang w:val="en-CA"/>
        </w:rPr>
        <w:t>%</w:t>
      </w:r>
      <w:r w:rsidR="00AF25E4" w:rsidRPr="00357D1B">
        <w:rPr>
          <w:szCs w:val="22"/>
          <w:lang w:val="en-CA"/>
        </w:rPr>
        <w:t xml:space="preserve"> </w:t>
      </w:r>
      <w:r w:rsidR="003C55DC" w:rsidRPr="00357D1B">
        <w:rPr>
          <w:szCs w:val="22"/>
          <w:lang w:val="en-CA"/>
        </w:rPr>
        <w:t xml:space="preserve">for </w:t>
      </w:r>
      <w:r w:rsidR="00AF25E4" w:rsidRPr="00357D1B">
        <w:rPr>
          <w:szCs w:val="22"/>
          <w:lang w:val="en-CA"/>
        </w:rPr>
        <w:t>LP</w:t>
      </w:r>
      <w:r w:rsidRPr="00357D1B">
        <w:rPr>
          <w:szCs w:val="22"/>
          <w:lang w:val="en-CA"/>
        </w:rPr>
        <w:t>.</w:t>
      </w:r>
    </w:p>
    <w:p w14:paraId="446C1169" w14:textId="479496E6" w:rsidR="00D3569A" w:rsidRPr="00D3569A" w:rsidRDefault="00D3569A" w:rsidP="00D3569A">
      <w:pPr>
        <w:pStyle w:val="Heading1"/>
        <w:rPr>
          <w:lang w:val="en-CA"/>
        </w:rPr>
      </w:pPr>
      <w:r>
        <w:rPr>
          <w:lang w:val="en-CA"/>
        </w:rPr>
        <w:t>Technology description</w:t>
      </w:r>
    </w:p>
    <w:p w14:paraId="00E4B008" w14:textId="0104B310" w:rsidR="00D3569A" w:rsidRPr="00F21CAF" w:rsidRDefault="00357D1B" w:rsidP="00D3569A">
      <w:pPr>
        <w:rPr>
          <w:szCs w:val="22"/>
        </w:rPr>
      </w:pPr>
      <w:r>
        <w:rPr>
          <w:szCs w:val="22"/>
        </w:rPr>
        <w:t>As</w:t>
      </w:r>
      <w:r w:rsidR="00AF25E4">
        <w:rPr>
          <w:szCs w:val="22"/>
        </w:rPr>
        <w:t xml:space="preserve"> des</w:t>
      </w:r>
      <w:r>
        <w:rPr>
          <w:szCs w:val="22"/>
        </w:rPr>
        <w:t>cribed in JVET-J0012</w:t>
      </w:r>
      <w:r w:rsidR="00DA3D40">
        <w:rPr>
          <w:szCs w:val="22"/>
        </w:rPr>
        <w:t xml:space="preserve"> </w:t>
      </w:r>
      <w:r w:rsidR="00F21CAF">
        <w:rPr>
          <w:szCs w:val="22"/>
        </w:rPr>
        <w:fldChar w:fldCharType="begin"/>
      </w:r>
      <w:r w:rsidR="00F21CAF">
        <w:rPr>
          <w:szCs w:val="22"/>
        </w:rPr>
        <w:instrText xml:space="preserve"> REF _Ref517855257 \r \h </w:instrText>
      </w:r>
      <w:r w:rsidR="00F21CAF">
        <w:rPr>
          <w:szCs w:val="22"/>
        </w:rPr>
      </w:r>
      <w:r w:rsidR="00F21CAF">
        <w:rPr>
          <w:szCs w:val="22"/>
        </w:rPr>
        <w:fldChar w:fldCharType="separate"/>
      </w:r>
      <w:r w:rsidR="00F21CAF">
        <w:rPr>
          <w:szCs w:val="22"/>
        </w:rPr>
        <w:t>[1]</w:t>
      </w:r>
      <w:r w:rsidR="00F21CAF">
        <w:rPr>
          <w:szCs w:val="22"/>
        </w:rPr>
        <w:fldChar w:fldCharType="end"/>
      </w:r>
      <w:r w:rsidR="00F21CAF">
        <w:rPr>
          <w:szCs w:val="22"/>
        </w:rPr>
        <w:t xml:space="preserve"> </w:t>
      </w:r>
      <w:r>
        <w:rPr>
          <w:szCs w:val="22"/>
        </w:rPr>
        <w:t>section 2.1.7.3,</w:t>
      </w:r>
      <w:r w:rsidR="00AF25E4">
        <w:rPr>
          <w:szCs w:val="22"/>
        </w:rPr>
        <w:t xml:space="preserve"> </w:t>
      </w:r>
      <w:r>
        <w:rPr>
          <w:szCs w:val="22"/>
        </w:rPr>
        <w:t>the</w:t>
      </w:r>
      <w:r w:rsidR="00D3569A">
        <w:rPr>
          <w:szCs w:val="22"/>
        </w:rPr>
        <w:t xml:space="preserve"> </w:t>
      </w:r>
      <w:r>
        <w:rPr>
          <w:szCs w:val="22"/>
        </w:rPr>
        <w:t xml:space="preserve">proposed </w:t>
      </w:r>
      <w:r w:rsidR="00AF25E4">
        <w:rPr>
          <w:szCs w:val="22"/>
        </w:rPr>
        <w:t xml:space="preserve">tool </w:t>
      </w:r>
      <w:r w:rsidR="00D3569A">
        <w:rPr>
          <w:szCs w:val="22"/>
        </w:rPr>
        <w:t>derive</w:t>
      </w:r>
      <w:r w:rsidR="00AF25E4">
        <w:rPr>
          <w:szCs w:val="22"/>
        </w:rPr>
        <w:t>s</w:t>
      </w:r>
      <w:r w:rsidR="00D3569A">
        <w:rPr>
          <w:szCs w:val="22"/>
        </w:rPr>
        <w:t xml:space="preserve"> additional spatial candidates from two non-adjacent neighboring positions. One from the closest non-neighboring block in straight horizontal spatial distance and the other one from the closest non-neighboring block in str</w:t>
      </w:r>
      <w:r>
        <w:rPr>
          <w:szCs w:val="22"/>
        </w:rPr>
        <w:t>aight vertical spatial di</w:t>
      </w:r>
      <w:r w:rsidR="00F21CAF">
        <w:rPr>
          <w:szCs w:val="22"/>
        </w:rPr>
        <w:t xml:space="preserve">stance, as illustrated in </w:t>
      </w:r>
      <w:r w:rsidR="00F21CAF">
        <w:rPr>
          <w:szCs w:val="22"/>
        </w:rPr>
        <w:fldChar w:fldCharType="begin"/>
      </w:r>
      <w:r w:rsidR="00F21CAF">
        <w:rPr>
          <w:szCs w:val="22"/>
        </w:rPr>
        <w:instrText xml:space="preserve"> REF _Ref517855323 \h </w:instrText>
      </w:r>
      <w:r w:rsidR="00F21CAF">
        <w:rPr>
          <w:szCs w:val="22"/>
        </w:rPr>
      </w:r>
      <w:r w:rsidR="00F21CAF">
        <w:rPr>
          <w:szCs w:val="22"/>
        </w:rPr>
        <w:fldChar w:fldCharType="separate"/>
      </w:r>
      <w:r w:rsidR="00F21CAF">
        <w:t xml:space="preserve">Figure </w:t>
      </w:r>
      <w:r w:rsidR="00F21CAF">
        <w:rPr>
          <w:noProof/>
        </w:rPr>
        <w:t>1</w:t>
      </w:r>
      <w:r w:rsidR="00F21CAF">
        <w:rPr>
          <w:szCs w:val="22"/>
        </w:rPr>
        <w:fldChar w:fldCharType="end"/>
      </w:r>
      <w:r>
        <w:rPr>
          <w:szCs w:val="22"/>
        </w:rPr>
        <w:t>.</w:t>
      </w:r>
      <w:r w:rsidR="00D3569A">
        <w:rPr>
          <w:szCs w:val="22"/>
        </w:rPr>
        <w:t xml:space="preserve"> The blocks are limited within a maximum distance of 1 CTU to the current block.</w:t>
      </w:r>
      <w:r w:rsidR="00D3569A" w:rsidRPr="00FB62D1">
        <w:rPr>
          <w:szCs w:val="22"/>
        </w:rPr>
        <w:t xml:space="preserve"> </w:t>
      </w:r>
      <w:r w:rsidR="00D3569A">
        <w:rPr>
          <w:szCs w:val="22"/>
        </w:rPr>
        <w:t xml:space="preserve">The fetching process of non-adjacent neighboring candidates starts with tracing the previous decoded blocks in the vertical direction. The vertical inverse tracing stops when an inter block is encountered or the traced back distance reaches 1 CTU size. The fetching process then traces the previous decoded blocks in the horizontal direction. The criterion for stopping the horizontal fetching process depends on whether there is a vertical non-adjacent candidate successfully being fetched or not. </w:t>
      </w:r>
      <w:r w:rsidR="00D3569A">
        <w:t>If no vertical non-adjacent candidate is fetched, the horizontal fetching process stops when an inter is encountered or the traced back distance exceed one CTU size threshold. If there is a vertical non-adjacent candidate fetched, then the horizontal fetching process stops when an inter block which contains different MV from the vertical non-adjacent candidate is encountered or the traced back distan</w:t>
      </w:r>
      <w:r w:rsidR="00AF25E4">
        <w:t>ce exceed on CTU size threshold.</w:t>
      </w:r>
    </w:p>
    <w:p w14:paraId="2AAF8DF6" w14:textId="77777777" w:rsidR="00357D1B" w:rsidRDefault="00B06675" w:rsidP="00357D1B">
      <w:pPr>
        <w:keepNext/>
        <w:jc w:val="center"/>
      </w:pPr>
      <w:r>
        <w:rPr>
          <w:b/>
          <w:noProof/>
          <w:szCs w:val="22"/>
        </w:rPr>
        <w:lastRenderedPageBreak/>
        <w:pict w14:anchorId="1AD64D99">
          <v:shape id="Picture 10" o:spid="_x0000_i1025" type="#_x0000_t75" style="width:221.4pt;height:177.6pt;visibility:visible;mso-wrap-style:square">
            <v:imagedata r:id="rId9" o:title=""/>
          </v:shape>
        </w:pict>
      </w:r>
    </w:p>
    <w:p w14:paraId="01CED2A9" w14:textId="1B2FB911" w:rsidR="00D3569A" w:rsidRDefault="00357D1B" w:rsidP="00357D1B">
      <w:pPr>
        <w:pStyle w:val="Caption"/>
        <w:jc w:val="center"/>
        <w:rPr>
          <w:szCs w:val="22"/>
        </w:rPr>
      </w:pPr>
      <w:bookmarkStart w:id="1" w:name="_Ref517855323"/>
      <w:r>
        <w:t xml:space="preserve">Figure </w:t>
      </w:r>
      <w:r w:rsidR="00B239B3">
        <w:fldChar w:fldCharType="begin"/>
      </w:r>
      <w:r w:rsidR="00B239B3">
        <w:instrText xml:space="preserve"> SEQ Figure \* ARABIC </w:instrText>
      </w:r>
      <w:r w:rsidR="00B239B3">
        <w:fldChar w:fldCharType="separate"/>
      </w:r>
      <w:r w:rsidR="008D509A">
        <w:rPr>
          <w:noProof/>
        </w:rPr>
        <w:t>1</w:t>
      </w:r>
      <w:r w:rsidR="00B239B3">
        <w:rPr>
          <w:noProof/>
        </w:rPr>
        <w:fldChar w:fldCharType="end"/>
      </w:r>
      <w:bookmarkEnd w:id="1"/>
      <w:r>
        <w:t>. Illustration of fetching non-adjacent spatial merge candidates V</w:t>
      </w:r>
      <w:r w:rsidRPr="00357D1B">
        <w:rPr>
          <w:sz w:val="12"/>
        </w:rPr>
        <w:t>N</w:t>
      </w:r>
      <w:r>
        <w:t xml:space="preserve"> and H</w:t>
      </w:r>
      <w:r w:rsidRPr="00357D1B">
        <w:rPr>
          <w:sz w:val="12"/>
        </w:rPr>
        <w:t>N</w:t>
      </w:r>
    </w:p>
    <w:p w14:paraId="6041CFF0" w14:textId="62C617CF" w:rsidR="00D3569A" w:rsidRDefault="00D3569A" w:rsidP="00D3569A">
      <w:pPr>
        <w:rPr>
          <w:szCs w:val="22"/>
        </w:rPr>
      </w:pPr>
      <w:r>
        <w:rPr>
          <w:szCs w:val="22"/>
        </w:rPr>
        <w:t>The</w:t>
      </w:r>
      <w:r w:rsidRPr="003C4836">
        <w:rPr>
          <w:szCs w:val="22"/>
        </w:rPr>
        <w:t xml:space="preserve"> </w:t>
      </w:r>
      <w:r>
        <w:rPr>
          <w:szCs w:val="22"/>
        </w:rPr>
        <w:t>fetched non-adjacent neighboring candidates are added before the TMVP candidate in the merge candidate list when the number of already added spatial candidates is less than a threshold.</w:t>
      </w:r>
      <w:r w:rsidR="00AF25E4">
        <w:rPr>
          <w:szCs w:val="22"/>
        </w:rPr>
        <w:t xml:space="preserve"> The threshold </w:t>
      </w:r>
      <w:r w:rsidR="00036053">
        <w:rPr>
          <w:szCs w:val="22"/>
        </w:rPr>
        <w:t xml:space="preserve">for adding the non-adjacent neighboring candidate </w:t>
      </w:r>
      <w:r w:rsidR="00AF25E4">
        <w:rPr>
          <w:szCs w:val="22"/>
        </w:rPr>
        <w:t>is set to 3 in the current implementation.</w:t>
      </w:r>
      <w:r w:rsidR="008D509A">
        <w:rPr>
          <w:szCs w:val="22"/>
        </w:rPr>
        <w:t xml:space="preserve"> </w:t>
      </w:r>
      <w:r w:rsidR="008D509A">
        <w:rPr>
          <w:szCs w:val="22"/>
        </w:rPr>
        <w:fldChar w:fldCharType="begin"/>
      </w:r>
      <w:r w:rsidR="008D509A">
        <w:rPr>
          <w:szCs w:val="22"/>
        </w:rPr>
        <w:instrText xml:space="preserve"> REF _Ref518039168 \h </w:instrText>
      </w:r>
      <w:r w:rsidR="008D509A">
        <w:rPr>
          <w:szCs w:val="22"/>
        </w:rPr>
      </w:r>
      <w:r w:rsidR="008D509A">
        <w:rPr>
          <w:szCs w:val="22"/>
        </w:rPr>
        <w:fldChar w:fldCharType="separate"/>
      </w:r>
      <w:r w:rsidR="008D509A">
        <w:t xml:space="preserve">Figure </w:t>
      </w:r>
      <w:r w:rsidR="008D509A">
        <w:rPr>
          <w:noProof/>
        </w:rPr>
        <w:t>2</w:t>
      </w:r>
      <w:r w:rsidR="008D509A">
        <w:rPr>
          <w:szCs w:val="22"/>
        </w:rPr>
        <w:fldChar w:fldCharType="end"/>
      </w:r>
      <w:r w:rsidR="008D509A">
        <w:rPr>
          <w:szCs w:val="22"/>
        </w:rPr>
        <w:t xml:space="preserve"> illustrates the modified merge candidate list generation process.</w:t>
      </w:r>
    </w:p>
    <w:p w14:paraId="53A44C00" w14:textId="77777777" w:rsidR="008D509A" w:rsidRDefault="00B06675" w:rsidP="008D509A">
      <w:pPr>
        <w:keepNext/>
        <w:jc w:val="center"/>
      </w:pPr>
      <w:r>
        <w:rPr>
          <w:szCs w:val="22"/>
        </w:rPr>
        <w:pict w14:anchorId="22193834">
          <v:shape id="_x0000_i1026" type="#_x0000_t75" style="width:259.8pt;height:205.8pt">
            <v:imagedata r:id="rId10" o:title="merge_list_generation_process"/>
          </v:shape>
        </w:pict>
      </w:r>
    </w:p>
    <w:p w14:paraId="0C95D78F" w14:textId="104EE922" w:rsidR="008D509A" w:rsidRDefault="008D509A" w:rsidP="008D509A">
      <w:pPr>
        <w:pStyle w:val="Caption"/>
        <w:jc w:val="center"/>
        <w:rPr>
          <w:szCs w:val="22"/>
        </w:rPr>
      </w:pPr>
      <w:bookmarkStart w:id="2" w:name="_Ref518039168"/>
      <w:r>
        <w:t xml:space="preserve">Figure </w:t>
      </w:r>
      <w:fldSimple w:instr=" SEQ Figure \* ARABIC ">
        <w:r>
          <w:rPr>
            <w:noProof/>
          </w:rPr>
          <w:t>2</w:t>
        </w:r>
      </w:fldSimple>
      <w:bookmarkEnd w:id="2"/>
      <w:r>
        <w:t>. Modified merge candidate list generation process</w:t>
      </w:r>
    </w:p>
    <w:p w14:paraId="4B6AAF4C" w14:textId="7E18587C" w:rsidR="003C46F0" w:rsidRDefault="00D3569A" w:rsidP="003C46F0">
      <w:pPr>
        <w:pStyle w:val="Heading1"/>
      </w:pPr>
      <w:r>
        <w:t>Simulation results</w:t>
      </w:r>
    </w:p>
    <w:p w14:paraId="0707938C" w14:textId="77EE94FC" w:rsidR="00DA3D40" w:rsidRPr="00DA3D40" w:rsidRDefault="00DA3D40" w:rsidP="00DA3D40">
      <w:r>
        <w:t xml:space="preserve">The tests </w:t>
      </w:r>
      <w:r w:rsidR="009E753B">
        <w:t>were</w:t>
      </w:r>
      <w:r>
        <w:t xml:space="preserve"> defined in the CE description document </w:t>
      </w:r>
      <w:r w:rsidR="00F21CAF">
        <w:t xml:space="preserve">JVET-J1024 </w:t>
      </w:r>
      <w:r w:rsidR="00F21CAF">
        <w:fldChar w:fldCharType="begin"/>
      </w:r>
      <w:r w:rsidR="00F21CAF">
        <w:instrText xml:space="preserve"> REF _Ref517855276 \r \h </w:instrText>
      </w:r>
      <w:r w:rsidR="00F21CAF">
        <w:fldChar w:fldCharType="separate"/>
      </w:r>
      <w:r w:rsidR="00F21CAF">
        <w:t>[2]</w:t>
      </w:r>
      <w:r w:rsidR="00F21CAF">
        <w:fldChar w:fldCharType="end"/>
      </w:r>
      <w:r>
        <w:t xml:space="preserve">. The simulations were conducted by following the </w:t>
      </w:r>
      <w:r w:rsidR="00AE6E77">
        <w:t xml:space="preserve">JVET </w:t>
      </w:r>
      <w:r w:rsidR="00F21CAF">
        <w:t xml:space="preserve">common test conditions </w:t>
      </w:r>
      <w:r w:rsidR="00F21CAF">
        <w:fldChar w:fldCharType="begin"/>
      </w:r>
      <w:r w:rsidR="00F21CAF">
        <w:instrText xml:space="preserve"> REF _Ref517855286 \r \h </w:instrText>
      </w:r>
      <w:r w:rsidR="00F21CAF">
        <w:fldChar w:fldCharType="separate"/>
      </w:r>
      <w:r w:rsidR="00F21CAF">
        <w:t>[3]</w:t>
      </w:r>
      <w:r w:rsidR="00F21CAF">
        <w:fldChar w:fldCharType="end"/>
      </w:r>
      <w:r>
        <w:t>.</w:t>
      </w:r>
      <w:r w:rsidR="00AE6E77">
        <w:t xml:space="preserve"> The software was compiled using GCC 6.2.0. The SIMD configuration was AVX2.</w:t>
      </w:r>
    </w:p>
    <w:p w14:paraId="2CDFAFCE" w14:textId="052AE529" w:rsidR="003C46F0" w:rsidRPr="003C46F0" w:rsidRDefault="003C46F0" w:rsidP="003C46F0">
      <w:pPr>
        <w:pStyle w:val="Heading2"/>
      </w:pPr>
      <w:r>
        <w:t>Random access configuration</w:t>
      </w:r>
    </w:p>
    <w:p w14:paraId="390B947C" w14:textId="235CFD98" w:rsidR="003C46F0" w:rsidRPr="003C46F0" w:rsidRDefault="00B239B3" w:rsidP="003C46F0">
      <w:r>
        <w:pict w14:anchorId="5DE8EF31">
          <v:shape id="_x0000_i1027" type="#_x0000_t75" style="width:490.2pt;height:100.8pt;mso-left-percent:-10001;mso-top-percent:-10001;mso-position-horizontal:absolute;mso-position-horizontal-relative:char;mso-position-vertical:absolute;mso-position-vertical-relative:line;mso-left-percent:-10001;mso-top-percent:-10001">
            <v:imagedata r:id="rId11" o:title=""/>
          </v:shape>
        </w:pict>
      </w:r>
    </w:p>
    <w:p w14:paraId="72147B5C" w14:textId="3E365951" w:rsidR="00DA11AD" w:rsidRDefault="003C46F0" w:rsidP="003C46F0">
      <w:pPr>
        <w:pStyle w:val="Heading2"/>
      </w:pPr>
      <w:r>
        <w:lastRenderedPageBreak/>
        <w:t>Low delay B configuration</w:t>
      </w:r>
    </w:p>
    <w:p w14:paraId="0DDF9901" w14:textId="10126022" w:rsidR="005F6FDD" w:rsidRDefault="00B06675" w:rsidP="00DA11AD">
      <w:r>
        <w:pict w14:anchorId="34EC2048">
          <v:shape id="_x0000_i1028" type="#_x0000_t75" style="width:492.6pt;height:101.4pt;mso-left-percent:-10001;mso-top-percent:-10001;mso-position-horizontal:absolute;mso-position-horizontal-relative:char;mso-position-vertical:absolute;mso-position-vertical-relative:line;mso-left-percent:-10001;mso-top-percent:-10001">
            <v:imagedata r:id="rId12" o:title=""/>
          </v:shape>
        </w:pict>
      </w:r>
    </w:p>
    <w:p w14:paraId="72F33CE3" w14:textId="47E57632" w:rsidR="003C46F0" w:rsidRDefault="003C46F0" w:rsidP="003C46F0">
      <w:pPr>
        <w:pStyle w:val="Heading2"/>
      </w:pPr>
      <w:r>
        <w:t>Low delay P configuration</w:t>
      </w:r>
    </w:p>
    <w:p w14:paraId="7079544B" w14:textId="3FF88F25" w:rsidR="00F21CAF" w:rsidRPr="003C46F0" w:rsidRDefault="00B06675" w:rsidP="003C46F0">
      <w:r>
        <w:pict w14:anchorId="1F207F22">
          <v:shape id="_x0000_i1029" type="#_x0000_t75" style="width:492.6pt;height:101.4pt">
            <v:imagedata r:id="rId13" o:title=""/>
          </v:shape>
        </w:pict>
      </w:r>
    </w:p>
    <w:p w14:paraId="4FC22240" w14:textId="27B75BCC" w:rsidR="00DA3D40" w:rsidRDefault="00DA3D40" w:rsidP="00E11923">
      <w:pPr>
        <w:pStyle w:val="Heading1"/>
        <w:rPr>
          <w:lang w:val="en-CA"/>
        </w:rPr>
      </w:pPr>
      <w:r>
        <w:rPr>
          <w:lang w:val="en-CA"/>
        </w:rPr>
        <w:t>References</w:t>
      </w:r>
    </w:p>
    <w:p w14:paraId="05ED0D43" w14:textId="68001581" w:rsidR="00F21CAF" w:rsidRPr="003860CB" w:rsidRDefault="00DA3D40" w:rsidP="00F21CAF">
      <w:pPr>
        <w:pStyle w:val="ListParagraph"/>
        <w:numPr>
          <w:ilvl w:val="0"/>
          <w:numId w:val="14"/>
        </w:numPr>
        <w:rPr>
          <w:sz w:val="22"/>
          <w:szCs w:val="22"/>
          <w:lang w:val="en-CA"/>
        </w:rPr>
      </w:pPr>
      <w:bookmarkStart w:id="3" w:name="_Ref517855257"/>
      <w:r w:rsidRPr="00DA3D40">
        <w:rPr>
          <w:sz w:val="22"/>
          <w:szCs w:val="22"/>
          <w:lang w:val="en-GB" w:eastAsia="zh-TW"/>
        </w:rPr>
        <w:t xml:space="preserve">R. Sjöberg, K. Andersson, R. Yu, Z. Zhang, P. Wennersten, J. </w:t>
      </w:r>
      <w:proofErr w:type="spellStart"/>
      <w:r w:rsidRPr="00DA3D40">
        <w:rPr>
          <w:sz w:val="22"/>
          <w:szCs w:val="22"/>
          <w:lang w:val="en-GB" w:eastAsia="zh-TW"/>
        </w:rPr>
        <w:t>Lainema</w:t>
      </w:r>
      <w:proofErr w:type="spellEnd"/>
      <w:r w:rsidRPr="00DA3D40">
        <w:rPr>
          <w:sz w:val="22"/>
          <w:szCs w:val="22"/>
          <w:lang w:val="en-GB" w:eastAsia="zh-TW"/>
        </w:rPr>
        <w:t xml:space="preserve">, A. </w:t>
      </w:r>
      <w:proofErr w:type="spellStart"/>
      <w:r w:rsidRPr="00DA3D40">
        <w:rPr>
          <w:sz w:val="22"/>
          <w:szCs w:val="22"/>
          <w:lang w:val="en-GB" w:eastAsia="zh-TW"/>
        </w:rPr>
        <w:t>Hallapuro</w:t>
      </w:r>
      <w:proofErr w:type="spellEnd"/>
      <w:r w:rsidRPr="00DA3D40">
        <w:rPr>
          <w:sz w:val="22"/>
          <w:szCs w:val="22"/>
          <w:lang w:val="en-GB" w:eastAsia="zh-TW"/>
        </w:rPr>
        <w:t xml:space="preserve">, A. </w:t>
      </w:r>
      <w:proofErr w:type="spellStart"/>
      <w:r w:rsidRPr="00DA3D40">
        <w:rPr>
          <w:sz w:val="22"/>
          <w:szCs w:val="22"/>
          <w:lang w:val="en-GB" w:eastAsia="zh-TW"/>
        </w:rPr>
        <w:t>Aminlou</w:t>
      </w:r>
      <w:proofErr w:type="spellEnd"/>
      <w:r w:rsidRPr="00DA3D40">
        <w:rPr>
          <w:sz w:val="22"/>
          <w:szCs w:val="22"/>
          <w:lang w:val="en-GB" w:eastAsia="zh-TW"/>
        </w:rPr>
        <w:t xml:space="preserve">, M. Hannuksela, R. </w:t>
      </w:r>
      <w:proofErr w:type="spellStart"/>
      <w:r w:rsidRPr="00DA3D40">
        <w:rPr>
          <w:sz w:val="22"/>
          <w:szCs w:val="22"/>
          <w:lang w:val="en-GB" w:eastAsia="zh-TW"/>
        </w:rPr>
        <w:t>Ghaznavi-Youvalari</w:t>
      </w:r>
      <w:proofErr w:type="spellEnd"/>
      <w:r w:rsidRPr="00DA3D40">
        <w:rPr>
          <w:sz w:val="22"/>
          <w:szCs w:val="22"/>
          <w:lang w:val="en-GB" w:eastAsia="zh-TW"/>
        </w:rPr>
        <w:t>, J. Ridge</w:t>
      </w:r>
      <w:r w:rsidRPr="003860CB">
        <w:rPr>
          <w:sz w:val="22"/>
          <w:szCs w:val="22"/>
          <w:lang w:val="en-CA"/>
        </w:rPr>
        <w:t xml:space="preserve">, </w:t>
      </w:r>
      <w:r w:rsidRPr="003860CB">
        <w:rPr>
          <w:sz w:val="22"/>
          <w:szCs w:val="22"/>
          <w:lang w:val="en-GB" w:eastAsia="zh-TW"/>
        </w:rPr>
        <w:t>JVET-</w:t>
      </w:r>
      <w:r w:rsidR="00F21CAF">
        <w:rPr>
          <w:sz w:val="22"/>
          <w:szCs w:val="22"/>
          <w:lang w:val="en-GB" w:eastAsia="zh-TW"/>
        </w:rPr>
        <w:t>J</w:t>
      </w:r>
      <w:r w:rsidRPr="003860CB">
        <w:rPr>
          <w:sz w:val="22"/>
          <w:szCs w:val="22"/>
          <w:lang w:val="en-GB" w:eastAsia="zh-TW"/>
        </w:rPr>
        <w:t>0</w:t>
      </w:r>
      <w:r w:rsidR="00F21CAF">
        <w:rPr>
          <w:sz w:val="22"/>
          <w:szCs w:val="22"/>
          <w:lang w:val="en-GB" w:eastAsia="zh-TW"/>
        </w:rPr>
        <w:t>012</w:t>
      </w:r>
      <w:r w:rsidRPr="003860CB">
        <w:rPr>
          <w:sz w:val="22"/>
          <w:szCs w:val="22"/>
          <w:lang w:val="en-GB" w:eastAsia="zh-TW"/>
        </w:rPr>
        <w:t>, “</w:t>
      </w:r>
      <w:r w:rsidR="00F21CAF" w:rsidRPr="00F21CAF">
        <w:rPr>
          <w:sz w:val="22"/>
          <w:szCs w:val="22"/>
          <w:lang w:val="en-CA"/>
        </w:rPr>
        <w:t>Description of SDR and HDR video coding technology proposal by Ericsson and Nokia</w:t>
      </w:r>
      <w:r w:rsidRPr="003860CB">
        <w:rPr>
          <w:sz w:val="22"/>
          <w:szCs w:val="22"/>
          <w:lang w:val="en-CA"/>
        </w:rPr>
        <w:t xml:space="preserve">”, </w:t>
      </w:r>
      <w:r w:rsidR="00F21CAF">
        <w:rPr>
          <w:sz w:val="22"/>
          <w:szCs w:val="22"/>
          <w:lang w:val="en-CA"/>
        </w:rPr>
        <w:t>April</w:t>
      </w:r>
      <w:r w:rsidRPr="003860CB">
        <w:rPr>
          <w:sz w:val="22"/>
          <w:szCs w:val="22"/>
          <w:lang w:val="en-CA"/>
        </w:rPr>
        <w:t>. 201</w:t>
      </w:r>
      <w:r w:rsidR="00F21CAF">
        <w:rPr>
          <w:sz w:val="22"/>
          <w:szCs w:val="22"/>
          <w:lang w:val="en-CA"/>
        </w:rPr>
        <w:t>8</w:t>
      </w:r>
      <w:r w:rsidRPr="003860CB">
        <w:rPr>
          <w:sz w:val="22"/>
          <w:szCs w:val="22"/>
          <w:lang w:val="en-CA"/>
        </w:rPr>
        <w:t>.</w:t>
      </w:r>
      <w:bookmarkEnd w:id="3"/>
    </w:p>
    <w:p w14:paraId="4EDB6835" w14:textId="1B34770B" w:rsidR="00F21CAF" w:rsidRPr="003860CB" w:rsidRDefault="00F21CAF" w:rsidP="00F21CAF">
      <w:pPr>
        <w:pStyle w:val="ListParagraph"/>
        <w:numPr>
          <w:ilvl w:val="0"/>
          <w:numId w:val="14"/>
        </w:numPr>
        <w:rPr>
          <w:sz w:val="22"/>
          <w:szCs w:val="22"/>
          <w:lang w:val="en-CA"/>
        </w:rPr>
      </w:pPr>
      <w:bookmarkStart w:id="4" w:name="_Ref517855276"/>
      <w:r w:rsidRPr="00F21CAF">
        <w:rPr>
          <w:sz w:val="22"/>
          <w:szCs w:val="22"/>
          <w:lang w:val="en-GB" w:eastAsia="zh-TW"/>
        </w:rPr>
        <w:t>H. Yang, S. Liu, K. Zhang</w:t>
      </w:r>
      <w:r w:rsidRPr="003860CB">
        <w:rPr>
          <w:sz w:val="22"/>
          <w:szCs w:val="22"/>
          <w:lang w:val="en-CA"/>
        </w:rPr>
        <w:t xml:space="preserve">, </w:t>
      </w:r>
      <w:r w:rsidRPr="003860CB">
        <w:rPr>
          <w:sz w:val="22"/>
          <w:szCs w:val="22"/>
          <w:lang w:val="en-GB" w:eastAsia="zh-TW"/>
        </w:rPr>
        <w:t>JVET-</w:t>
      </w:r>
      <w:r>
        <w:rPr>
          <w:sz w:val="22"/>
          <w:szCs w:val="22"/>
          <w:lang w:val="en-GB" w:eastAsia="zh-TW"/>
        </w:rPr>
        <w:t>J1024</w:t>
      </w:r>
      <w:r w:rsidRPr="003860CB">
        <w:rPr>
          <w:sz w:val="22"/>
          <w:szCs w:val="22"/>
          <w:lang w:val="en-GB" w:eastAsia="zh-TW"/>
        </w:rPr>
        <w:t>, “</w:t>
      </w:r>
      <w:r w:rsidRPr="00F21CAF">
        <w:rPr>
          <w:sz w:val="22"/>
          <w:szCs w:val="22"/>
          <w:lang w:val="en-CA"/>
        </w:rPr>
        <w:t>Description of Core Experiment 4 (CE4): Inter prediction and motion vector coding</w:t>
      </w:r>
      <w:r w:rsidRPr="003860CB">
        <w:rPr>
          <w:sz w:val="22"/>
          <w:szCs w:val="22"/>
          <w:lang w:val="en-CA"/>
        </w:rPr>
        <w:t xml:space="preserve">”, </w:t>
      </w:r>
      <w:r>
        <w:rPr>
          <w:sz w:val="22"/>
          <w:szCs w:val="22"/>
          <w:lang w:val="en-CA"/>
        </w:rPr>
        <w:t>April</w:t>
      </w:r>
      <w:r w:rsidRPr="003860CB">
        <w:rPr>
          <w:sz w:val="22"/>
          <w:szCs w:val="22"/>
          <w:lang w:val="en-CA"/>
        </w:rPr>
        <w:t>. 201</w:t>
      </w:r>
      <w:r>
        <w:rPr>
          <w:sz w:val="22"/>
          <w:szCs w:val="22"/>
          <w:lang w:val="en-CA"/>
        </w:rPr>
        <w:t>8</w:t>
      </w:r>
      <w:r w:rsidRPr="003860CB">
        <w:rPr>
          <w:sz w:val="22"/>
          <w:szCs w:val="22"/>
          <w:lang w:val="en-CA"/>
        </w:rPr>
        <w:t>.</w:t>
      </w:r>
      <w:bookmarkEnd w:id="4"/>
    </w:p>
    <w:p w14:paraId="4049593B" w14:textId="54904DBF" w:rsidR="00DA3D40" w:rsidRPr="00F21CAF" w:rsidRDefault="00F21CAF" w:rsidP="00DA3D40">
      <w:pPr>
        <w:pStyle w:val="ListParagraph"/>
        <w:numPr>
          <w:ilvl w:val="0"/>
          <w:numId w:val="14"/>
        </w:numPr>
        <w:rPr>
          <w:sz w:val="22"/>
          <w:szCs w:val="22"/>
          <w:lang w:val="en-CA"/>
        </w:rPr>
      </w:pPr>
      <w:bookmarkStart w:id="5" w:name="_Ref517855286"/>
      <w:r w:rsidRPr="00F21CAF">
        <w:rPr>
          <w:sz w:val="22"/>
          <w:szCs w:val="22"/>
          <w:lang w:val="en-GB" w:eastAsia="zh-TW"/>
        </w:rPr>
        <w:t xml:space="preserve">J. Boyce, K. </w:t>
      </w:r>
      <w:proofErr w:type="spellStart"/>
      <w:r w:rsidRPr="00F21CAF">
        <w:rPr>
          <w:sz w:val="22"/>
          <w:szCs w:val="22"/>
          <w:lang w:val="en-GB" w:eastAsia="zh-TW"/>
        </w:rPr>
        <w:t>Suehring</w:t>
      </w:r>
      <w:proofErr w:type="spellEnd"/>
      <w:r w:rsidRPr="00F21CAF">
        <w:rPr>
          <w:sz w:val="22"/>
          <w:szCs w:val="22"/>
          <w:lang w:val="en-GB" w:eastAsia="zh-TW"/>
        </w:rPr>
        <w:t xml:space="preserve">, X. Li, V. </w:t>
      </w:r>
      <w:proofErr w:type="spellStart"/>
      <w:r w:rsidRPr="00F21CAF">
        <w:rPr>
          <w:sz w:val="22"/>
          <w:szCs w:val="22"/>
          <w:lang w:val="en-GB" w:eastAsia="zh-TW"/>
        </w:rPr>
        <w:t>Seregin</w:t>
      </w:r>
      <w:proofErr w:type="spellEnd"/>
      <w:r w:rsidRPr="003860CB">
        <w:rPr>
          <w:sz w:val="22"/>
          <w:szCs w:val="22"/>
          <w:lang w:val="en-CA"/>
        </w:rPr>
        <w:t xml:space="preserve">, </w:t>
      </w:r>
      <w:r w:rsidRPr="003860CB">
        <w:rPr>
          <w:sz w:val="22"/>
          <w:szCs w:val="22"/>
          <w:lang w:val="en-GB" w:eastAsia="zh-TW"/>
        </w:rPr>
        <w:t>JVET-</w:t>
      </w:r>
      <w:r>
        <w:rPr>
          <w:sz w:val="22"/>
          <w:szCs w:val="22"/>
          <w:lang w:val="en-GB" w:eastAsia="zh-TW"/>
        </w:rPr>
        <w:t>J1010</w:t>
      </w:r>
      <w:r w:rsidRPr="003860CB">
        <w:rPr>
          <w:sz w:val="22"/>
          <w:szCs w:val="22"/>
          <w:lang w:val="en-GB" w:eastAsia="zh-TW"/>
        </w:rPr>
        <w:t>, “</w:t>
      </w:r>
      <w:r w:rsidRPr="00F21CAF">
        <w:rPr>
          <w:sz w:val="22"/>
          <w:szCs w:val="22"/>
          <w:lang w:val="en-CA"/>
        </w:rPr>
        <w:t>JVET common test conditions and software reference configurations</w:t>
      </w:r>
      <w:r w:rsidRPr="003860CB">
        <w:rPr>
          <w:sz w:val="22"/>
          <w:szCs w:val="22"/>
          <w:lang w:val="en-CA"/>
        </w:rPr>
        <w:t xml:space="preserve">”, </w:t>
      </w:r>
      <w:r>
        <w:rPr>
          <w:sz w:val="22"/>
          <w:szCs w:val="22"/>
          <w:lang w:val="en-CA"/>
        </w:rPr>
        <w:t>April</w:t>
      </w:r>
      <w:r w:rsidRPr="003860CB">
        <w:rPr>
          <w:sz w:val="22"/>
          <w:szCs w:val="22"/>
          <w:lang w:val="en-CA"/>
        </w:rPr>
        <w:t>. 201</w:t>
      </w:r>
      <w:r>
        <w:rPr>
          <w:sz w:val="22"/>
          <w:szCs w:val="22"/>
          <w:lang w:val="en-CA"/>
        </w:rPr>
        <w:t>8</w:t>
      </w:r>
      <w:r w:rsidRPr="003860CB">
        <w:rPr>
          <w:sz w:val="22"/>
          <w:szCs w:val="22"/>
          <w:lang w:val="en-CA"/>
        </w:rPr>
        <w:t>.</w:t>
      </w:r>
      <w:bookmarkEnd w:id="5"/>
    </w:p>
    <w:p w14:paraId="5F0CF8E4" w14:textId="41A41B8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91BA98D" w:rsidR="00342FF4" w:rsidRPr="005B217D" w:rsidRDefault="00D3569A"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DB066" w14:textId="77777777" w:rsidR="00B239B3" w:rsidRDefault="00B239B3">
      <w:r>
        <w:separator/>
      </w:r>
    </w:p>
  </w:endnote>
  <w:endnote w:type="continuationSeparator" w:id="0">
    <w:p w14:paraId="260C6031" w14:textId="77777777" w:rsidR="00B239B3" w:rsidRDefault="00B2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E579C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40EE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6675">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D29FB" w14:textId="77777777" w:rsidR="00B239B3" w:rsidRDefault="00B239B3">
      <w:r>
        <w:separator/>
      </w:r>
    </w:p>
  </w:footnote>
  <w:footnote w:type="continuationSeparator" w:id="0">
    <w:p w14:paraId="5E2C92B9" w14:textId="77777777" w:rsidR="00B239B3" w:rsidRDefault="00B23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454CD1"/>
    <w:multiLevelType w:val="hybridMultilevel"/>
    <w:tmpl w:val="7C880346"/>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36053"/>
    <w:rsid w:val="000458BC"/>
    <w:rsid w:val="00045C41"/>
    <w:rsid w:val="00046C03"/>
    <w:rsid w:val="00050792"/>
    <w:rsid w:val="00065039"/>
    <w:rsid w:val="0007614F"/>
    <w:rsid w:val="000B0C0F"/>
    <w:rsid w:val="000B1C6B"/>
    <w:rsid w:val="000B4FF9"/>
    <w:rsid w:val="000C09AC"/>
    <w:rsid w:val="000C33D3"/>
    <w:rsid w:val="000E00F3"/>
    <w:rsid w:val="000F158C"/>
    <w:rsid w:val="00102F3D"/>
    <w:rsid w:val="00124E38"/>
    <w:rsid w:val="0012580B"/>
    <w:rsid w:val="00131F90"/>
    <w:rsid w:val="0013458C"/>
    <w:rsid w:val="0013526E"/>
    <w:rsid w:val="00146152"/>
    <w:rsid w:val="00155526"/>
    <w:rsid w:val="00171371"/>
    <w:rsid w:val="00173375"/>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2BDD"/>
    <w:rsid w:val="003373EC"/>
    <w:rsid w:val="00342FF4"/>
    <w:rsid w:val="00346148"/>
    <w:rsid w:val="00357D1B"/>
    <w:rsid w:val="003669EA"/>
    <w:rsid w:val="003706CC"/>
    <w:rsid w:val="00377710"/>
    <w:rsid w:val="003A2D8E"/>
    <w:rsid w:val="003A7CE6"/>
    <w:rsid w:val="003C20E4"/>
    <w:rsid w:val="003C46F0"/>
    <w:rsid w:val="003C55DC"/>
    <w:rsid w:val="003D6342"/>
    <w:rsid w:val="003E6F90"/>
    <w:rsid w:val="003E73ED"/>
    <w:rsid w:val="003F5D0F"/>
    <w:rsid w:val="00414101"/>
    <w:rsid w:val="004219CF"/>
    <w:rsid w:val="004234F0"/>
    <w:rsid w:val="00433DDB"/>
    <w:rsid w:val="00435A29"/>
    <w:rsid w:val="00437619"/>
    <w:rsid w:val="00442BEB"/>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B770D"/>
    <w:rsid w:val="005C385F"/>
    <w:rsid w:val="005E1AC6"/>
    <w:rsid w:val="005F6F1B"/>
    <w:rsid w:val="005F6FDD"/>
    <w:rsid w:val="00615995"/>
    <w:rsid w:val="00616155"/>
    <w:rsid w:val="00624B33"/>
    <w:rsid w:val="0063041A"/>
    <w:rsid w:val="00630AA2"/>
    <w:rsid w:val="00646707"/>
    <w:rsid w:val="00657F7E"/>
    <w:rsid w:val="00662E58"/>
    <w:rsid w:val="006637F2"/>
    <w:rsid w:val="006642A5"/>
    <w:rsid w:val="00664DCF"/>
    <w:rsid w:val="006A0A16"/>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C5382"/>
    <w:rsid w:val="007D1181"/>
    <w:rsid w:val="007E01A3"/>
    <w:rsid w:val="007E0969"/>
    <w:rsid w:val="007F1F8B"/>
    <w:rsid w:val="007F67A1"/>
    <w:rsid w:val="00811C05"/>
    <w:rsid w:val="00816D8D"/>
    <w:rsid w:val="008206C8"/>
    <w:rsid w:val="0086387C"/>
    <w:rsid w:val="00874A6C"/>
    <w:rsid w:val="00876C65"/>
    <w:rsid w:val="008A4B4C"/>
    <w:rsid w:val="008C239F"/>
    <w:rsid w:val="008D509A"/>
    <w:rsid w:val="008E480C"/>
    <w:rsid w:val="00907757"/>
    <w:rsid w:val="009212B0"/>
    <w:rsid w:val="00921FA1"/>
    <w:rsid w:val="009234A5"/>
    <w:rsid w:val="00933453"/>
    <w:rsid w:val="009336F7"/>
    <w:rsid w:val="0093636C"/>
    <w:rsid w:val="009374A7"/>
    <w:rsid w:val="00942B7B"/>
    <w:rsid w:val="00945B2C"/>
    <w:rsid w:val="00955F6D"/>
    <w:rsid w:val="00977C16"/>
    <w:rsid w:val="0098551D"/>
    <w:rsid w:val="0099518F"/>
    <w:rsid w:val="009A523D"/>
    <w:rsid w:val="009A7BD9"/>
    <w:rsid w:val="009B02A1"/>
    <w:rsid w:val="009D7CE6"/>
    <w:rsid w:val="009E753B"/>
    <w:rsid w:val="009F496B"/>
    <w:rsid w:val="00A01439"/>
    <w:rsid w:val="00A02E61"/>
    <w:rsid w:val="00A05CFF"/>
    <w:rsid w:val="00A13048"/>
    <w:rsid w:val="00A46843"/>
    <w:rsid w:val="00A56B97"/>
    <w:rsid w:val="00A6093D"/>
    <w:rsid w:val="00A61A2E"/>
    <w:rsid w:val="00A767DC"/>
    <w:rsid w:val="00A76A6D"/>
    <w:rsid w:val="00A83253"/>
    <w:rsid w:val="00AA6E84"/>
    <w:rsid w:val="00AB1A1C"/>
    <w:rsid w:val="00AD05A8"/>
    <w:rsid w:val="00AE341B"/>
    <w:rsid w:val="00AE6E77"/>
    <w:rsid w:val="00AF25E4"/>
    <w:rsid w:val="00B01905"/>
    <w:rsid w:val="00B06675"/>
    <w:rsid w:val="00B07CA7"/>
    <w:rsid w:val="00B1279A"/>
    <w:rsid w:val="00B239B3"/>
    <w:rsid w:val="00B301AE"/>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3569A"/>
    <w:rsid w:val="00D40EE8"/>
    <w:rsid w:val="00D446EC"/>
    <w:rsid w:val="00D51BF0"/>
    <w:rsid w:val="00D531DB"/>
    <w:rsid w:val="00D55942"/>
    <w:rsid w:val="00D644F8"/>
    <w:rsid w:val="00D807BF"/>
    <w:rsid w:val="00D82FCC"/>
    <w:rsid w:val="00DA11AD"/>
    <w:rsid w:val="00DA17FC"/>
    <w:rsid w:val="00DA3D40"/>
    <w:rsid w:val="00DA7887"/>
    <w:rsid w:val="00DB2C26"/>
    <w:rsid w:val="00DD02F4"/>
    <w:rsid w:val="00DD6622"/>
    <w:rsid w:val="00DE1C7C"/>
    <w:rsid w:val="00DE6B43"/>
    <w:rsid w:val="00E078FC"/>
    <w:rsid w:val="00E11923"/>
    <w:rsid w:val="00E262D4"/>
    <w:rsid w:val="00E36250"/>
    <w:rsid w:val="00E47F2D"/>
    <w:rsid w:val="00E54511"/>
    <w:rsid w:val="00E61DAC"/>
    <w:rsid w:val="00E72B80"/>
    <w:rsid w:val="00E75FE3"/>
    <w:rsid w:val="00E86C4C"/>
    <w:rsid w:val="00E907A3"/>
    <w:rsid w:val="00EA5AE0"/>
    <w:rsid w:val="00EB56E1"/>
    <w:rsid w:val="00EB7AB1"/>
    <w:rsid w:val="00EC2D9D"/>
    <w:rsid w:val="00EE7CD8"/>
    <w:rsid w:val="00EF48CC"/>
    <w:rsid w:val="00F00801"/>
    <w:rsid w:val="00F21CAF"/>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3C5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D1B"/>
    <w:rPr>
      <w:b/>
      <w:bCs/>
      <w:sz w:val="20"/>
    </w:rPr>
  </w:style>
  <w:style w:type="paragraph" w:styleId="ListParagraph">
    <w:name w:val="List Paragraph"/>
    <w:basedOn w:val="Normal"/>
    <w:uiPriority w:val="34"/>
    <w:qFormat/>
    <w:rsid w:val="00DA3D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4529">
      <w:bodyDiv w:val="1"/>
      <w:marLeft w:val="0"/>
      <w:marRight w:val="0"/>
      <w:marTop w:val="0"/>
      <w:marBottom w:val="0"/>
      <w:divBdr>
        <w:top w:val="none" w:sz="0" w:space="0" w:color="auto"/>
        <w:left w:val="none" w:sz="0" w:space="0" w:color="auto"/>
        <w:bottom w:val="none" w:sz="0" w:space="0" w:color="auto"/>
        <w:right w:val="none" w:sz="0" w:space="0" w:color="auto"/>
      </w:divBdr>
    </w:div>
    <w:div w:id="54353291">
      <w:bodyDiv w:val="1"/>
      <w:marLeft w:val="0"/>
      <w:marRight w:val="0"/>
      <w:marTop w:val="0"/>
      <w:marBottom w:val="0"/>
      <w:divBdr>
        <w:top w:val="none" w:sz="0" w:space="0" w:color="auto"/>
        <w:left w:val="none" w:sz="0" w:space="0" w:color="auto"/>
        <w:bottom w:val="none" w:sz="0" w:space="0" w:color="auto"/>
        <w:right w:val="none" w:sz="0" w:space="0" w:color="auto"/>
      </w:divBdr>
    </w:div>
    <w:div w:id="159665945">
      <w:bodyDiv w:val="1"/>
      <w:marLeft w:val="0"/>
      <w:marRight w:val="0"/>
      <w:marTop w:val="0"/>
      <w:marBottom w:val="0"/>
      <w:divBdr>
        <w:top w:val="none" w:sz="0" w:space="0" w:color="auto"/>
        <w:left w:val="none" w:sz="0" w:space="0" w:color="auto"/>
        <w:bottom w:val="none" w:sz="0" w:space="0" w:color="auto"/>
        <w:right w:val="none" w:sz="0" w:space="0" w:color="auto"/>
      </w:divBdr>
    </w:div>
    <w:div w:id="191768969">
      <w:bodyDiv w:val="1"/>
      <w:marLeft w:val="0"/>
      <w:marRight w:val="0"/>
      <w:marTop w:val="0"/>
      <w:marBottom w:val="0"/>
      <w:divBdr>
        <w:top w:val="none" w:sz="0" w:space="0" w:color="auto"/>
        <w:left w:val="none" w:sz="0" w:space="0" w:color="auto"/>
        <w:bottom w:val="none" w:sz="0" w:space="0" w:color="auto"/>
        <w:right w:val="none" w:sz="0" w:space="0" w:color="auto"/>
      </w:divBdr>
    </w:div>
    <w:div w:id="305479173">
      <w:bodyDiv w:val="1"/>
      <w:marLeft w:val="0"/>
      <w:marRight w:val="0"/>
      <w:marTop w:val="0"/>
      <w:marBottom w:val="0"/>
      <w:divBdr>
        <w:top w:val="none" w:sz="0" w:space="0" w:color="auto"/>
        <w:left w:val="none" w:sz="0" w:space="0" w:color="auto"/>
        <w:bottom w:val="none" w:sz="0" w:space="0" w:color="auto"/>
        <w:right w:val="none" w:sz="0" w:space="0" w:color="auto"/>
      </w:divBdr>
    </w:div>
    <w:div w:id="318656990">
      <w:bodyDiv w:val="1"/>
      <w:marLeft w:val="0"/>
      <w:marRight w:val="0"/>
      <w:marTop w:val="0"/>
      <w:marBottom w:val="0"/>
      <w:divBdr>
        <w:top w:val="none" w:sz="0" w:space="0" w:color="auto"/>
        <w:left w:val="none" w:sz="0" w:space="0" w:color="auto"/>
        <w:bottom w:val="none" w:sz="0" w:space="0" w:color="auto"/>
        <w:right w:val="none" w:sz="0" w:space="0" w:color="auto"/>
      </w:divBdr>
    </w:div>
    <w:div w:id="329913713">
      <w:bodyDiv w:val="1"/>
      <w:marLeft w:val="0"/>
      <w:marRight w:val="0"/>
      <w:marTop w:val="0"/>
      <w:marBottom w:val="0"/>
      <w:divBdr>
        <w:top w:val="none" w:sz="0" w:space="0" w:color="auto"/>
        <w:left w:val="none" w:sz="0" w:space="0" w:color="auto"/>
        <w:bottom w:val="none" w:sz="0" w:space="0" w:color="auto"/>
        <w:right w:val="none" w:sz="0" w:space="0" w:color="auto"/>
      </w:divBdr>
    </w:div>
    <w:div w:id="540869712">
      <w:bodyDiv w:val="1"/>
      <w:marLeft w:val="0"/>
      <w:marRight w:val="0"/>
      <w:marTop w:val="0"/>
      <w:marBottom w:val="0"/>
      <w:divBdr>
        <w:top w:val="none" w:sz="0" w:space="0" w:color="auto"/>
        <w:left w:val="none" w:sz="0" w:space="0" w:color="auto"/>
        <w:bottom w:val="none" w:sz="0" w:space="0" w:color="auto"/>
        <w:right w:val="none" w:sz="0" w:space="0" w:color="auto"/>
      </w:divBdr>
    </w:div>
    <w:div w:id="777874182">
      <w:bodyDiv w:val="1"/>
      <w:marLeft w:val="0"/>
      <w:marRight w:val="0"/>
      <w:marTop w:val="0"/>
      <w:marBottom w:val="0"/>
      <w:divBdr>
        <w:top w:val="none" w:sz="0" w:space="0" w:color="auto"/>
        <w:left w:val="none" w:sz="0" w:space="0" w:color="auto"/>
        <w:bottom w:val="none" w:sz="0" w:space="0" w:color="auto"/>
        <w:right w:val="none" w:sz="0" w:space="0" w:color="auto"/>
      </w:divBdr>
    </w:div>
    <w:div w:id="1220440146">
      <w:bodyDiv w:val="1"/>
      <w:marLeft w:val="0"/>
      <w:marRight w:val="0"/>
      <w:marTop w:val="0"/>
      <w:marBottom w:val="0"/>
      <w:divBdr>
        <w:top w:val="none" w:sz="0" w:space="0" w:color="auto"/>
        <w:left w:val="none" w:sz="0" w:space="0" w:color="auto"/>
        <w:bottom w:val="none" w:sz="0" w:space="0" w:color="auto"/>
        <w:right w:val="none" w:sz="0" w:space="0" w:color="auto"/>
      </w:divBdr>
    </w:div>
    <w:div w:id="14443066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458668">
      <w:bodyDiv w:val="1"/>
      <w:marLeft w:val="0"/>
      <w:marRight w:val="0"/>
      <w:marTop w:val="0"/>
      <w:marBottom w:val="0"/>
      <w:divBdr>
        <w:top w:val="none" w:sz="0" w:space="0" w:color="auto"/>
        <w:left w:val="none" w:sz="0" w:space="0" w:color="auto"/>
        <w:bottom w:val="none" w:sz="0" w:space="0" w:color="auto"/>
        <w:right w:val="none" w:sz="0" w:space="0" w:color="auto"/>
      </w:divBdr>
    </w:div>
    <w:div w:id="191655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10</cp:revision>
  <cp:lastPrinted>1900-01-01T08:00:00Z</cp:lastPrinted>
  <dcterms:created xsi:type="dcterms:W3CDTF">2018-06-29T10:35:00Z</dcterms:created>
  <dcterms:modified xsi:type="dcterms:W3CDTF">2018-07-02T14:21:00Z</dcterms:modified>
</cp:coreProperties>
</file>