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6654A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852DFA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B3B66F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3B6D446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02BAC5F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:rsidR="008A4B4C" w:rsidRPr="005B217D" w:rsidRDefault="00E61DAC" w:rsidP="00320E9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320E9D">
              <w:rPr>
                <w:lang w:val="en-CA"/>
              </w:rPr>
              <w:t>0059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6654A1" w:rsidP="00320E9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CE3-</w:t>
            </w:r>
            <w:r w:rsidR="00320E9D">
              <w:rPr>
                <w:b/>
                <w:szCs w:val="22"/>
                <w:lang w:val="en-CA"/>
              </w:rPr>
              <w:t>related: Reference sample processing for wide-angle intra-prediction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CA739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CA739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CA7399" w:rsidRPr="00CA7399" w:rsidRDefault="00CA7399" w:rsidP="00CA7399">
            <w:pPr>
              <w:spacing w:before="60" w:after="60"/>
              <w:rPr>
                <w:szCs w:val="22"/>
                <w:lang w:val="en-CA"/>
              </w:rPr>
            </w:pPr>
            <w:r w:rsidRPr="00CA7399">
              <w:rPr>
                <w:szCs w:val="22"/>
                <w:lang w:val="en-CA"/>
              </w:rPr>
              <w:t>Alexey Filippov,</w:t>
            </w:r>
          </w:p>
          <w:p w:rsidR="00CA7399" w:rsidRPr="00CA7399" w:rsidRDefault="00CA7399" w:rsidP="00CA7399">
            <w:pPr>
              <w:spacing w:before="60" w:after="60"/>
              <w:rPr>
                <w:szCs w:val="22"/>
                <w:lang w:val="en-CA"/>
              </w:rPr>
            </w:pPr>
            <w:r w:rsidRPr="00CA7399">
              <w:rPr>
                <w:szCs w:val="22"/>
                <w:lang w:val="en-CA"/>
              </w:rPr>
              <w:t>Vasily Rufitskiy</w:t>
            </w:r>
            <w:r w:rsidR="000F0175">
              <w:rPr>
                <w:szCs w:val="22"/>
                <w:lang w:val="en-CA"/>
              </w:rPr>
              <w:t>,</w:t>
            </w:r>
          </w:p>
          <w:p w:rsidR="00E61DAC" w:rsidRPr="005B217D" w:rsidRDefault="00CA7399" w:rsidP="00CA7399">
            <w:pPr>
              <w:spacing w:before="60" w:after="60"/>
              <w:rPr>
                <w:szCs w:val="22"/>
                <w:lang w:val="en-CA"/>
              </w:rPr>
            </w:pPr>
            <w:r w:rsidRPr="00CA7399">
              <w:rPr>
                <w:szCs w:val="22"/>
                <w:lang w:val="en-CA"/>
              </w:rPr>
              <w:t>Jianle Chen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CA7399" w:rsidRDefault="00E61DAC" w:rsidP="00CA739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A7399" w:rsidRPr="00B450FA">
              <w:rPr>
                <w:szCs w:val="22"/>
                <w:lang w:val="en-CA"/>
              </w:rPr>
              <w:t>+7-925-008-23-08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CA7399" w:rsidRPr="00F72C3D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</w:p>
          <w:p w:rsidR="00CA7399" w:rsidRDefault="00CC6D99" w:rsidP="00CA7399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CA7399" w:rsidRPr="00F72C3D">
                <w:rPr>
                  <w:rStyle w:val="Hyperlink"/>
                  <w:szCs w:val="22"/>
                  <w:lang w:val="en-CA"/>
                </w:rPr>
                <w:t>vasily.rufitskiy@huawei.com</w:t>
              </w:r>
            </w:hyperlink>
          </w:p>
          <w:p w:rsidR="00CA7399" w:rsidRPr="005B217D" w:rsidRDefault="00CC6D99" w:rsidP="00CA7399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CA7399" w:rsidRPr="00F72C3D">
                <w:rPr>
                  <w:rStyle w:val="Hyperlink"/>
                  <w:szCs w:val="22"/>
                  <w:lang w:val="en-CA"/>
                </w:rPr>
                <w:t>jianle.chen@huawei.com</w:t>
              </w:r>
            </w:hyperlink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CA7399" w:rsidP="002F56FF">
            <w:pPr>
              <w:spacing w:before="60" w:after="60"/>
              <w:rPr>
                <w:szCs w:val="22"/>
                <w:lang w:val="en-CA"/>
              </w:rPr>
            </w:pPr>
            <w:r w:rsidRPr="00626243">
              <w:rPr>
                <w:szCs w:val="22"/>
                <w:lang w:val="en-CA"/>
              </w:rPr>
              <w:t>Huawei Technologies Co., L</w:t>
            </w:r>
            <w:r w:rsidR="002F56FF">
              <w:rPr>
                <w:szCs w:val="22"/>
                <w:lang w:val="en-CA"/>
              </w:rPr>
              <w:t>td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DE3E0B" w:rsidRPr="009E2559" w:rsidRDefault="00061991" w:rsidP="00061991">
      <w:pPr>
        <w:rPr>
          <w:lang w:val="en-CA"/>
        </w:rPr>
      </w:pPr>
      <w:r>
        <w:rPr>
          <w:lang w:val="en-CA"/>
        </w:rPr>
        <w:t>In test CE3-1.3.1</w:t>
      </w:r>
      <w:r w:rsidR="00A30913">
        <w:rPr>
          <w:lang w:val="en-CA"/>
        </w:rPr>
        <w:t xml:space="preserve"> [1]</w:t>
      </w:r>
      <w:r>
        <w:rPr>
          <w:lang w:val="en-CA"/>
        </w:rPr>
        <w:t xml:space="preserve">, intra prediction from angles extending beyond the traditional 45-degree top-right and </w:t>
      </w:r>
      <w:r w:rsidRPr="009E2559">
        <w:rPr>
          <w:lang w:val="en-CA"/>
        </w:rPr>
        <w:t>bottom-left directions is supported. In this contribution, we propose to change reference sample processing for this technique as compared with CE</w:t>
      </w:r>
      <w:r w:rsidR="007C0455">
        <w:rPr>
          <w:lang w:val="en-CA"/>
        </w:rPr>
        <w:t>3</w:t>
      </w:r>
      <w:r w:rsidRPr="009E2559">
        <w:rPr>
          <w:lang w:val="en-CA"/>
        </w:rPr>
        <w:t xml:space="preserve">-1.3.1. In particular, reference sample buffer used for intra-prediction was extended and reference sample smoothing was added. On top of VTM, the simulation results for this technique reportedly show </w:t>
      </w:r>
      <w:r w:rsidR="00574041" w:rsidRPr="009E2559">
        <w:rPr>
          <w:lang w:val="en-CA"/>
        </w:rPr>
        <w:t>-</w:t>
      </w:r>
      <w:r w:rsidRPr="009E2559">
        <w:rPr>
          <w:lang w:val="en-CA"/>
        </w:rPr>
        <w:t>0.</w:t>
      </w:r>
      <w:r w:rsidR="004D0398" w:rsidRPr="009E2559">
        <w:rPr>
          <w:lang w:val="en-CA"/>
        </w:rPr>
        <w:t>35</w:t>
      </w:r>
      <w:r w:rsidRPr="009E2559">
        <w:rPr>
          <w:lang w:val="en-CA"/>
        </w:rPr>
        <w:t xml:space="preserve">% </w:t>
      </w:r>
      <w:r w:rsidR="00AF591F" w:rsidRPr="009E2559">
        <w:rPr>
          <w:lang w:val="en-CA"/>
        </w:rPr>
        <w:t xml:space="preserve">luma </w:t>
      </w:r>
      <w:r w:rsidRPr="009E2559">
        <w:rPr>
          <w:lang w:val="en-CA"/>
        </w:rPr>
        <w:t xml:space="preserve">BD-rate savings for All Intra (AI) configuration, and </w:t>
      </w:r>
      <w:r w:rsidR="00AF591F" w:rsidRPr="009E2559">
        <w:rPr>
          <w:lang w:val="en-CA"/>
        </w:rPr>
        <w:noBreakHyphen/>
      </w:r>
      <w:r w:rsidRPr="009E2559">
        <w:rPr>
          <w:lang w:val="en-CA"/>
        </w:rPr>
        <w:t>0.</w:t>
      </w:r>
      <w:r w:rsidR="009445CF" w:rsidRPr="009E2559">
        <w:rPr>
          <w:lang w:val="en-CA"/>
        </w:rPr>
        <w:t>20</w:t>
      </w:r>
      <w:r w:rsidRPr="009E2559">
        <w:rPr>
          <w:lang w:val="en-CA"/>
        </w:rPr>
        <w:t>%</w:t>
      </w:r>
      <w:r w:rsidR="00AF591F" w:rsidRPr="009E2559">
        <w:rPr>
          <w:lang w:val="en-CA"/>
        </w:rPr>
        <w:t xml:space="preserve"> luma</w:t>
      </w:r>
      <w:r w:rsidRPr="009E2559">
        <w:rPr>
          <w:lang w:val="en-CA"/>
        </w:rPr>
        <w:t xml:space="preserve"> BD-rate savings for Random Access (RA) configuration</w:t>
      </w:r>
      <w:r w:rsidR="00F309C0" w:rsidRPr="009E2559">
        <w:rPr>
          <w:lang w:val="en-CA"/>
        </w:rPr>
        <w:t>.</w:t>
      </w:r>
    </w:p>
    <w:p w:rsidR="00061991" w:rsidRDefault="00DE3E0B" w:rsidP="00061991">
      <w:pPr>
        <w:rPr>
          <w:lang w:val="en-CA"/>
        </w:rPr>
      </w:pPr>
      <w:r w:rsidRPr="009E2559">
        <w:rPr>
          <w:lang w:val="en-CA"/>
        </w:rPr>
        <w:t xml:space="preserve">Another technique is aimed at </w:t>
      </w:r>
      <w:r w:rsidR="00061991" w:rsidRPr="009E2559">
        <w:rPr>
          <w:lang w:val="en-CA"/>
        </w:rPr>
        <w:t>encoder-side complexity</w:t>
      </w:r>
      <w:r w:rsidRPr="009E2559">
        <w:rPr>
          <w:lang w:val="en-CA"/>
        </w:rPr>
        <w:t xml:space="preserve"> reduction.</w:t>
      </w:r>
      <w:r w:rsidR="00061991" w:rsidRPr="009E2559">
        <w:rPr>
          <w:lang w:val="en-CA"/>
        </w:rPr>
        <w:t xml:space="preserve"> </w:t>
      </w:r>
      <w:r w:rsidRPr="009E2559">
        <w:rPr>
          <w:lang w:val="en-CA"/>
        </w:rPr>
        <w:t>T</w:t>
      </w:r>
      <w:r w:rsidR="00061991" w:rsidRPr="009E2559">
        <w:rPr>
          <w:lang w:val="en-CA"/>
        </w:rPr>
        <w:t xml:space="preserve">he availability of reference samples can be checked to decide whether the directional intra-prediction mode set should be extended or not. On top of VTM, the simulation results for this modification reportedly show </w:t>
      </w:r>
      <w:r w:rsidR="009E2559" w:rsidRPr="009E2559">
        <w:rPr>
          <w:lang w:val="en-CA"/>
        </w:rPr>
        <w:t>-</w:t>
      </w:r>
      <w:r w:rsidR="00061991" w:rsidRPr="009E2559">
        <w:rPr>
          <w:lang w:val="en-CA"/>
        </w:rPr>
        <w:t>0.</w:t>
      </w:r>
      <w:r w:rsidR="008935A3" w:rsidRPr="009E2559">
        <w:rPr>
          <w:lang w:val="en-CA"/>
        </w:rPr>
        <w:t>36</w:t>
      </w:r>
      <w:r w:rsidR="00061991" w:rsidRPr="009E2559">
        <w:rPr>
          <w:lang w:val="en-CA"/>
        </w:rPr>
        <w:t>%</w:t>
      </w:r>
      <w:r w:rsidR="009E2559" w:rsidRPr="009E2559">
        <w:rPr>
          <w:lang w:val="en-CA"/>
        </w:rPr>
        <w:t xml:space="preserve"> of luma</w:t>
      </w:r>
      <w:r w:rsidR="00061991" w:rsidRPr="009E2559">
        <w:rPr>
          <w:lang w:val="en-CA"/>
        </w:rPr>
        <w:t xml:space="preserve"> BD-rate savings for All Intra (AI) configuration with </w:t>
      </w:r>
      <w:r w:rsidR="00FF5B91" w:rsidRPr="009E2559">
        <w:rPr>
          <w:lang w:val="en-CA"/>
        </w:rPr>
        <w:t>2</w:t>
      </w:r>
      <w:r w:rsidR="00061991" w:rsidRPr="009E2559">
        <w:rPr>
          <w:lang w:val="en-CA"/>
        </w:rPr>
        <w:t xml:space="preserve">% encoding time </w:t>
      </w:r>
      <w:r w:rsidR="00FF5B91" w:rsidRPr="009E2559">
        <w:rPr>
          <w:lang w:val="en-CA"/>
        </w:rPr>
        <w:t>reduction on average</w:t>
      </w:r>
      <w:r w:rsidR="00061991" w:rsidRPr="009E2559">
        <w:rPr>
          <w:lang w:val="en-CA"/>
        </w:rPr>
        <w:t xml:space="preserve">, and </w:t>
      </w:r>
      <w:r w:rsidR="009E2559" w:rsidRPr="009E2559">
        <w:rPr>
          <w:lang w:val="en-CA"/>
        </w:rPr>
        <w:t>-</w:t>
      </w:r>
      <w:r w:rsidR="00061991" w:rsidRPr="009E2559">
        <w:rPr>
          <w:lang w:val="en-CA"/>
        </w:rPr>
        <w:t>0.</w:t>
      </w:r>
      <w:r w:rsidR="00FF5B91" w:rsidRPr="009E2559">
        <w:rPr>
          <w:lang w:val="en-CA"/>
        </w:rPr>
        <w:t>22</w:t>
      </w:r>
      <w:r w:rsidR="00061991" w:rsidRPr="009E2559">
        <w:rPr>
          <w:lang w:val="en-CA"/>
        </w:rPr>
        <w:t>%</w:t>
      </w:r>
      <w:r w:rsidR="009E2559" w:rsidRPr="009E2559">
        <w:rPr>
          <w:lang w:val="en-CA"/>
        </w:rPr>
        <w:t xml:space="preserve"> of luma</w:t>
      </w:r>
      <w:r w:rsidR="00061991" w:rsidRPr="009E2559">
        <w:rPr>
          <w:lang w:val="en-CA"/>
        </w:rPr>
        <w:t xml:space="preserve"> BD-rate savings for Random Access (RA) configuration with </w:t>
      </w:r>
      <w:r w:rsidR="00FF5B91" w:rsidRPr="009E2559">
        <w:rPr>
          <w:lang w:val="en-CA"/>
        </w:rPr>
        <w:t>1</w:t>
      </w:r>
      <w:r w:rsidR="00061991" w:rsidRPr="009E2559">
        <w:rPr>
          <w:lang w:val="en-CA"/>
        </w:rPr>
        <w:t xml:space="preserve">% encoding time </w:t>
      </w:r>
      <w:r w:rsidR="00FF5B91" w:rsidRPr="009E2559">
        <w:rPr>
          <w:lang w:val="en-CA"/>
        </w:rPr>
        <w:t xml:space="preserve">reduction </w:t>
      </w:r>
      <w:r w:rsidR="00061991" w:rsidRPr="009E2559">
        <w:rPr>
          <w:lang w:val="en-CA"/>
        </w:rPr>
        <w:t>on average.</w:t>
      </w: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</w:t>
      </w:r>
      <w:r w:rsidR="002115E4">
        <w:rPr>
          <w:lang w:val="en-CA"/>
        </w:rPr>
        <w:t>troduction</w:t>
      </w:r>
    </w:p>
    <w:p w:rsidR="00C40B30" w:rsidRDefault="002115E4" w:rsidP="004234F0">
      <w:pPr>
        <w:rPr>
          <w:szCs w:val="22"/>
          <w:lang w:val="en-CA"/>
        </w:rPr>
      </w:pPr>
      <w:r>
        <w:rPr>
          <w:lang w:val="en-CA"/>
        </w:rPr>
        <w:t xml:space="preserve">In test CE3-1.3.1 [1], intra prediction from angles extending beyond the traditional 45-degree top-right and bottom-left directions is supported. This contribution presents </w:t>
      </w:r>
      <w:r w:rsidR="004D086F">
        <w:rPr>
          <w:lang w:val="en-CA"/>
        </w:rPr>
        <w:t>two</w:t>
      </w:r>
      <w:r>
        <w:rPr>
          <w:lang w:val="en-CA"/>
        </w:rPr>
        <w:t xml:space="preserve"> mechanisms of reference sample processing </w:t>
      </w:r>
      <w:r w:rsidR="004D086F">
        <w:rPr>
          <w:lang w:val="en-CA"/>
        </w:rPr>
        <w:t xml:space="preserve">applied to </w:t>
      </w:r>
      <w:r w:rsidR="00B03A3B">
        <w:rPr>
          <w:lang w:val="en-CA"/>
        </w:rPr>
        <w:t>the</w:t>
      </w:r>
      <w:r>
        <w:rPr>
          <w:lang w:val="en-CA"/>
        </w:rPr>
        <w:t xml:space="preserve"> </w:t>
      </w:r>
      <w:r w:rsidR="00165DD1">
        <w:rPr>
          <w:lang w:val="en-CA"/>
        </w:rPr>
        <w:t xml:space="preserve">tool studied in </w:t>
      </w:r>
      <w:r>
        <w:rPr>
          <w:lang w:val="en-CA"/>
        </w:rPr>
        <w:t>CE-1.3.1.</w:t>
      </w:r>
    </w:p>
    <w:p w:rsidR="00AE73E4" w:rsidRDefault="00AE73E4" w:rsidP="00AE73E4">
      <w:pPr>
        <w:pStyle w:val="Heading1"/>
        <w:rPr>
          <w:lang w:val="en-CA"/>
        </w:rPr>
      </w:pPr>
      <w:r>
        <w:rPr>
          <w:lang w:val="en-CA"/>
        </w:rPr>
        <w:t>Proposed techniques</w:t>
      </w:r>
    </w:p>
    <w:p w:rsidR="00C40B30" w:rsidRPr="00E22EE8" w:rsidRDefault="00C40B30" w:rsidP="00C40B30">
      <w:pPr>
        <w:rPr>
          <w:lang w:val="en-CA"/>
        </w:rPr>
      </w:pPr>
      <w:r>
        <w:rPr>
          <w:lang w:val="en-CA"/>
        </w:rPr>
        <w:t xml:space="preserve">The proposed </w:t>
      </w:r>
      <w:r w:rsidR="00E22EE8">
        <w:rPr>
          <w:lang w:val="en-CA"/>
        </w:rPr>
        <w:t xml:space="preserve">mechanisms modify reference sample processing steps for wide-angular intra prediction. </w:t>
      </w:r>
    </w:p>
    <w:p w:rsidR="00C65E74" w:rsidRDefault="00A769E6" w:rsidP="00AE73E4">
      <w:pPr>
        <w:rPr>
          <w:rFonts w:eastAsia="DengXian"/>
          <w:b/>
          <w:bCs/>
          <w:iCs/>
          <w:sz w:val="24"/>
          <w:szCs w:val="24"/>
          <w:lang w:val="en-CA"/>
        </w:rPr>
      </w:pPr>
      <w:r>
        <w:rPr>
          <w:rFonts w:eastAsia="DengXian"/>
          <w:b/>
          <w:bCs/>
          <w:iCs/>
          <w:sz w:val="24"/>
          <w:szCs w:val="24"/>
          <w:lang w:val="en-CA"/>
        </w:rPr>
        <w:t>2.1. Extending reference sample</w:t>
      </w:r>
      <w:r w:rsidR="00C65E74">
        <w:rPr>
          <w:rFonts w:eastAsia="DengXian"/>
          <w:b/>
          <w:bCs/>
          <w:iCs/>
          <w:sz w:val="24"/>
          <w:szCs w:val="24"/>
          <w:lang w:val="en-CA"/>
        </w:rPr>
        <w:t xml:space="preserve"> buffer</w:t>
      </w:r>
    </w:p>
    <w:p w:rsidR="007555E8" w:rsidRDefault="00B55B83" w:rsidP="00AE73E4">
      <w:r>
        <w:rPr>
          <w:lang w:val="en-CA"/>
        </w:rPr>
        <w:t xml:space="preserve">The tool in CE-1.3.1 pads </w:t>
      </w:r>
      <w:r>
        <w:t>reference samples that are outside of the existing reference sample arrays</w:t>
      </w:r>
      <w:r w:rsidR="00B4467C">
        <w:t>. Size of these arrays</w:t>
      </w:r>
      <w:r>
        <w:t xml:space="preserve"> that have a length equal to </w:t>
      </w:r>
      <w:r w:rsidR="00B4467C">
        <w:t xml:space="preserve">a sum of </w:t>
      </w:r>
      <w:r>
        <w:t>width</w:t>
      </w:r>
      <w:r w:rsidR="00B4467C">
        <w:t xml:space="preserve"> and </w:t>
      </w:r>
      <w:r>
        <w:t>height</w:t>
      </w:r>
      <w:r w:rsidR="00C91B94">
        <w:t xml:space="preserve"> plus one</w:t>
      </w:r>
      <w:r>
        <w:t>.</w:t>
      </w:r>
    </w:p>
    <w:p w:rsidR="00B4467C" w:rsidRPr="00B4467C" w:rsidRDefault="00B4467C" w:rsidP="00AE73E4">
      <w:r>
        <w:t xml:space="preserve">However, for the case of wide-angular prediction, </w:t>
      </w:r>
      <w:r w:rsidR="009447F8">
        <w:t xml:space="preserve">more neighboring samples </w:t>
      </w:r>
      <w:r w:rsidR="004E44E6">
        <w:t xml:space="preserve">could be utilized, as it is shown in </w:t>
      </w:r>
      <w:r w:rsidR="007555E8">
        <w:t>Figure 1.</w:t>
      </w:r>
    </w:p>
    <w:p w:rsidR="00C40B30" w:rsidRDefault="00C40B30" w:rsidP="00850DA0">
      <w:pPr>
        <w:jc w:val="center"/>
        <w:rPr>
          <w:szCs w:val="22"/>
          <w:lang w:val="en-CA"/>
        </w:rPr>
      </w:pPr>
      <w:r>
        <w:rPr>
          <w:noProof/>
          <w:szCs w:val="22"/>
        </w:rPr>
        <w:lastRenderedPageBreak/>
        <w:drawing>
          <wp:inline distT="0" distB="0" distL="0" distR="0" wp14:anchorId="303CBD8F" wp14:editId="0178F434">
            <wp:extent cx="4493260" cy="5292090"/>
            <wp:effectExtent l="0" t="0" r="2540" b="381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3260" cy="5292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E44E6" w:rsidRDefault="004E44E6" w:rsidP="00850DA0">
      <w:pPr>
        <w:jc w:val="center"/>
      </w:pPr>
      <w:r>
        <w:t>Fig. 1 Extending reference sample buffer</w:t>
      </w:r>
    </w:p>
    <w:p w:rsidR="000F7F2C" w:rsidRPr="006435DE" w:rsidRDefault="00401879" w:rsidP="00401879">
      <w:pPr>
        <w:spacing w:before="240"/>
        <w:rPr>
          <w:szCs w:val="22"/>
        </w:rPr>
      </w:pPr>
      <w:r>
        <w:rPr>
          <w:szCs w:val="22"/>
          <w:lang w:val="en-CA"/>
        </w:rPr>
        <w:t xml:space="preserve">This mechanism increases the </w:t>
      </w:r>
      <w:r w:rsidR="00602B87">
        <w:rPr>
          <w:szCs w:val="22"/>
          <w:lang w:val="en-CA"/>
        </w:rPr>
        <w:t>le</w:t>
      </w:r>
      <w:r w:rsidR="00F21EB1">
        <w:rPr>
          <w:szCs w:val="22"/>
          <w:lang w:val="en-CA"/>
        </w:rPr>
        <w:t xml:space="preserve">ngth of </w:t>
      </w:r>
      <w:r>
        <w:rPr>
          <w:szCs w:val="22"/>
          <w:lang w:val="en-CA"/>
        </w:rPr>
        <w:t>reference sample</w:t>
      </w:r>
      <w:r w:rsidR="00F21EB1">
        <w:rPr>
          <w:szCs w:val="22"/>
          <w:lang w:val="en-CA"/>
        </w:rPr>
        <w:t xml:space="preserve"> buffer up</w:t>
      </w:r>
      <w:r>
        <w:rPr>
          <w:szCs w:val="22"/>
          <w:lang w:val="en-CA"/>
        </w:rPr>
        <w:t xml:space="preserve"> to 2*</w:t>
      </w:r>
      <w:proofErr w:type="gramStart"/>
      <w:r>
        <w:rPr>
          <w:szCs w:val="22"/>
          <w:lang w:val="en-CA"/>
        </w:rPr>
        <w:t>max(</w:t>
      </w:r>
      <w:proofErr w:type="spellStart"/>
      <w:proofErr w:type="gramEnd"/>
      <w:r>
        <w:rPr>
          <w:szCs w:val="22"/>
          <w:lang w:val="en-CA"/>
        </w:rPr>
        <w:t>width,height</w:t>
      </w:r>
      <w:proofErr w:type="spellEnd"/>
      <w:r>
        <w:rPr>
          <w:szCs w:val="22"/>
          <w:lang w:val="en-CA"/>
        </w:rPr>
        <w:t>)+</w:t>
      </w:r>
      <w:r w:rsidR="00602B87" w:rsidRPr="00602B87">
        <w:rPr>
          <w:szCs w:val="22"/>
          <w:lang w:val="en-CA"/>
        </w:rPr>
        <w:t xml:space="preserve"> </w:t>
      </w:r>
      <w:r w:rsidR="00602B87">
        <w:rPr>
          <w:szCs w:val="22"/>
          <w:lang w:val="en-CA"/>
        </w:rPr>
        <w:t>width+height+</w:t>
      </w:r>
      <w:r>
        <w:rPr>
          <w:szCs w:val="22"/>
          <w:lang w:val="en-CA"/>
        </w:rPr>
        <w:t>1.</w:t>
      </w:r>
      <w:r w:rsidR="006435DE">
        <w:rPr>
          <w:szCs w:val="22"/>
          <w:lang w:val="en-CA"/>
        </w:rPr>
        <w:t xml:space="preserve"> </w:t>
      </w:r>
      <w:r w:rsidR="006435DE" w:rsidRPr="006435DE">
        <w:rPr>
          <w:szCs w:val="22"/>
          <w:lang w:val="en-CA"/>
        </w:rPr>
        <w:t xml:space="preserve">The maximum size of a reference samples buffer </w:t>
      </w:r>
      <w:proofErr w:type="gramStart"/>
      <w:r w:rsidR="006435DE" w:rsidRPr="006435DE">
        <w:rPr>
          <w:szCs w:val="22"/>
          <w:lang w:val="en-CA"/>
        </w:rPr>
        <w:t>is not increased</w:t>
      </w:r>
      <w:proofErr w:type="gramEnd"/>
      <w:r w:rsidR="006435DE">
        <w:rPr>
          <w:szCs w:val="22"/>
          <w:lang w:val="en-CA"/>
        </w:rPr>
        <w:t xml:space="preserve"> by this modification.</w:t>
      </w:r>
    </w:p>
    <w:p w:rsidR="000F7F2C" w:rsidRDefault="000F7F2C" w:rsidP="00401879">
      <w:pPr>
        <w:spacing w:before="240"/>
        <w:rPr>
          <w:szCs w:val="22"/>
          <w:lang w:val="en-CA"/>
        </w:rPr>
      </w:pPr>
      <w:r>
        <w:rPr>
          <w:szCs w:val="22"/>
          <w:lang w:val="en-CA"/>
        </w:rPr>
        <w:t xml:space="preserve">Another modification proposed in this mechanism is enabling reference sample smoothing when wide angular flag </w:t>
      </w:r>
      <w:r w:rsidR="00F21EB1">
        <w:rPr>
          <w:szCs w:val="22"/>
          <w:lang w:val="en-CA"/>
        </w:rPr>
        <w:t xml:space="preserve">value </w:t>
      </w:r>
      <w:proofErr w:type="gramStart"/>
      <w:r w:rsidR="00F21EB1">
        <w:rPr>
          <w:szCs w:val="22"/>
          <w:lang w:val="en-CA"/>
        </w:rPr>
        <w:t>is enabled</w:t>
      </w:r>
      <w:proofErr w:type="gramEnd"/>
      <w:r w:rsidR="00F21EB1">
        <w:rPr>
          <w:szCs w:val="22"/>
          <w:lang w:val="en-CA"/>
        </w:rPr>
        <w:t xml:space="preserve">. This </w:t>
      </w:r>
      <w:r>
        <w:rPr>
          <w:szCs w:val="22"/>
          <w:lang w:val="en-CA"/>
        </w:rPr>
        <w:t>alleviate</w:t>
      </w:r>
      <w:r w:rsidR="00F21EB1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the problem of discontinuity shown in Figure 2. </w:t>
      </w:r>
    </w:p>
    <w:p w:rsidR="000F7F2C" w:rsidRDefault="000F7F2C" w:rsidP="000F7F2C">
      <w:pPr>
        <w:spacing w:before="240"/>
        <w:jc w:val="center"/>
      </w:pPr>
      <w:r>
        <w:object w:dxaOrig="5865" w:dyaOrig="31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3.35pt;height:159.6pt" o:ole="">
            <v:imagedata r:id="rId13" o:title=""/>
          </v:shape>
          <o:OLEObject Type="Embed" ProgID="Visio.Drawing.15" ShapeID="_x0000_i1025" DrawAspect="Content" ObjectID="_1592642943" r:id="rId14"/>
        </w:object>
      </w:r>
    </w:p>
    <w:p w:rsidR="000F7F2C" w:rsidRDefault="000F7F2C" w:rsidP="000F7F2C">
      <w:pPr>
        <w:jc w:val="center"/>
      </w:pPr>
      <w:r>
        <w:t>Fig. 2 Problem of discontinuity in case of wide angular prediction.</w:t>
      </w:r>
    </w:p>
    <w:p w:rsidR="000F7F2C" w:rsidRDefault="000F7F2C" w:rsidP="000F7F2C">
      <w:r>
        <w:lastRenderedPageBreak/>
        <w:t>It could be noticed that two vertically-adjacent predicted samples may use two non-adjacent reference samples. Hence, applying low-pass reference samples filter reduces the negative effect of the increased gap</w:t>
      </w:r>
      <w:r w:rsidR="00DA5E02">
        <w:t> </w:t>
      </w:r>
      <w:r>
        <w:rPr>
          <w:rFonts w:ascii="Arial" w:hAnsi="Arial" w:cs="Arial"/>
          <w:color w:val="000000"/>
          <w:sz w:val="24"/>
          <w:szCs w:val="24"/>
        </w:rPr>
        <w:t>∆p</w:t>
      </w:r>
      <w:r>
        <w:rPr>
          <w:rFonts w:ascii="Arial" w:hAnsi="Arial" w:cs="Arial"/>
          <w:color w:val="000000"/>
          <w:sz w:val="24"/>
          <w:szCs w:val="24"/>
          <w:vertAlign w:val="subscript"/>
        </w:rPr>
        <w:t>α</w:t>
      </w:r>
      <w:r w:rsidRPr="005645C5">
        <w:rPr>
          <w:rFonts w:ascii="Arial" w:hAnsi="Arial" w:cs="Arial"/>
          <w:color w:val="000000"/>
          <w:sz w:val="24"/>
          <w:szCs w:val="24"/>
        </w:rPr>
        <w:t>.</w:t>
      </w:r>
    </w:p>
    <w:p w:rsidR="000F7F2C" w:rsidRDefault="000F7F2C" w:rsidP="00DA5E02">
      <w:pPr>
        <w:spacing w:before="240"/>
      </w:pPr>
    </w:p>
    <w:p w:rsidR="000C7DB9" w:rsidRDefault="000C7DB9" w:rsidP="000C7DB9">
      <w:pPr>
        <w:rPr>
          <w:rFonts w:eastAsia="DengXian"/>
          <w:b/>
          <w:bCs/>
          <w:iCs/>
          <w:sz w:val="24"/>
          <w:szCs w:val="24"/>
          <w:lang w:val="en-CA"/>
        </w:rPr>
      </w:pPr>
      <w:r>
        <w:rPr>
          <w:rFonts w:eastAsia="DengXian"/>
          <w:b/>
          <w:bCs/>
          <w:iCs/>
          <w:sz w:val="24"/>
          <w:szCs w:val="24"/>
          <w:lang w:val="en-CA"/>
        </w:rPr>
        <w:t>2.2. Checking availability of reference samples</w:t>
      </w:r>
    </w:p>
    <w:p w:rsidR="00AE73E4" w:rsidRDefault="006470ED" w:rsidP="0025281F">
      <w:pPr>
        <w:spacing w:before="240"/>
      </w:pPr>
      <w:r>
        <w:t>This mechanism consists in disabling wide</w:t>
      </w:r>
      <w:r w:rsidR="00DF31E0">
        <w:t>-</w:t>
      </w:r>
      <w:r>
        <w:t>angl</w:t>
      </w:r>
      <w:r w:rsidR="00DF31E0">
        <w:t>e</w:t>
      </w:r>
      <w:r>
        <w:t xml:space="preserve"> prediction for the cases when</w:t>
      </w:r>
      <w:r w:rsidR="00DF31E0">
        <w:t xml:space="preserve"> reference</w:t>
      </w:r>
      <w:r>
        <w:t xml:space="preserve"> samples are </w:t>
      </w:r>
      <w:r w:rsidR="00DF31E0">
        <w:t>unavailable.</w:t>
      </w:r>
    </w:p>
    <w:p w:rsidR="0025281F" w:rsidRDefault="0025281F" w:rsidP="0025281F">
      <w:pPr>
        <w:spacing w:before="240"/>
        <w:rPr>
          <w:lang w:val="en-CA"/>
        </w:rPr>
      </w:pPr>
    </w:p>
    <w:p w:rsidR="00470197" w:rsidRPr="00D400EE" w:rsidRDefault="00470197" w:rsidP="0047019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Experimental Results</w:t>
      </w:r>
    </w:p>
    <w:p w:rsidR="00CD2095" w:rsidRDefault="00470197" w:rsidP="00470197">
      <w:pPr>
        <w:spacing w:after="120"/>
        <w:rPr>
          <w:lang w:val="en-CA"/>
        </w:rPr>
      </w:pPr>
      <w:r>
        <w:rPr>
          <w:lang w:val="en-CA"/>
        </w:rPr>
        <w:t xml:space="preserve">Both proposed </w:t>
      </w:r>
      <w:r w:rsidR="0025281F">
        <w:rPr>
          <w:lang w:val="en-CA"/>
        </w:rPr>
        <w:t>mechanisms</w:t>
      </w:r>
      <w:r>
        <w:rPr>
          <w:lang w:val="en-CA"/>
        </w:rPr>
        <w:t xml:space="preserve"> are implemented on top of VTM-1.0 and BMS-1.0. The experimental results of All Intra and Random Access configurations for</w:t>
      </w:r>
      <w:r w:rsidR="0025281F">
        <w:rPr>
          <w:lang w:val="en-CA"/>
        </w:rPr>
        <w:t xml:space="preserve"> </w:t>
      </w:r>
      <w:r w:rsidR="00672AEE">
        <w:rPr>
          <w:lang w:val="en-CA"/>
        </w:rPr>
        <w:t>the 1</w:t>
      </w:r>
      <w:r w:rsidR="00672AEE" w:rsidRPr="00672AEE">
        <w:rPr>
          <w:vertAlign w:val="superscript"/>
          <w:lang w:val="en-CA"/>
        </w:rPr>
        <w:t>st</w:t>
      </w:r>
      <w:r w:rsidR="00672AEE">
        <w:rPr>
          <w:lang w:val="en-CA"/>
        </w:rPr>
        <w:t xml:space="preserve"> aspect</w:t>
      </w:r>
      <w:r w:rsidR="0025281F">
        <w:rPr>
          <w:lang w:val="en-CA"/>
        </w:rPr>
        <w:t xml:space="preserve"> is shown in Table 1. </w:t>
      </w:r>
      <w:r w:rsidR="00672AEE">
        <w:rPr>
          <w:lang w:val="en-CA"/>
        </w:rPr>
        <w:t>The m</w:t>
      </w:r>
      <w:r w:rsidR="0025281F">
        <w:rPr>
          <w:lang w:val="en-CA"/>
        </w:rPr>
        <w:t>echani</w:t>
      </w:r>
      <w:r w:rsidR="00672AEE">
        <w:rPr>
          <w:lang w:val="en-CA"/>
        </w:rPr>
        <w:t>sm of checking reference sample</w:t>
      </w:r>
      <w:r w:rsidR="0025281F">
        <w:rPr>
          <w:lang w:val="en-CA"/>
        </w:rPr>
        <w:t xml:space="preserve"> availability being used jointly with the </w:t>
      </w:r>
      <w:r w:rsidR="00672AEE">
        <w:rPr>
          <w:lang w:val="en-CA"/>
        </w:rPr>
        <w:t>1</w:t>
      </w:r>
      <w:r w:rsidR="00672AEE" w:rsidRPr="00672AEE">
        <w:rPr>
          <w:vertAlign w:val="superscript"/>
          <w:lang w:val="en-CA"/>
        </w:rPr>
        <w:t>st</w:t>
      </w:r>
      <w:r w:rsidR="00672AEE">
        <w:rPr>
          <w:lang w:val="en-CA"/>
        </w:rPr>
        <w:t xml:space="preserve"> aspect</w:t>
      </w:r>
      <w:r w:rsidR="00CD2095">
        <w:rPr>
          <w:lang w:val="en-CA"/>
        </w:rPr>
        <w:t xml:space="preserve"> </w:t>
      </w:r>
      <w:r w:rsidR="0025281F">
        <w:rPr>
          <w:lang w:val="en-CA"/>
        </w:rPr>
        <w:t xml:space="preserve">is reported to </w:t>
      </w:r>
      <w:r w:rsidR="00CD2095">
        <w:rPr>
          <w:lang w:val="en-CA"/>
        </w:rPr>
        <w:t xml:space="preserve">provide results as shown in Table 2. </w:t>
      </w:r>
    </w:p>
    <w:p w:rsidR="00470197" w:rsidRPr="00672AEE" w:rsidRDefault="00CD2095" w:rsidP="00470197">
      <w:pPr>
        <w:spacing w:after="120"/>
        <w:rPr>
          <w:szCs w:val="22"/>
          <w:lang w:val="en-CA"/>
        </w:rPr>
      </w:pPr>
      <w:r>
        <w:t>All the</w:t>
      </w:r>
      <w:r w:rsidR="00470197">
        <w:t xml:space="preserve"> simulations </w:t>
      </w:r>
      <w:proofErr w:type="gramStart"/>
      <w:r w:rsidR="00470197">
        <w:t>were performed</w:t>
      </w:r>
      <w:proofErr w:type="gramEnd"/>
      <w:r w:rsidR="00470197">
        <w:t xml:space="preserve"> </w:t>
      </w:r>
      <w:r w:rsidR="003B2426">
        <w:t>in accordance with</w:t>
      </w:r>
      <w:r w:rsidR="00470197">
        <w:t xml:space="preserve"> the JVET CTC </w:t>
      </w:r>
      <w:r w:rsidR="00470197">
        <w:fldChar w:fldCharType="begin"/>
      </w:r>
      <w:r w:rsidR="00470197">
        <w:instrText xml:space="preserve"> REF _Ref451180107 \r \h </w:instrText>
      </w:r>
      <w:r w:rsidR="00470197">
        <w:fldChar w:fldCharType="separate"/>
      </w:r>
      <w:r w:rsidR="00470197">
        <w:t>[2]</w:t>
      </w:r>
      <w:r w:rsidR="00470197">
        <w:fldChar w:fldCharType="end"/>
      </w:r>
      <w:r w:rsidR="00470197">
        <w:t xml:space="preserve">. </w:t>
      </w:r>
      <w:proofErr w:type="gramStart"/>
      <w:r w:rsidR="00470197">
        <w:rPr>
          <w:lang w:val="en-CA"/>
        </w:rPr>
        <w:t>More detail</w:t>
      </w:r>
      <w:r w:rsidR="00E80913">
        <w:rPr>
          <w:lang w:val="en-CA"/>
        </w:rPr>
        <w:t>ed</w:t>
      </w:r>
      <w:r w:rsidR="00470197">
        <w:rPr>
          <w:lang w:val="en-CA"/>
        </w:rPr>
        <w:t xml:space="preserve"> results</w:t>
      </w:r>
      <w:proofErr w:type="gramEnd"/>
      <w:r w:rsidR="00470197">
        <w:rPr>
          <w:lang w:val="en-CA"/>
        </w:rPr>
        <w:t xml:space="preserve"> can be found in the accompanying Excel tables.</w:t>
      </w:r>
    </w:p>
    <w:p w:rsidR="00061991" w:rsidRDefault="00061991" w:rsidP="00061991">
      <w:pPr>
        <w:keepNext/>
        <w:tabs>
          <w:tab w:val="clear" w:pos="360"/>
        </w:tabs>
        <w:spacing w:before="240" w:after="60"/>
        <w:ind w:leftChars="-1" w:left="-1" w:hanging="1"/>
        <w:jc w:val="center"/>
        <w:outlineLvl w:val="1"/>
        <w:rPr>
          <w:rFonts w:eastAsia="DengXian"/>
          <w:b/>
          <w:bCs/>
          <w:iCs/>
          <w:sz w:val="24"/>
          <w:szCs w:val="24"/>
          <w:lang w:val="en-CA"/>
        </w:rPr>
      </w:pPr>
      <w:r w:rsidRPr="00340314">
        <w:rPr>
          <w:rFonts w:eastAsia="DengXian"/>
          <w:b/>
          <w:bCs/>
          <w:iCs/>
          <w:sz w:val="24"/>
          <w:szCs w:val="24"/>
          <w:lang w:val="en-CA"/>
        </w:rPr>
        <w:t xml:space="preserve">Table 1. </w:t>
      </w:r>
      <w:r>
        <w:rPr>
          <w:rFonts w:eastAsia="DengXian"/>
          <w:b/>
          <w:bCs/>
          <w:iCs/>
          <w:sz w:val="24"/>
          <w:szCs w:val="24"/>
          <w:lang w:val="en-CA"/>
        </w:rPr>
        <w:t xml:space="preserve">Experimental results for </w:t>
      </w:r>
      <w:r w:rsidR="000A1424">
        <w:rPr>
          <w:rFonts w:eastAsia="DengXian"/>
          <w:b/>
          <w:bCs/>
          <w:iCs/>
          <w:sz w:val="24"/>
          <w:szCs w:val="24"/>
          <w:lang w:val="en-CA"/>
        </w:rPr>
        <w:t xml:space="preserve">extending </w:t>
      </w:r>
      <w:r>
        <w:rPr>
          <w:rFonts w:eastAsia="DengXian"/>
          <w:b/>
          <w:bCs/>
          <w:iCs/>
          <w:sz w:val="24"/>
          <w:szCs w:val="24"/>
          <w:lang w:val="en-CA"/>
        </w:rPr>
        <w:t>reference samples</w:t>
      </w:r>
      <w:r w:rsidR="000A1424">
        <w:rPr>
          <w:rFonts w:eastAsia="DengXian"/>
          <w:b/>
          <w:bCs/>
          <w:iCs/>
          <w:sz w:val="24"/>
          <w:szCs w:val="24"/>
          <w:lang w:val="en-CA"/>
        </w:rPr>
        <w:t xml:space="preserve"> buffer</w:t>
      </w:r>
      <w:r>
        <w:rPr>
          <w:rFonts w:eastAsia="DengXian"/>
          <w:b/>
          <w:bCs/>
          <w:iCs/>
          <w:sz w:val="24"/>
          <w:szCs w:val="24"/>
          <w:lang w:val="en-CA"/>
        </w:rPr>
        <w:t xml:space="preserve"> (CTC)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52"/>
        <w:gridCol w:w="872"/>
        <w:gridCol w:w="872"/>
        <w:gridCol w:w="872"/>
        <w:gridCol w:w="714"/>
        <w:gridCol w:w="714"/>
        <w:gridCol w:w="872"/>
        <w:gridCol w:w="872"/>
        <w:gridCol w:w="872"/>
        <w:gridCol w:w="714"/>
        <w:gridCol w:w="714"/>
      </w:tblGrid>
      <w:tr w:rsidR="000108CF" w:rsidRPr="000108CF" w:rsidTr="000108CF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108CF" w:rsidRPr="000108CF" w:rsidTr="000108CF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BMS-1.0</w:t>
            </w:r>
          </w:p>
        </w:tc>
      </w:tr>
      <w:tr w:rsidR="000108CF" w:rsidRPr="000108CF" w:rsidTr="000108CF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108CF" w:rsidRPr="000108CF" w:rsidTr="000108CF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108CF" w:rsidRPr="000108CF" w:rsidTr="000108CF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108CF" w:rsidRPr="000108CF" w:rsidTr="000108CF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108CF" w:rsidRPr="000108CF" w:rsidTr="000108CF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108CF" w:rsidRPr="000108CF" w:rsidTr="000108CF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108CF" w:rsidRPr="000108CF" w:rsidTr="000108CF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108CF" w:rsidRPr="000108CF" w:rsidTr="000108CF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108CF" w:rsidRPr="000108CF" w:rsidTr="000108CF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0108CF" w:rsidRPr="000108CF" w:rsidTr="000108CF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108CF" w:rsidRPr="000108CF" w:rsidTr="000108CF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BMS-1.0</w:t>
            </w:r>
          </w:p>
        </w:tc>
      </w:tr>
      <w:tr w:rsidR="000108CF" w:rsidRPr="000108CF" w:rsidTr="000108CF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108CF" w:rsidRPr="000108CF" w:rsidTr="000108CF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108CF" w:rsidRPr="000108CF" w:rsidTr="000108CF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108CF" w:rsidRPr="000108CF" w:rsidTr="000108CF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108CF" w:rsidRPr="000108CF" w:rsidTr="000108CF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108CF" w:rsidRPr="000108CF" w:rsidTr="000108CF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108CF" w:rsidRPr="000108CF" w:rsidTr="000108CF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108CF" w:rsidRPr="000108CF" w:rsidTr="000108CF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8CF" w:rsidRPr="000108CF" w:rsidRDefault="000108CF" w:rsidP="0001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08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:rsidR="002563F6" w:rsidRDefault="002563F6" w:rsidP="006A488B">
      <w:pPr>
        <w:keepNext/>
        <w:tabs>
          <w:tab w:val="clear" w:pos="360"/>
        </w:tabs>
        <w:spacing w:before="240" w:after="60"/>
        <w:ind w:leftChars="-1" w:left="-1" w:hanging="1"/>
        <w:jc w:val="center"/>
        <w:outlineLvl w:val="1"/>
        <w:rPr>
          <w:rFonts w:eastAsia="DengXian"/>
          <w:b/>
          <w:bCs/>
          <w:iCs/>
          <w:sz w:val="24"/>
          <w:szCs w:val="24"/>
          <w:lang w:val="en-CA"/>
        </w:rPr>
      </w:pPr>
    </w:p>
    <w:p w:rsidR="002563F6" w:rsidRDefault="002563F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DengXian"/>
          <w:b/>
          <w:bCs/>
          <w:iCs/>
          <w:sz w:val="24"/>
          <w:szCs w:val="24"/>
          <w:lang w:val="en-CA"/>
        </w:rPr>
      </w:pPr>
      <w:r>
        <w:rPr>
          <w:rFonts w:eastAsia="DengXian"/>
          <w:b/>
          <w:bCs/>
          <w:iCs/>
          <w:sz w:val="24"/>
          <w:szCs w:val="24"/>
          <w:lang w:val="en-CA"/>
        </w:rPr>
        <w:br w:type="page"/>
      </w:r>
    </w:p>
    <w:p w:rsidR="006A488B" w:rsidRDefault="006A488B" w:rsidP="006A488B">
      <w:pPr>
        <w:keepNext/>
        <w:tabs>
          <w:tab w:val="clear" w:pos="360"/>
        </w:tabs>
        <w:spacing w:before="240" w:after="60"/>
        <w:ind w:leftChars="-1" w:left="-1" w:hanging="1"/>
        <w:jc w:val="center"/>
        <w:outlineLvl w:val="1"/>
        <w:rPr>
          <w:rFonts w:eastAsia="DengXian"/>
          <w:b/>
          <w:bCs/>
          <w:iCs/>
          <w:sz w:val="24"/>
          <w:szCs w:val="24"/>
          <w:lang w:val="en-CA"/>
        </w:rPr>
      </w:pPr>
      <w:bookmarkStart w:id="0" w:name="_GoBack"/>
      <w:bookmarkEnd w:id="0"/>
      <w:r w:rsidRPr="00340314">
        <w:rPr>
          <w:rFonts w:eastAsia="DengXian"/>
          <w:b/>
          <w:bCs/>
          <w:iCs/>
          <w:sz w:val="24"/>
          <w:szCs w:val="24"/>
          <w:lang w:val="en-CA"/>
        </w:rPr>
        <w:lastRenderedPageBreak/>
        <w:t xml:space="preserve">Table </w:t>
      </w:r>
      <w:r w:rsidR="00CE53A3">
        <w:rPr>
          <w:rFonts w:eastAsia="DengXian"/>
          <w:b/>
          <w:bCs/>
          <w:iCs/>
          <w:sz w:val="24"/>
          <w:szCs w:val="24"/>
          <w:lang w:val="en-CA"/>
        </w:rPr>
        <w:t>2</w:t>
      </w:r>
      <w:r w:rsidRPr="00340314">
        <w:rPr>
          <w:rFonts w:eastAsia="DengXian"/>
          <w:b/>
          <w:bCs/>
          <w:iCs/>
          <w:sz w:val="24"/>
          <w:szCs w:val="24"/>
          <w:lang w:val="en-CA"/>
        </w:rPr>
        <w:t xml:space="preserve">. </w:t>
      </w:r>
      <w:r>
        <w:rPr>
          <w:rFonts w:eastAsia="DengXian"/>
          <w:b/>
          <w:bCs/>
          <w:iCs/>
          <w:sz w:val="24"/>
          <w:szCs w:val="24"/>
          <w:lang w:val="en-CA"/>
        </w:rPr>
        <w:t>Experimental results for extending reference samples buffer</w:t>
      </w:r>
      <w:r w:rsidR="000B5CF8">
        <w:rPr>
          <w:rFonts w:eastAsia="DengXian"/>
          <w:b/>
          <w:bCs/>
          <w:iCs/>
          <w:sz w:val="24"/>
          <w:szCs w:val="24"/>
          <w:lang w:val="en-CA"/>
        </w:rPr>
        <w:t xml:space="preserve"> and reference samples availability checking</w:t>
      </w:r>
      <w:r>
        <w:rPr>
          <w:rFonts w:eastAsia="DengXian"/>
          <w:b/>
          <w:bCs/>
          <w:iCs/>
          <w:sz w:val="24"/>
          <w:szCs w:val="24"/>
          <w:lang w:val="en-CA"/>
        </w:rPr>
        <w:t xml:space="preserve"> (CTC)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52"/>
        <w:gridCol w:w="872"/>
        <w:gridCol w:w="872"/>
        <w:gridCol w:w="872"/>
        <w:gridCol w:w="714"/>
        <w:gridCol w:w="714"/>
        <w:gridCol w:w="872"/>
        <w:gridCol w:w="872"/>
        <w:gridCol w:w="872"/>
        <w:gridCol w:w="714"/>
        <w:gridCol w:w="714"/>
      </w:tblGrid>
      <w:tr w:rsidR="006435DE" w:rsidRPr="006435DE" w:rsidTr="006435DE">
        <w:trPr>
          <w:cantSplit/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435DE" w:rsidRPr="006435DE" w:rsidTr="006435DE">
        <w:trPr>
          <w:cantSplit/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BMS-1.0</w:t>
            </w:r>
          </w:p>
        </w:tc>
      </w:tr>
      <w:tr w:rsidR="006435DE" w:rsidRPr="006435DE" w:rsidTr="006435DE">
        <w:trPr>
          <w:cantSplit/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35DE" w:rsidRPr="006435DE" w:rsidTr="006435DE">
        <w:trPr>
          <w:cantSplit/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35DE" w:rsidRPr="006435DE" w:rsidTr="006435DE">
        <w:trPr>
          <w:cantSplit/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35DE" w:rsidRPr="006435DE" w:rsidTr="006435DE">
        <w:trPr>
          <w:cantSplit/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35DE" w:rsidRPr="006435DE" w:rsidTr="006435DE">
        <w:trPr>
          <w:cantSplit/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35DE" w:rsidRPr="006435DE" w:rsidTr="006435DE">
        <w:trPr>
          <w:cantSplit/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435DE" w:rsidRPr="006435DE" w:rsidTr="006435DE">
        <w:trPr>
          <w:cantSplit/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35DE" w:rsidRPr="006435DE" w:rsidTr="006435DE">
        <w:trPr>
          <w:cantSplit/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35DE" w:rsidRPr="006435DE" w:rsidTr="006435DE">
        <w:trPr>
          <w:cantSplit/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6435DE" w:rsidRPr="006435DE" w:rsidTr="006435DE">
        <w:trPr>
          <w:cantSplit/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435DE" w:rsidRPr="006435DE" w:rsidTr="006435DE">
        <w:trPr>
          <w:cantSplit/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BMS-1.0</w:t>
            </w:r>
          </w:p>
        </w:tc>
      </w:tr>
      <w:tr w:rsidR="006435DE" w:rsidRPr="006435DE" w:rsidTr="006435DE">
        <w:trPr>
          <w:cantSplit/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35DE" w:rsidRPr="006435DE" w:rsidTr="006435DE">
        <w:trPr>
          <w:cantSplit/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35DE" w:rsidRPr="006435DE" w:rsidTr="006435DE">
        <w:trPr>
          <w:cantSplit/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35DE" w:rsidRPr="006435DE" w:rsidTr="006435DE">
        <w:trPr>
          <w:cantSplit/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35DE" w:rsidRPr="006435DE" w:rsidTr="006435DE">
        <w:trPr>
          <w:cantSplit/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435DE" w:rsidRPr="006435DE" w:rsidTr="006435DE">
        <w:trPr>
          <w:cantSplit/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435DE" w:rsidRPr="006435DE" w:rsidTr="006435DE">
        <w:trPr>
          <w:cantSplit/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35DE" w:rsidRPr="006435DE" w:rsidTr="006435DE">
        <w:trPr>
          <w:cantSplit/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35DE" w:rsidRPr="006435DE" w:rsidRDefault="006435DE" w:rsidP="00643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435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:rsidR="006435DE" w:rsidRDefault="006435DE" w:rsidP="006A488B">
      <w:pPr>
        <w:keepNext/>
        <w:tabs>
          <w:tab w:val="clear" w:pos="360"/>
        </w:tabs>
        <w:spacing w:before="240" w:after="60"/>
        <w:ind w:leftChars="-1" w:left="-1" w:hanging="1"/>
        <w:jc w:val="center"/>
        <w:outlineLvl w:val="1"/>
        <w:rPr>
          <w:rFonts w:eastAsia="DengXian"/>
          <w:b/>
          <w:bCs/>
          <w:iCs/>
          <w:sz w:val="24"/>
          <w:szCs w:val="24"/>
          <w:lang w:val="en-CA"/>
        </w:rPr>
      </w:pPr>
    </w:p>
    <w:p w:rsidR="00211E37" w:rsidRDefault="00211E37" w:rsidP="00211E3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References</w:t>
      </w:r>
    </w:p>
    <w:p w:rsidR="00211E37" w:rsidRPr="00C46879" w:rsidRDefault="00211E37" w:rsidP="00211E37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bookmarkStart w:id="1" w:name="_Ref450752014"/>
      <w:r w:rsidRPr="00C46879">
        <w:rPr>
          <w:sz w:val="22"/>
          <w:szCs w:val="22"/>
          <w:lang w:val="en-CA"/>
        </w:rPr>
        <w:t xml:space="preserve">G. Van der Auwera, J. </w:t>
      </w:r>
      <w:proofErr w:type="spellStart"/>
      <w:r w:rsidRPr="00C46879">
        <w:rPr>
          <w:sz w:val="22"/>
          <w:szCs w:val="22"/>
          <w:lang w:val="en-CA"/>
        </w:rPr>
        <w:t>Heo</w:t>
      </w:r>
      <w:proofErr w:type="spellEnd"/>
      <w:r w:rsidRPr="00C46879">
        <w:rPr>
          <w:sz w:val="22"/>
          <w:szCs w:val="22"/>
          <w:lang w:val="en-CA"/>
        </w:rPr>
        <w:t>, A. Filippov, “Description of Core Experiment 3 (CE3): Intra Prediction and Mode Coding,”</w:t>
      </w:r>
      <w:r w:rsidR="00DE15CB">
        <w:rPr>
          <w:sz w:val="22"/>
          <w:szCs w:val="22"/>
          <w:lang w:val="en-CA"/>
        </w:rPr>
        <w:t xml:space="preserve"> JVET-J1023</w:t>
      </w:r>
      <w:r w:rsidR="00EC1DFB">
        <w:rPr>
          <w:sz w:val="22"/>
          <w:szCs w:val="22"/>
          <w:lang w:val="en-CA"/>
        </w:rPr>
        <w:t>,</w:t>
      </w:r>
      <w:r w:rsidRPr="00C46879">
        <w:rPr>
          <w:sz w:val="22"/>
          <w:szCs w:val="22"/>
          <w:lang w:val="en-CA"/>
        </w:rPr>
        <w:t xml:space="preserve"> </w:t>
      </w:r>
      <w:r>
        <w:rPr>
          <w:sz w:val="22"/>
          <w:szCs w:val="22"/>
          <w:lang w:val="en-CA"/>
        </w:rPr>
        <w:t>April</w:t>
      </w:r>
      <w:r w:rsidRPr="00C46879">
        <w:rPr>
          <w:sz w:val="22"/>
          <w:szCs w:val="22"/>
          <w:lang w:val="en-CA"/>
        </w:rPr>
        <w:t xml:space="preserve"> 201</w:t>
      </w:r>
      <w:r>
        <w:rPr>
          <w:sz w:val="22"/>
          <w:szCs w:val="22"/>
          <w:lang w:val="en-CA"/>
        </w:rPr>
        <w:t>8</w:t>
      </w:r>
      <w:r w:rsidRPr="00C46879">
        <w:rPr>
          <w:sz w:val="22"/>
          <w:szCs w:val="22"/>
          <w:lang w:val="en-CA"/>
        </w:rPr>
        <w:t>.</w:t>
      </w:r>
    </w:p>
    <w:p w:rsidR="00211E37" w:rsidRPr="00C46879" w:rsidRDefault="00211E37" w:rsidP="00211E37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bookmarkStart w:id="2" w:name="_Ref451180107"/>
      <w:r w:rsidRPr="00C46879">
        <w:rPr>
          <w:sz w:val="22"/>
          <w:szCs w:val="22"/>
          <w:lang w:val="en-GB" w:eastAsia="zh-TW"/>
        </w:rPr>
        <w:t>J. Boyce, K. Suehring, X. Li, V. Seregin, “JVET common test conditions and software reference configurations”,</w:t>
      </w:r>
      <w:r w:rsidR="00DE15CB" w:rsidRPr="00DE15CB">
        <w:rPr>
          <w:sz w:val="22"/>
          <w:szCs w:val="22"/>
          <w:lang w:val="en-GB" w:eastAsia="zh-TW"/>
        </w:rPr>
        <w:t xml:space="preserve"> </w:t>
      </w:r>
      <w:r w:rsidR="00DE15CB" w:rsidRPr="00C46879">
        <w:rPr>
          <w:sz w:val="22"/>
          <w:szCs w:val="22"/>
          <w:lang w:val="en-GB" w:eastAsia="zh-TW"/>
        </w:rPr>
        <w:t>JVET-</w:t>
      </w:r>
      <w:r w:rsidR="00DE15CB">
        <w:rPr>
          <w:sz w:val="22"/>
          <w:szCs w:val="22"/>
          <w:lang w:val="en-GB" w:eastAsia="zh-TW"/>
        </w:rPr>
        <w:t>J</w:t>
      </w:r>
      <w:r w:rsidR="00DE15CB" w:rsidRPr="00C46879">
        <w:rPr>
          <w:sz w:val="22"/>
          <w:szCs w:val="22"/>
          <w:lang w:val="en-GB" w:eastAsia="zh-TW"/>
        </w:rPr>
        <w:t xml:space="preserve">1010, </w:t>
      </w:r>
      <w:bookmarkEnd w:id="1"/>
      <w:bookmarkEnd w:id="2"/>
      <w:r w:rsidRPr="00C46879">
        <w:rPr>
          <w:sz w:val="22"/>
          <w:szCs w:val="22"/>
          <w:lang w:val="en-GB" w:eastAsia="zh-TW"/>
        </w:rPr>
        <w:t>Apr</w:t>
      </w:r>
      <w:r>
        <w:rPr>
          <w:sz w:val="22"/>
          <w:szCs w:val="22"/>
          <w:lang w:val="en-GB" w:eastAsia="zh-TW"/>
        </w:rPr>
        <w:t>il</w:t>
      </w:r>
      <w:r w:rsidRPr="00C46879">
        <w:rPr>
          <w:sz w:val="22"/>
          <w:szCs w:val="22"/>
          <w:lang w:val="en-GB" w:eastAsia="zh-TW"/>
        </w:rPr>
        <w:t xml:space="preserve"> 2018. </w:t>
      </w:r>
    </w:p>
    <w:p w:rsidR="00211E37" w:rsidRPr="00211E37" w:rsidRDefault="00211E37" w:rsidP="009234A5">
      <w:pPr>
        <w:rPr>
          <w:szCs w:val="22"/>
          <w:lang w:val="en-GB"/>
        </w:rPr>
      </w:pPr>
    </w:p>
    <w:p w:rsidR="00951A21" w:rsidRPr="005B217D" w:rsidRDefault="00951A21" w:rsidP="00951A21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:rsidR="00951A21" w:rsidRPr="005B217D" w:rsidRDefault="00951A21" w:rsidP="00951A21">
      <w:pPr>
        <w:rPr>
          <w:szCs w:val="22"/>
          <w:lang w:val="en-CA"/>
        </w:rPr>
      </w:pPr>
      <w:r w:rsidRPr="00876E0D">
        <w:rPr>
          <w:b/>
          <w:szCs w:val="22"/>
          <w:lang w:val="en-CA"/>
        </w:rPr>
        <w:t>Huawei Technologies Co.</w:t>
      </w:r>
      <w:r>
        <w:rPr>
          <w:b/>
          <w:szCs w:val="22"/>
          <w:lang w:val="en-CA"/>
        </w:rPr>
        <w:t>,</w:t>
      </w:r>
      <w:r w:rsidRPr="00876E0D">
        <w:rPr>
          <w:b/>
          <w:szCs w:val="22"/>
          <w:lang w:val="en-CA"/>
        </w:rPr>
        <w:t xml:space="preserve">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6D99" w:rsidRDefault="00CC6D99">
      <w:r>
        <w:separator/>
      </w:r>
    </w:p>
  </w:endnote>
  <w:endnote w:type="continuationSeparator" w:id="0">
    <w:p w:rsidR="00CC6D99" w:rsidRDefault="00CC6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5E02" w:rsidRPr="00C00DDE" w:rsidRDefault="00DA5E0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563F6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108CF">
      <w:rPr>
        <w:rStyle w:val="PageNumber"/>
        <w:noProof/>
      </w:rPr>
      <w:t>2018-07-09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6D99" w:rsidRDefault="00CC6D99">
      <w:r>
        <w:separator/>
      </w:r>
    </w:p>
  </w:footnote>
  <w:footnote w:type="continuationSeparator" w:id="0">
    <w:p w:rsidR="00CC6D99" w:rsidRDefault="00CC6D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8CF"/>
    <w:rsid w:val="000308A3"/>
    <w:rsid w:val="000458BC"/>
    <w:rsid w:val="00045C41"/>
    <w:rsid w:val="00046C03"/>
    <w:rsid w:val="00061991"/>
    <w:rsid w:val="00065039"/>
    <w:rsid w:val="000734D4"/>
    <w:rsid w:val="0007614F"/>
    <w:rsid w:val="000A1424"/>
    <w:rsid w:val="000B0C0F"/>
    <w:rsid w:val="000B1C6B"/>
    <w:rsid w:val="000B4FF9"/>
    <w:rsid w:val="000B5CF8"/>
    <w:rsid w:val="000C09AC"/>
    <w:rsid w:val="000C7DB9"/>
    <w:rsid w:val="000E00F3"/>
    <w:rsid w:val="000F0175"/>
    <w:rsid w:val="000F158C"/>
    <w:rsid w:val="000F7F2C"/>
    <w:rsid w:val="00102A44"/>
    <w:rsid w:val="00102F3D"/>
    <w:rsid w:val="00124E38"/>
    <w:rsid w:val="0012580B"/>
    <w:rsid w:val="00131F90"/>
    <w:rsid w:val="0013458C"/>
    <w:rsid w:val="0013526E"/>
    <w:rsid w:val="00146152"/>
    <w:rsid w:val="00155526"/>
    <w:rsid w:val="00165DD1"/>
    <w:rsid w:val="00171371"/>
    <w:rsid w:val="00175A24"/>
    <w:rsid w:val="00187E58"/>
    <w:rsid w:val="001A297E"/>
    <w:rsid w:val="001A368E"/>
    <w:rsid w:val="001A7329"/>
    <w:rsid w:val="001A792F"/>
    <w:rsid w:val="001B4E28"/>
    <w:rsid w:val="001C0638"/>
    <w:rsid w:val="001C3525"/>
    <w:rsid w:val="001C3AFB"/>
    <w:rsid w:val="001D1BD2"/>
    <w:rsid w:val="001E0248"/>
    <w:rsid w:val="001E02BE"/>
    <w:rsid w:val="001E3B37"/>
    <w:rsid w:val="001F2594"/>
    <w:rsid w:val="001F299C"/>
    <w:rsid w:val="001F366C"/>
    <w:rsid w:val="002055A6"/>
    <w:rsid w:val="00206460"/>
    <w:rsid w:val="002069B4"/>
    <w:rsid w:val="002115E4"/>
    <w:rsid w:val="00211E37"/>
    <w:rsid w:val="00215DFC"/>
    <w:rsid w:val="002212DF"/>
    <w:rsid w:val="00222CD4"/>
    <w:rsid w:val="00225016"/>
    <w:rsid w:val="002264A6"/>
    <w:rsid w:val="00227BA7"/>
    <w:rsid w:val="0023011C"/>
    <w:rsid w:val="002375C1"/>
    <w:rsid w:val="0025281F"/>
    <w:rsid w:val="002563F6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E62F8"/>
    <w:rsid w:val="002F164D"/>
    <w:rsid w:val="002F56FF"/>
    <w:rsid w:val="003021BC"/>
    <w:rsid w:val="00306206"/>
    <w:rsid w:val="00317D85"/>
    <w:rsid w:val="00320E9D"/>
    <w:rsid w:val="00327C56"/>
    <w:rsid w:val="003315A1"/>
    <w:rsid w:val="00334E18"/>
    <w:rsid w:val="003373EC"/>
    <w:rsid w:val="00342FF4"/>
    <w:rsid w:val="00346148"/>
    <w:rsid w:val="003669EA"/>
    <w:rsid w:val="003706CC"/>
    <w:rsid w:val="00377710"/>
    <w:rsid w:val="003A2D8E"/>
    <w:rsid w:val="003A7CE6"/>
    <w:rsid w:val="003B2426"/>
    <w:rsid w:val="003C20E4"/>
    <w:rsid w:val="003D6342"/>
    <w:rsid w:val="003E6F90"/>
    <w:rsid w:val="003E73ED"/>
    <w:rsid w:val="003F5D0F"/>
    <w:rsid w:val="00401879"/>
    <w:rsid w:val="004106C0"/>
    <w:rsid w:val="00414101"/>
    <w:rsid w:val="004219CF"/>
    <w:rsid w:val="004234F0"/>
    <w:rsid w:val="00424777"/>
    <w:rsid w:val="00433DDB"/>
    <w:rsid w:val="00435A29"/>
    <w:rsid w:val="00437619"/>
    <w:rsid w:val="00442B5C"/>
    <w:rsid w:val="00465A1E"/>
    <w:rsid w:val="00470197"/>
    <w:rsid w:val="004A2A63"/>
    <w:rsid w:val="004B210C"/>
    <w:rsid w:val="004B5437"/>
    <w:rsid w:val="004D0398"/>
    <w:rsid w:val="004D086F"/>
    <w:rsid w:val="004D405F"/>
    <w:rsid w:val="004E44E6"/>
    <w:rsid w:val="004E4F4F"/>
    <w:rsid w:val="004E6789"/>
    <w:rsid w:val="004F61E3"/>
    <w:rsid w:val="00502E10"/>
    <w:rsid w:val="0051015C"/>
    <w:rsid w:val="00513DA3"/>
    <w:rsid w:val="00516CF1"/>
    <w:rsid w:val="00531AE9"/>
    <w:rsid w:val="00531F68"/>
    <w:rsid w:val="00550A66"/>
    <w:rsid w:val="00550F7A"/>
    <w:rsid w:val="005616AD"/>
    <w:rsid w:val="005645C5"/>
    <w:rsid w:val="00567EC7"/>
    <w:rsid w:val="00570013"/>
    <w:rsid w:val="00574041"/>
    <w:rsid w:val="005801A2"/>
    <w:rsid w:val="005952A5"/>
    <w:rsid w:val="005A33A1"/>
    <w:rsid w:val="005B217D"/>
    <w:rsid w:val="005C385F"/>
    <w:rsid w:val="005D67C5"/>
    <w:rsid w:val="005E1AC6"/>
    <w:rsid w:val="005F6F1B"/>
    <w:rsid w:val="00602B87"/>
    <w:rsid w:val="00615995"/>
    <w:rsid w:val="00616155"/>
    <w:rsid w:val="00624B33"/>
    <w:rsid w:val="00625438"/>
    <w:rsid w:val="0063041A"/>
    <w:rsid w:val="00630AA2"/>
    <w:rsid w:val="006435DE"/>
    <w:rsid w:val="00646707"/>
    <w:rsid w:val="006470ED"/>
    <w:rsid w:val="00657F7E"/>
    <w:rsid w:val="00662E58"/>
    <w:rsid w:val="006637F2"/>
    <w:rsid w:val="006642A5"/>
    <w:rsid w:val="00664DCF"/>
    <w:rsid w:val="006654A1"/>
    <w:rsid w:val="00672AEE"/>
    <w:rsid w:val="006A488B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5E8"/>
    <w:rsid w:val="0075585E"/>
    <w:rsid w:val="00762C57"/>
    <w:rsid w:val="00770571"/>
    <w:rsid w:val="007768FF"/>
    <w:rsid w:val="007824D3"/>
    <w:rsid w:val="00796EE3"/>
    <w:rsid w:val="007A7D29"/>
    <w:rsid w:val="007B4AB8"/>
    <w:rsid w:val="007C0455"/>
    <w:rsid w:val="007D0A08"/>
    <w:rsid w:val="007D1181"/>
    <w:rsid w:val="007E01A3"/>
    <w:rsid w:val="007F1F8B"/>
    <w:rsid w:val="007F67A1"/>
    <w:rsid w:val="00811C05"/>
    <w:rsid w:val="008206C8"/>
    <w:rsid w:val="0082453D"/>
    <w:rsid w:val="00850DA0"/>
    <w:rsid w:val="0086387C"/>
    <w:rsid w:val="00874A6C"/>
    <w:rsid w:val="00876C65"/>
    <w:rsid w:val="008935A3"/>
    <w:rsid w:val="008A4B4C"/>
    <w:rsid w:val="008C162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45CF"/>
    <w:rsid w:val="009447F8"/>
    <w:rsid w:val="00951A21"/>
    <w:rsid w:val="00952327"/>
    <w:rsid w:val="00955F6D"/>
    <w:rsid w:val="00967D05"/>
    <w:rsid w:val="00977C16"/>
    <w:rsid w:val="00981DBD"/>
    <w:rsid w:val="0098551D"/>
    <w:rsid w:val="0099518F"/>
    <w:rsid w:val="009A523D"/>
    <w:rsid w:val="009B02A1"/>
    <w:rsid w:val="009D7CE6"/>
    <w:rsid w:val="009E2559"/>
    <w:rsid w:val="009F496B"/>
    <w:rsid w:val="00A01439"/>
    <w:rsid w:val="00A02E61"/>
    <w:rsid w:val="00A05CFF"/>
    <w:rsid w:val="00A06A79"/>
    <w:rsid w:val="00A13048"/>
    <w:rsid w:val="00A30913"/>
    <w:rsid w:val="00A46843"/>
    <w:rsid w:val="00A56B97"/>
    <w:rsid w:val="00A6093D"/>
    <w:rsid w:val="00A66A21"/>
    <w:rsid w:val="00A767DC"/>
    <w:rsid w:val="00A769E6"/>
    <w:rsid w:val="00A76A6D"/>
    <w:rsid w:val="00A83253"/>
    <w:rsid w:val="00AA6E84"/>
    <w:rsid w:val="00AB1A1C"/>
    <w:rsid w:val="00AD05A8"/>
    <w:rsid w:val="00AE341B"/>
    <w:rsid w:val="00AE73E4"/>
    <w:rsid w:val="00AF591F"/>
    <w:rsid w:val="00B01905"/>
    <w:rsid w:val="00B03A3B"/>
    <w:rsid w:val="00B07CA7"/>
    <w:rsid w:val="00B1279A"/>
    <w:rsid w:val="00B4194A"/>
    <w:rsid w:val="00B437E8"/>
    <w:rsid w:val="00B4467C"/>
    <w:rsid w:val="00B5222E"/>
    <w:rsid w:val="00B53179"/>
    <w:rsid w:val="00B55B83"/>
    <w:rsid w:val="00B57A23"/>
    <w:rsid w:val="00B600CD"/>
    <w:rsid w:val="00B61C96"/>
    <w:rsid w:val="00B73A2A"/>
    <w:rsid w:val="00B75A51"/>
    <w:rsid w:val="00B827C6"/>
    <w:rsid w:val="00B83603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0B30"/>
    <w:rsid w:val="00C42466"/>
    <w:rsid w:val="00C606C9"/>
    <w:rsid w:val="00C65E74"/>
    <w:rsid w:val="00C80288"/>
    <w:rsid w:val="00C84003"/>
    <w:rsid w:val="00C90650"/>
    <w:rsid w:val="00C91B94"/>
    <w:rsid w:val="00C97D78"/>
    <w:rsid w:val="00CA7399"/>
    <w:rsid w:val="00CC2AAE"/>
    <w:rsid w:val="00CC5A42"/>
    <w:rsid w:val="00CC6D99"/>
    <w:rsid w:val="00CD0EAB"/>
    <w:rsid w:val="00CD2095"/>
    <w:rsid w:val="00CE0C04"/>
    <w:rsid w:val="00CE53A3"/>
    <w:rsid w:val="00CE5E02"/>
    <w:rsid w:val="00CE5FCF"/>
    <w:rsid w:val="00CF34DB"/>
    <w:rsid w:val="00CF558F"/>
    <w:rsid w:val="00D010C0"/>
    <w:rsid w:val="00D073E2"/>
    <w:rsid w:val="00D37B7D"/>
    <w:rsid w:val="00D422B8"/>
    <w:rsid w:val="00D446EC"/>
    <w:rsid w:val="00D4647B"/>
    <w:rsid w:val="00D51BF0"/>
    <w:rsid w:val="00D531DB"/>
    <w:rsid w:val="00D55942"/>
    <w:rsid w:val="00D807BF"/>
    <w:rsid w:val="00D82FCC"/>
    <w:rsid w:val="00DA17FC"/>
    <w:rsid w:val="00DA5E02"/>
    <w:rsid w:val="00DA7887"/>
    <w:rsid w:val="00DB15AF"/>
    <w:rsid w:val="00DB2C26"/>
    <w:rsid w:val="00DD02F4"/>
    <w:rsid w:val="00DD6622"/>
    <w:rsid w:val="00DE15CB"/>
    <w:rsid w:val="00DE1C7C"/>
    <w:rsid w:val="00DE2219"/>
    <w:rsid w:val="00DE3E0B"/>
    <w:rsid w:val="00DE6B43"/>
    <w:rsid w:val="00DF31E0"/>
    <w:rsid w:val="00E11923"/>
    <w:rsid w:val="00E22EE8"/>
    <w:rsid w:val="00E25C0F"/>
    <w:rsid w:val="00E262D4"/>
    <w:rsid w:val="00E36250"/>
    <w:rsid w:val="00E47F2D"/>
    <w:rsid w:val="00E54511"/>
    <w:rsid w:val="00E61DAC"/>
    <w:rsid w:val="00E72B80"/>
    <w:rsid w:val="00E75FE3"/>
    <w:rsid w:val="00E80913"/>
    <w:rsid w:val="00E86C4C"/>
    <w:rsid w:val="00E907A3"/>
    <w:rsid w:val="00E91906"/>
    <w:rsid w:val="00EA5AE0"/>
    <w:rsid w:val="00EB56E1"/>
    <w:rsid w:val="00EB7AB1"/>
    <w:rsid w:val="00EC1DFB"/>
    <w:rsid w:val="00EE7CD8"/>
    <w:rsid w:val="00EF48CC"/>
    <w:rsid w:val="00F00801"/>
    <w:rsid w:val="00F21EB1"/>
    <w:rsid w:val="00F2488D"/>
    <w:rsid w:val="00F309C0"/>
    <w:rsid w:val="00F601A0"/>
    <w:rsid w:val="00F60D4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094F"/>
    <w:rsid w:val="00FE595C"/>
    <w:rsid w:val="00FF0CE3"/>
    <w:rsid w:val="00FF5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11E3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7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anle.chen@huawei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vasily.rufitskiy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lexey.filippov@huawei.com" TargetMode="Externa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1070</Words>
  <Characters>6100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Rufitskiy Vasily</cp:lastModifiedBy>
  <cp:revision>13</cp:revision>
  <cp:lastPrinted>1900-01-01T08:00:00Z</cp:lastPrinted>
  <dcterms:created xsi:type="dcterms:W3CDTF">2018-07-08T20:57:00Z</dcterms:created>
  <dcterms:modified xsi:type="dcterms:W3CDTF">2018-07-09T09:03:00Z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(2)jP/vf5a3XiDikS2W4frk9eJ/WLojXvUz71BAkRoCg8gxZDI/AP/oGJzKn5W0BfdCm6AsQ6xW
laHejyw3KvmJVJubgDyKeibfPhhaByo3kY91fBkePIYujQpg5QJsRgq+P3ioKWms3RggDwwW
U7NZ8cbIzPUbUuf3EUWIr4zMQSoJG+o4Luv4rPvjAWFRbtN3iHASDhDH2j6rZnEZ3aL4Wr90
2uKUjLfeBc3NvDsniD</vt:lpwstr>
  </property>
  <property fmtid="{D5CDD505-2E9C-101B-9397-08002B2CF9AE}" pid="3" name="_2015_ms_pID_7253431">
    <vt:lpwstr>05BL3Agt8YszKRn7k64yUZxr0r3ar4KQIN7aTwvCAwDsfJyFupFGyi
isF1j3E888iEK9bqjK3BSZ9OYPEYbjFkXxY6ZfES35cG2cwhQl+V9Nak614cETVrzAvexMTx
HOYS56hjyg1VXnt1R9paQufQrWYdgH8CrW7De4grGAYx2aYaTlS2fZlmNwkkbobDI60=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1531126499</vt:lpwstr>
  </property>
</Properties>
</file>