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C2678" w:rsidP="00C97D78">
            <w:pPr>
              <w:tabs>
                <w:tab w:val="left" w:pos="7200"/>
              </w:tabs>
              <w:rPr>
                <w:b/>
                <w:szCs w:val="22"/>
                <w:lang w:val="en-CA"/>
              </w:rPr>
            </w:pPr>
            <w:r>
              <w:rPr>
                <w:b/>
                <w:szCs w:val="22"/>
                <w:lang w:val="en-CA"/>
              </w:rPr>
              <w:pict w14:anchorId="7AF4159C">
                <v:group id="_x0000_s1028" alt="" style="position:absolute;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48.05pt;margin-top:-25.1pt;width:23.1pt;height:21.05pt;z-index:3;mso-wrap-edited:f;mso-width-percent:0;mso-height-percent:0;mso-width-percent:0;mso-height-percent:0">
                  <v:imagedata r:id="rId7" o:title=""/>
                </v:shape>
              </w:pict>
            </w:r>
            <w:r>
              <w:rPr>
                <w:b/>
                <w:szCs w:val="22"/>
                <w:lang w:val="en-CA"/>
              </w:rPr>
              <w:pict w14:anchorId="4343FD4C">
                <v:shape id="_x0000_s1026" type="#_x0000_t75" alt="" style="position:absolute;margin-left:21.15pt;margin-top:-25.1pt;width:23.2pt;height:21.05pt;z-index:2;mso-wrap-edited:f;mso-width-percent:0;mso-height-percent:0;mso-width-percent:0;mso-height-percent:0">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rPr>
                <w:b/>
                <w:szCs w:val="22"/>
                <w:lang w:val="en-CA"/>
              </w:rPr>
            </w:pPr>
            <w:r w:rsidRPr="00CC7E5A">
              <w:rPr>
                <w:lang w:val="en-US"/>
              </w:rPr>
              <w:t>1</w:t>
            </w:r>
            <w:r w:rsidR="00B57A23" w:rsidRPr="00CC7E5A">
              <w:rPr>
                <w:lang w:val="en-US"/>
              </w:rPr>
              <w:t>1</w:t>
            </w:r>
            <w:r w:rsidR="00155526" w:rsidRPr="00CC7E5A">
              <w:rPr>
                <w:lang w:val="en-US"/>
              </w:rPr>
              <w:t>th</w:t>
            </w:r>
            <w:r w:rsidR="00A767DC" w:rsidRPr="00CC7E5A">
              <w:rPr>
                <w:lang w:val="en-US"/>
              </w:rPr>
              <w:t xml:space="preserve"> Meeting: </w:t>
            </w:r>
            <w:r w:rsidR="00B57A23" w:rsidRPr="00B57A23">
              <w:rPr>
                <w:lang w:val="en-CA"/>
              </w:rPr>
              <w:t>Ljubljana, SI, 10–18 July 2018</w:t>
            </w:r>
          </w:p>
        </w:tc>
        <w:tc>
          <w:tcPr>
            <w:tcW w:w="3168" w:type="dxa"/>
          </w:tcPr>
          <w:p w14:paraId="59B7E346" w14:textId="44929CD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B70DD">
              <w:rPr>
                <w:lang w:val="en-CA"/>
              </w:rPr>
              <w:t>0046</w:t>
            </w:r>
            <w:r w:rsidR="00E47F2D" w:rsidRPr="00E47F2D">
              <w:rPr>
                <w:lang w:val="en-CA"/>
              </w:rPr>
              <w:t>-v1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CC7E5A"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33889C1" w:rsidR="00E61DAC" w:rsidRPr="005B217D" w:rsidRDefault="00F41B70" w:rsidP="009D7CE6">
            <w:pPr>
              <w:spacing w:before="60" w:after="60"/>
              <w:rPr>
                <w:b/>
                <w:szCs w:val="22"/>
                <w:lang w:val="en-CA"/>
              </w:rPr>
            </w:pPr>
            <w:r>
              <w:rPr>
                <w:b/>
                <w:szCs w:val="22"/>
                <w:lang w:val="en-CA"/>
              </w:rPr>
              <w:t>CE3: Wide-angle intra prediction (Test 1.3.1)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322DC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2C3A72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342D7DB" w:rsidR="00E61DAC" w:rsidRPr="005B217D" w:rsidRDefault="00F41B70">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265FCA85" w:rsidR="00E61DAC" w:rsidRPr="005B217D" w:rsidRDefault="00E61DAC">
            <w:pPr>
              <w:spacing w:before="60" w:after="60"/>
              <w:rPr>
                <w:szCs w:val="22"/>
                <w:lang w:val="en-CA"/>
              </w:rPr>
            </w:pPr>
            <w:r w:rsidRPr="005B217D">
              <w:rPr>
                <w:szCs w:val="22"/>
                <w:lang w:val="en-CA"/>
              </w:rPr>
              <w:t>Email:</w:t>
            </w:r>
          </w:p>
        </w:tc>
        <w:tc>
          <w:tcPr>
            <w:tcW w:w="3168" w:type="dxa"/>
          </w:tcPr>
          <w:p w14:paraId="32C2ABFD" w14:textId="6E14D737" w:rsidR="00E61DAC" w:rsidRPr="005B217D" w:rsidRDefault="00F41B70" w:rsidP="005952A5">
            <w:pPr>
              <w:spacing w:before="60" w:after="60"/>
              <w:rPr>
                <w:szCs w:val="22"/>
                <w:lang w:val="en-CA"/>
              </w:rPr>
            </w:pPr>
            <w:r>
              <w:rPr>
                <w:szCs w:val="22"/>
                <w:lang w:val="en-CA"/>
              </w:rPr>
              <w:t>first.lastname@nokia.com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3F2C833" w:rsidR="00E61DAC" w:rsidRPr="005B217D" w:rsidRDefault="00F41B7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3F703BF" w:rsidR="00275BCF" w:rsidRDefault="00275BCF" w:rsidP="009234A5">
      <w:pPr>
        <w:pStyle w:val="Heading1"/>
        <w:numPr>
          <w:ilvl w:val="0"/>
          <w:numId w:val="0"/>
        </w:numPr>
        <w:ind w:left="432" w:hanging="432"/>
        <w:rPr>
          <w:lang w:val="en-CA"/>
        </w:rPr>
      </w:pPr>
      <w:r w:rsidRPr="005B217D">
        <w:rPr>
          <w:lang w:val="en-CA"/>
        </w:rPr>
        <w:t>Abstract</w:t>
      </w:r>
    </w:p>
    <w:p w14:paraId="7BC76321" w14:textId="7B780908" w:rsidR="00F41B70" w:rsidRPr="00CC7E5A" w:rsidRDefault="00F41B70" w:rsidP="00F41B70">
      <w:pPr>
        <w:rPr>
          <w:lang w:val="en-US"/>
        </w:rPr>
      </w:pPr>
      <w:r>
        <w:rPr>
          <w:lang w:val="en-CA"/>
        </w:rPr>
        <w:t>This document provides result for the CE3 Test 1.3.1 on wide-angle intra prediction. The proposed approach defines</w:t>
      </w:r>
      <w:r w:rsidRPr="00CC7E5A">
        <w:rPr>
          <w:lang w:val="en-US"/>
        </w:rPr>
        <w:t xml:space="preserve"> directional intra prediction modes with angles extending beyond the traditional 45-degree top-right and bottom-left directions. These modes are available </w:t>
      </w:r>
      <w:r w:rsidR="00E946C4" w:rsidRPr="00CC7E5A">
        <w:rPr>
          <w:lang w:val="en-US"/>
        </w:rPr>
        <w:t xml:space="preserve">only </w:t>
      </w:r>
      <w:r w:rsidRPr="00CC7E5A">
        <w:rPr>
          <w:lang w:val="en-US"/>
        </w:rPr>
        <w:t xml:space="preserve">for non-square blocks </w:t>
      </w:r>
      <w:r w:rsidR="00E946C4" w:rsidRPr="00CC7E5A">
        <w:rPr>
          <w:lang w:val="en-US"/>
        </w:rPr>
        <w:t xml:space="preserve">and specific angle groups </w:t>
      </w:r>
      <w:r w:rsidRPr="00CC7E5A">
        <w:rPr>
          <w:lang w:val="en-US"/>
        </w:rPr>
        <w:t xml:space="preserve">as follows: </w:t>
      </w:r>
      <w:r w:rsidRPr="00CC7E5A">
        <w:rPr>
          <w:lang w:val="en-US"/>
        </w:rPr>
        <w:br/>
      </w:r>
    </w:p>
    <w:p w14:paraId="2B32D0EA" w14:textId="353B4507" w:rsidR="00F41B70" w:rsidRPr="00CC7E5A" w:rsidRDefault="00E946C4" w:rsidP="00F41B70">
      <w:pPr>
        <w:numPr>
          <w:ilvl w:val="0"/>
          <w:numId w:val="12"/>
        </w:numPr>
        <w:rPr>
          <w:lang w:val="en-US"/>
        </w:rPr>
      </w:pPr>
      <w:r w:rsidRPr="00CC7E5A">
        <w:rPr>
          <w:lang w:val="en-US"/>
        </w:rPr>
        <w:t>A</w:t>
      </w:r>
      <w:r w:rsidR="00F41B70" w:rsidRPr="00CC7E5A">
        <w:rPr>
          <w:lang w:val="en-US"/>
        </w:rPr>
        <w:t xml:space="preserve">ngles going beyond 45 degrees in top-right direction if block width is larger than block height </w:t>
      </w:r>
    </w:p>
    <w:p w14:paraId="366AACA5" w14:textId="17F875D6" w:rsidR="00F41B70" w:rsidRPr="00CC7E5A" w:rsidRDefault="00E946C4" w:rsidP="00F41B70">
      <w:pPr>
        <w:numPr>
          <w:ilvl w:val="0"/>
          <w:numId w:val="12"/>
        </w:numPr>
        <w:rPr>
          <w:lang w:val="en-US"/>
        </w:rPr>
      </w:pPr>
      <w:r w:rsidRPr="00CC7E5A">
        <w:rPr>
          <w:lang w:val="en-US"/>
        </w:rPr>
        <w:t>A</w:t>
      </w:r>
      <w:r w:rsidR="00F41B70" w:rsidRPr="00CC7E5A">
        <w:rPr>
          <w:lang w:val="en-US"/>
        </w:rPr>
        <w:t>ngles going beyond 45 degrees in bottom-left direction if block height is larger than block width</w:t>
      </w:r>
      <w:r w:rsidR="003966FC" w:rsidRPr="00CC7E5A">
        <w:rPr>
          <w:lang w:val="en-US"/>
        </w:rPr>
        <w:br/>
      </w:r>
    </w:p>
    <w:p w14:paraId="1657B192" w14:textId="169F8510" w:rsidR="00F41B70" w:rsidRPr="00CC7E5A" w:rsidRDefault="00F41B70" w:rsidP="00F41B70">
      <w:pPr>
        <w:rPr>
          <w:lang w:val="en-US"/>
        </w:rPr>
      </w:pPr>
      <w:r w:rsidRPr="00CC7E5A">
        <w:rPr>
          <w:lang w:val="en-US"/>
        </w:rPr>
        <w:t>Signaling for the tool is implemented by sending a 1-bin context coded identifier for those directions that have an available wide-angle alternative.</w:t>
      </w:r>
      <w:r w:rsidR="00F815BF" w:rsidRPr="00CC7E5A">
        <w:rPr>
          <w:lang w:val="en-US"/>
        </w:rPr>
        <w:t xml:space="preserve"> The availability of a wide-angle alternatives </w:t>
      </w:r>
      <w:r w:rsidR="00E946C4" w:rsidRPr="00CC7E5A">
        <w:rPr>
          <w:lang w:val="en-US"/>
        </w:rPr>
        <w:t>is</w:t>
      </w:r>
      <w:r w:rsidR="00F815BF" w:rsidRPr="00CC7E5A">
        <w:rPr>
          <w:lang w:val="en-US"/>
        </w:rPr>
        <w:t xml:space="preserve"> limited to angles </w:t>
      </w:r>
      <w:r w:rsidR="00E946C4" w:rsidRPr="00CC7E5A">
        <w:rPr>
          <w:lang w:val="en-US"/>
        </w:rPr>
        <w:t>with a positive angular parameter of 9/32 and above.</w:t>
      </w:r>
    </w:p>
    <w:p w14:paraId="18F5B952" w14:textId="0EAD5EB2" w:rsidR="00E946C4" w:rsidRPr="00F41B70" w:rsidRDefault="00E946C4" w:rsidP="00F41B70">
      <w:pPr>
        <w:rPr>
          <w:lang w:val="en-CA"/>
        </w:rPr>
      </w:pPr>
      <w:r w:rsidRPr="00CC7E5A">
        <w:rPr>
          <w:lang w:val="en-US"/>
        </w:rPr>
        <w:t xml:space="preserve">The results indicate that the proposed approach provides in AI tests BD-rate impacts of -0.28 % and -0.23 % for VTM and BMS configurations, respectively. In the case of RA tests, the BD-rate impacts are -0.18 % and -0.13 %, respectively. </w:t>
      </w:r>
    </w:p>
    <w:p w14:paraId="42AD4FB3" w14:textId="4D3F2187" w:rsidR="003966FC" w:rsidRDefault="003966FC" w:rsidP="00E11923">
      <w:pPr>
        <w:pStyle w:val="Heading1"/>
        <w:rPr>
          <w:lang w:val="en-CA"/>
        </w:rPr>
      </w:pPr>
      <w:r>
        <w:rPr>
          <w:lang w:val="en-CA"/>
        </w:rPr>
        <w:t>Introduction</w:t>
      </w:r>
    </w:p>
    <w:p w14:paraId="67685C5A" w14:textId="2BD3093E" w:rsidR="003966FC" w:rsidRPr="00CC7E5A" w:rsidRDefault="003966FC" w:rsidP="003966FC">
      <w:pPr>
        <w:rPr>
          <w:lang w:val="en-US"/>
        </w:rPr>
      </w:pPr>
      <w:r w:rsidRPr="00CC7E5A">
        <w:rPr>
          <w:lang w:val="en-US"/>
        </w:rPr>
        <w:t>This test was set up to verify performance of the wide-angle intra prediction tool proposed in JVET-J0012. In this test intra prediction from angles extending beyond the traditional 45-degree top-right and bottom-left directions was supported. In order to keep signaling overhead and computational complexity low, these angles were only used for non-square blocks and following angle groups:</w:t>
      </w:r>
      <w:r w:rsidRPr="00CC7E5A">
        <w:rPr>
          <w:lang w:val="en-US"/>
        </w:rPr>
        <w:br/>
      </w:r>
    </w:p>
    <w:p w14:paraId="29ABD5A5" w14:textId="77777777" w:rsidR="003966FC" w:rsidRPr="00CC7E5A" w:rsidRDefault="003966FC" w:rsidP="003966FC">
      <w:pPr>
        <w:numPr>
          <w:ilvl w:val="0"/>
          <w:numId w:val="12"/>
        </w:numPr>
        <w:ind w:left="720"/>
        <w:rPr>
          <w:lang w:val="en-US"/>
        </w:rPr>
      </w:pPr>
      <w:r w:rsidRPr="00CC7E5A">
        <w:rPr>
          <w:lang w:val="en-US"/>
        </w:rPr>
        <w:t xml:space="preserve">Angles going beyond 45 degrees in top-right direction if block width is larger than block height </w:t>
      </w:r>
    </w:p>
    <w:p w14:paraId="05A9E990" w14:textId="31CD4FA9" w:rsidR="003966FC" w:rsidRDefault="003966FC" w:rsidP="003966FC">
      <w:pPr>
        <w:numPr>
          <w:ilvl w:val="0"/>
          <w:numId w:val="12"/>
        </w:numPr>
        <w:ind w:left="720"/>
      </w:pPr>
      <w:r>
        <w:t xml:space="preserve">Angles going beyond 45 degrees in bottom-left direction if </w:t>
      </w:r>
      <w:r w:rsidRPr="00CC7E5A">
        <w:rPr>
          <w:lang w:val="en-US"/>
        </w:rPr>
        <w:t>block height is larger than block width</w:t>
      </w:r>
      <w:r w:rsidRPr="00CC7E5A">
        <w:rPr>
          <w:lang w:val="en-US"/>
        </w:rPr>
        <w:br/>
      </w:r>
    </w:p>
    <w:p w14:paraId="254E4F11" w14:textId="250D7CBF" w:rsidR="003966FC" w:rsidRPr="00CC7E5A" w:rsidRDefault="003966FC" w:rsidP="003966FC">
      <w:pPr>
        <w:rPr>
          <w:lang w:val="en-US"/>
        </w:rPr>
      </w:pPr>
      <w:r w:rsidRPr="00CC7E5A">
        <w:rPr>
          <w:lang w:val="en-US"/>
        </w:rPr>
        <w:t xml:space="preserve">Signaling for the tool is implemented by sending a 1-bin context coded identifier for those directions that have an available wide-angle alternative. In the case of </w:t>
      </w:r>
      <w:bookmarkStart w:id="0" w:name="_GoBack"/>
      <w:bookmarkEnd w:id="0"/>
      <w:r w:rsidRPr="00CC7E5A">
        <w:rPr>
          <w:lang w:val="en-US"/>
        </w:rPr>
        <w:t xml:space="preserve">the 65-direction angular intra prediction, the availability of the wide-angle modes is limited to the 10 directional modes closest to the 45-degree diagonal top-right and bottom-left modes. In the case of 33 angular </w:t>
      </w:r>
      <w:r w:rsidRPr="00CC7E5A">
        <w:rPr>
          <w:lang w:val="en-US"/>
        </w:rPr>
        <w:lastRenderedPageBreak/>
        <w:t>directions, wide-angle modes are limited similarly to 5 directions closest to the diagonal ones. That is, the availability of a wide-angle alternatives is limited to angles with a positive angular parameter of 9/32 and above</w:t>
      </w:r>
    </w:p>
    <w:p w14:paraId="34364EFB" w14:textId="77777777" w:rsidR="003966FC" w:rsidRPr="00CC7E5A" w:rsidRDefault="003966FC" w:rsidP="003966FC">
      <w:pPr>
        <w:rPr>
          <w:lang w:val="en-US"/>
        </w:rPr>
      </w:pPr>
      <w:r w:rsidRPr="00CC7E5A">
        <w:rPr>
          <w:lang w:val="en-US"/>
        </w:rPr>
        <w:t>The sample prediction process follows the one in reference software, but the effective prediction direction for the wide-angle modes is calculated by inverting the signaled prediction direction (using calculations identical to what is being done when projecting the side reference in the case of negative prediction angles) and switching the reference arrays - using top instead of left or left instead of top references.</w:t>
      </w:r>
    </w:p>
    <w:p w14:paraId="2280BF03" w14:textId="77777777" w:rsidR="003966FC" w:rsidRPr="00CC7E5A" w:rsidRDefault="003966FC" w:rsidP="003966FC">
      <w:pPr>
        <w:rPr>
          <w:lang w:val="en-US"/>
        </w:rPr>
      </w:pPr>
    </w:p>
    <w:p w14:paraId="402CA909" w14:textId="77777777" w:rsidR="003966FC" w:rsidRDefault="003966FC" w:rsidP="003966FC">
      <w:r>
        <w:t>Further details:</w:t>
      </w:r>
    </w:p>
    <w:p w14:paraId="0C5D9B09" w14:textId="77777777" w:rsidR="003966FC" w:rsidRPr="00CC7E5A" w:rsidRDefault="003966FC" w:rsidP="003966FC">
      <w:pPr>
        <w:numPr>
          <w:ilvl w:val="0"/>
          <w:numId w:val="13"/>
        </w:numPr>
        <w:rPr>
          <w:lang w:val="en-US"/>
        </w:rPr>
      </w:pPr>
      <w:r w:rsidRPr="00CC7E5A">
        <w:rPr>
          <w:lang w:val="en-US"/>
        </w:rPr>
        <w:t>Reference samples outside of the existing reference sample arrays are padded</w:t>
      </w:r>
    </w:p>
    <w:p w14:paraId="7E1156CC" w14:textId="77777777" w:rsidR="003966FC" w:rsidRPr="00CC7E5A" w:rsidRDefault="003966FC" w:rsidP="003966FC">
      <w:pPr>
        <w:numPr>
          <w:ilvl w:val="0"/>
          <w:numId w:val="13"/>
        </w:numPr>
        <w:rPr>
          <w:lang w:val="en-US"/>
        </w:rPr>
      </w:pPr>
      <w:r w:rsidRPr="00CC7E5A">
        <w:rPr>
          <w:lang w:val="en-US"/>
        </w:rPr>
        <w:t>Context based arithmetic coding of the flag uses one context</w:t>
      </w:r>
    </w:p>
    <w:p w14:paraId="7A3BC897" w14:textId="77777777" w:rsidR="003966FC" w:rsidRPr="00CC7E5A" w:rsidRDefault="003966FC" w:rsidP="003966FC">
      <w:pPr>
        <w:numPr>
          <w:ilvl w:val="0"/>
          <w:numId w:val="13"/>
        </w:numPr>
        <w:rPr>
          <w:lang w:val="en-US"/>
        </w:rPr>
      </w:pPr>
      <w:r w:rsidRPr="00CC7E5A">
        <w:rPr>
          <w:lang w:val="en-US"/>
        </w:rPr>
        <w:t>Side smoothing is enabled for wide-angle modes as in JVET-J0012 software</w:t>
      </w:r>
    </w:p>
    <w:p w14:paraId="628B4C0E" w14:textId="77777777" w:rsidR="003966FC" w:rsidRPr="00CC7E5A" w:rsidRDefault="003966FC" w:rsidP="003966FC">
      <w:pPr>
        <w:numPr>
          <w:ilvl w:val="0"/>
          <w:numId w:val="13"/>
        </w:numPr>
        <w:rPr>
          <w:lang w:val="en-US"/>
        </w:rPr>
      </w:pPr>
      <w:r w:rsidRPr="00CC7E5A">
        <w:rPr>
          <w:lang w:val="en-US"/>
        </w:rPr>
        <w:t>If intra slices have their own chroma coding tree, chroma blocks have their own wide-angle mode signaling. In the case of inter slices (and if there is common coding tree for all components) chroma uses wide-angle mode of the corresponding luma block.</w:t>
      </w:r>
    </w:p>
    <w:p w14:paraId="2EE4BB76" w14:textId="77777777" w:rsidR="003966FC" w:rsidRPr="00CC7E5A" w:rsidRDefault="003966FC" w:rsidP="003966FC">
      <w:pPr>
        <w:rPr>
          <w:lang w:val="en-US"/>
        </w:rPr>
      </w:pPr>
    </w:p>
    <w:p w14:paraId="14F19107" w14:textId="3EE33E95" w:rsidR="003966FC" w:rsidRPr="003966FC" w:rsidRDefault="003966FC" w:rsidP="003966FC">
      <w:pPr>
        <w:rPr>
          <w:lang w:val="en-US"/>
        </w:rPr>
      </w:pPr>
      <w:r w:rsidRPr="003966FC">
        <w:rPr>
          <w:lang w:val="en-US"/>
        </w:rPr>
        <w:t>Software implementing the tool was made available in the following branch of the BMS:</w:t>
      </w:r>
    </w:p>
    <w:p w14:paraId="750E4112" w14:textId="77777777" w:rsidR="003966FC" w:rsidRPr="003966FC" w:rsidRDefault="003966FC" w:rsidP="003966FC">
      <w:pPr>
        <w:rPr>
          <w:lang w:val="en-US"/>
        </w:rPr>
      </w:pPr>
    </w:p>
    <w:p w14:paraId="09F61808" w14:textId="0D89A867" w:rsidR="003966FC" w:rsidRPr="00CC7E5A" w:rsidRDefault="009C2678" w:rsidP="003966FC">
      <w:pPr>
        <w:rPr>
          <w:lang w:val="en-US"/>
        </w:rPr>
      </w:pPr>
      <w:r>
        <w:rPr>
          <w:rStyle w:val="Hyperlink"/>
        </w:rPr>
        <w:fldChar w:fldCharType="begin"/>
      </w:r>
      <w:r w:rsidRPr="00CC7E5A">
        <w:rPr>
          <w:rStyle w:val="Hyperlink"/>
          <w:lang w:val="en-US"/>
        </w:rPr>
        <w:instrText xml:space="preserve"> HYPERLINK "https://jvet.hhi.fraunhofer.de/svn/svn_VVCSoftware_BMS/branches/CE/J_SanDiego/CE3/CE3-1.3.1/" </w:instrText>
      </w:r>
      <w:r>
        <w:rPr>
          <w:rStyle w:val="Hyperlink"/>
        </w:rPr>
        <w:fldChar w:fldCharType="separate"/>
      </w:r>
      <w:r w:rsidR="003966FC" w:rsidRPr="00CC7E5A">
        <w:rPr>
          <w:rStyle w:val="Hyperlink"/>
          <w:lang w:val="en-US"/>
        </w:rPr>
        <w:t>https://jvet.hhi.fraunhofer.de/svn/svn_VVCSoftware_BMS/branches/CE/J_SanDiego/CE3/CE3-1.3.1/</w:t>
      </w:r>
      <w:r>
        <w:rPr>
          <w:rStyle w:val="Hyperlink"/>
        </w:rPr>
        <w:fldChar w:fldCharType="end"/>
      </w:r>
    </w:p>
    <w:p w14:paraId="59CC4BED" w14:textId="77777777" w:rsidR="003966FC" w:rsidRPr="00CC7E5A" w:rsidRDefault="003966FC" w:rsidP="003966FC">
      <w:pPr>
        <w:rPr>
          <w:lang w:val="en-US"/>
        </w:rPr>
      </w:pPr>
    </w:p>
    <w:p w14:paraId="7D2AC1F0" w14:textId="354211B0" w:rsidR="00745F6B" w:rsidRPr="005B217D" w:rsidRDefault="00E946C4" w:rsidP="00E11923">
      <w:pPr>
        <w:pStyle w:val="Heading1"/>
        <w:rPr>
          <w:lang w:val="en-CA"/>
        </w:rPr>
      </w:pPr>
      <w:r>
        <w:rPr>
          <w:lang w:val="en-CA"/>
        </w:rPr>
        <w:t>Test results</w:t>
      </w:r>
    </w:p>
    <w:p w14:paraId="1539A21D" w14:textId="4C3B1964" w:rsidR="001F2594" w:rsidRDefault="003966FC" w:rsidP="009234A5">
      <w:pPr>
        <w:rPr>
          <w:szCs w:val="22"/>
          <w:lang w:val="en-CA"/>
        </w:rPr>
      </w:pPr>
      <w:r>
        <w:rPr>
          <w:szCs w:val="22"/>
          <w:lang w:val="en-CA"/>
        </w:rPr>
        <w:t>Full results are provided in the attached Excel sheets. A summary of the results can be found below:</w:t>
      </w:r>
    </w:p>
    <w:p w14:paraId="1249EC72" w14:textId="77777777" w:rsidR="003966FC" w:rsidRDefault="003966FC" w:rsidP="009234A5">
      <w:pPr>
        <w:rPr>
          <w:szCs w:val="22"/>
          <w:lang w:val="en-CA"/>
        </w:rPr>
      </w:pPr>
    </w:p>
    <w:tbl>
      <w:tblPr>
        <w:tblW w:w="0" w:type="auto"/>
        <w:tblInd w:w="108" w:type="dxa"/>
        <w:tblLook w:val="04A0" w:firstRow="1" w:lastRow="0" w:firstColumn="1" w:lastColumn="0" w:noHBand="0" w:noVBand="1"/>
      </w:tblPr>
      <w:tblGrid>
        <w:gridCol w:w="937"/>
        <w:gridCol w:w="837"/>
        <w:gridCol w:w="837"/>
        <w:gridCol w:w="837"/>
        <w:gridCol w:w="727"/>
        <w:gridCol w:w="727"/>
        <w:gridCol w:w="837"/>
        <w:gridCol w:w="837"/>
        <w:gridCol w:w="837"/>
        <w:gridCol w:w="727"/>
        <w:gridCol w:w="727"/>
      </w:tblGrid>
      <w:tr w:rsidR="003966FC" w14:paraId="35940FFF" w14:textId="77777777" w:rsidTr="003966FC">
        <w:trPr>
          <w:trHeight w:val="255"/>
        </w:trPr>
        <w:tc>
          <w:tcPr>
            <w:tcW w:w="0" w:type="auto"/>
            <w:tcBorders>
              <w:top w:val="nil"/>
              <w:left w:val="nil"/>
              <w:bottom w:val="nil"/>
              <w:right w:val="nil"/>
            </w:tcBorders>
            <w:shd w:val="clear" w:color="auto" w:fill="auto"/>
            <w:noWrap/>
            <w:vAlign w:val="center"/>
            <w:hideMark/>
          </w:tcPr>
          <w:p w14:paraId="30FDE0AC" w14:textId="77777777" w:rsidR="003966FC" w:rsidRPr="00CC7E5A" w:rsidRDefault="003966FC">
            <w:pPr>
              <w:rPr>
                <w:sz w:val="20"/>
                <w:szCs w:val="20"/>
                <w:lang w:val="en-US"/>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A0E594"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All</w:t>
            </w:r>
            <w:proofErr w:type="spellEnd"/>
            <w:r>
              <w:rPr>
                <w:rFonts w:ascii="Arial" w:hAnsi="Arial" w:cs="Arial"/>
                <w:b/>
                <w:bCs/>
                <w:color w:val="000000"/>
                <w:sz w:val="18"/>
                <w:szCs w:val="18"/>
              </w:rPr>
              <w:t xml:space="preserve"> Intra Main10 </w:t>
            </w:r>
          </w:p>
        </w:tc>
      </w:tr>
      <w:tr w:rsidR="003966FC" w14:paraId="6174E83E" w14:textId="77777777" w:rsidTr="003966FC">
        <w:trPr>
          <w:trHeight w:val="255"/>
        </w:trPr>
        <w:tc>
          <w:tcPr>
            <w:tcW w:w="0" w:type="auto"/>
            <w:tcBorders>
              <w:top w:val="nil"/>
              <w:left w:val="nil"/>
              <w:bottom w:val="nil"/>
              <w:right w:val="nil"/>
            </w:tcBorders>
            <w:shd w:val="clear" w:color="auto" w:fill="auto"/>
            <w:noWrap/>
            <w:vAlign w:val="center"/>
            <w:hideMark/>
          </w:tcPr>
          <w:p w14:paraId="0C366A14" w14:textId="77777777" w:rsidR="003966FC" w:rsidRDefault="003966FC">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E903CD6"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E7AA0BB"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BMS-1.0</w:t>
            </w:r>
          </w:p>
        </w:tc>
      </w:tr>
      <w:tr w:rsidR="003966FC" w14:paraId="7A3B87C5" w14:textId="77777777" w:rsidTr="003966FC">
        <w:trPr>
          <w:trHeight w:val="255"/>
        </w:trPr>
        <w:tc>
          <w:tcPr>
            <w:tcW w:w="0" w:type="auto"/>
            <w:tcBorders>
              <w:top w:val="nil"/>
              <w:left w:val="nil"/>
              <w:bottom w:val="nil"/>
              <w:right w:val="nil"/>
            </w:tcBorders>
            <w:shd w:val="clear" w:color="auto" w:fill="auto"/>
            <w:noWrap/>
            <w:vAlign w:val="center"/>
            <w:hideMark/>
          </w:tcPr>
          <w:p w14:paraId="5CFE8935" w14:textId="77777777" w:rsidR="003966FC" w:rsidRDefault="003966FC">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E2ABAB" w14:textId="77777777" w:rsidR="003966FC" w:rsidRDefault="003966FC">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1E08ACD" w14:textId="77777777" w:rsidR="003966FC" w:rsidRDefault="003966FC">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E399F7C" w14:textId="77777777" w:rsidR="003966FC" w:rsidRDefault="003966FC">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3A816B0"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27B3214"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B3D28CA" w14:textId="77777777" w:rsidR="003966FC" w:rsidRDefault="003966FC">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452D394" w14:textId="77777777" w:rsidR="003966FC" w:rsidRDefault="003966FC">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88BBAE5" w14:textId="77777777" w:rsidR="003966FC" w:rsidRDefault="003966FC">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38DACD9"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D2CC983"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966FC" w14:paraId="671F818D"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D480F5" w14:textId="77777777" w:rsidR="003966FC" w:rsidRDefault="003966FC">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B642286" w14:textId="77777777" w:rsidR="003966FC" w:rsidRDefault="003966FC">
            <w:pPr>
              <w:jc w:val="center"/>
              <w:rPr>
                <w:rFonts w:ascii="Arial" w:hAnsi="Arial" w:cs="Arial"/>
                <w:color w:val="000000"/>
                <w:sz w:val="18"/>
                <w:szCs w:val="18"/>
              </w:rPr>
            </w:pPr>
            <w:r>
              <w:rPr>
                <w:rFonts w:ascii="Arial" w:hAnsi="Arial" w:cs="Arial"/>
                <w:color w:val="000000"/>
                <w:sz w:val="18"/>
                <w:szCs w:val="18"/>
              </w:rPr>
              <w:t>-0.22 %</w:t>
            </w:r>
          </w:p>
        </w:tc>
        <w:tc>
          <w:tcPr>
            <w:tcW w:w="0" w:type="auto"/>
            <w:tcBorders>
              <w:top w:val="nil"/>
              <w:left w:val="nil"/>
              <w:bottom w:val="nil"/>
              <w:right w:val="nil"/>
            </w:tcBorders>
            <w:shd w:val="clear" w:color="auto" w:fill="auto"/>
            <w:noWrap/>
            <w:vAlign w:val="center"/>
            <w:hideMark/>
          </w:tcPr>
          <w:p w14:paraId="7B8D619E" w14:textId="77777777" w:rsidR="003966FC" w:rsidRDefault="003966FC">
            <w:pPr>
              <w:jc w:val="center"/>
              <w:rPr>
                <w:rFonts w:ascii="Arial" w:hAnsi="Arial" w:cs="Arial"/>
                <w:color w:val="000000"/>
                <w:sz w:val="18"/>
                <w:szCs w:val="18"/>
              </w:rPr>
            </w:pPr>
            <w:r>
              <w:rPr>
                <w:rFonts w:ascii="Arial" w:hAnsi="Arial" w:cs="Arial"/>
                <w:color w:val="000000"/>
                <w:sz w:val="18"/>
                <w:szCs w:val="18"/>
              </w:rPr>
              <w:t>-0.18 %</w:t>
            </w:r>
          </w:p>
        </w:tc>
        <w:tc>
          <w:tcPr>
            <w:tcW w:w="0" w:type="auto"/>
            <w:tcBorders>
              <w:top w:val="nil"/>
              <w:left w:val="nil"/>
              <w:bottom w:val="nil"/>
              <w:right w:val="single" w:sz="4" w:space="0" w:color="auto"/>
            </w:tcBorders>
            <w:shd w:val="clear" w:color="auto" w:fill="auto"/>
            <w:noWrap/>
            <w:vAlign w:val="center"/>
            <w:hideMark/>
          </w:tcPr>
          <w:p w14:paraId="79E6DCD0" w14:textId="77777777" w:rsidR="003966FC" w:rsidRDefault="003966FC">
            <w:pPr>
              <w:jc w:val="center"/>
              <w:rPr>
                <w:rFonts w:ascii="Arial" w:hAnsi="Arial" w:cs="Arial"/>
                <w:color w:val="000000"/>
                <w:sz w:val="18"/>
                <w:szCs w:val="18"/>
              </w:rPr>
            </w:pPr>
            <w:r>
              <w:rPr>
                <w:rFonts w:ascii="Arial" w:hAnsi="Arial" w:cs="Arial"/>
                <w:color w:val="000000"/>
                <w:sz w:val="18"/>
                <w:szCs w:val="18"/>
              </w:rPr>
              <w:t>-0.27 %</w:t>
            </w:r>
          </w:p>
        </w:tc>
        <w:tc>
          <w:tcPr>
            <w:tcW w:w="0" w:type="auto"/>
            <w:tcBorders>
              <w:top w:val="nil"/>
              <w:left w:val="nil"/>
              <w:bottom w:val="nil"/>
              <w:right w:val="nil"/>
            </w:tcBorders>
            <w:shd w:val="clear" w:color="auto" w:fill="auto"/>
            <w:noWrap/>
            <w:vAlign w:val="center"/>
            <w:hideMark/>
          </w:tcPr>
          <w:p w14:paraId="28B1FF7D" w14:textId="77777777" w:rsidR="003966FC" w:rsidRDefault="003966FC">
            <w:pPr>
              <w:jc w:val="center"/>
              <w:rPr>
                <w:rFonts w:ascii="Arial" w:hAnsi="Arial" w:cs="Arial"/>
                <w:color w:val="000000"/>
                <w:sz w:val="18"/>
                <w:szCs w:val="18"/>
              </w:rPr>
            </w:pPr>
            <w:r>
              <w:rPr>
                <w:rFonts w:ascii="Arial" w:hAnsi="Arial" w:cs="Arial"/>
                <w:color w:val="000000"/>
                <w:sz w:val="18"/>
                <w:szCs w:val="18"/>
              </w:rPr>
              <w:t>105 %</w:t>
            </w:r>
          </w:p>
        </w:tc>
        <w:tc>
          <w:tcPr>
            <w:tcW w:w="0" w:type="auto"/>
            <w:tcBorders>
              <w:top w:val="nil"/>
              <w:left w:val="nil"/>
              <w:bottom w:val="nil"/>
              <w:right w:val="nil"/>
            </w:tcBorders>
            <w:shd w:val="clear" w:color="auto" w:fill="auto"/>
            <w:noWrap/>
            <w:vAlign w:val="center"/>
            <w:hideMark/>
          </w:tcPr>
          <w:p w14:paraId="4FA335DA"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single" w:sz="8" w:space="0" w:color="auto"/>
              <w:bottom w:val="nil"/>
              <w:right w:val="nil"/>
            </w:tcBorders>
            <w:shd w:val="clear" w:color="auto" w:fill="auto"/>
            <w:noWrap/>
            <w:vAlign w:val="center"/>
            <w:hideMark/>
          </w:tcPr>
          <w:p w14:paraId="4355C50F" w14:textId="77777777" w:rsidR="003966FC" w:rsidRDefault="003966FC">
            <w:pPr>
              <w:jc w:val="center"/>
              <w:rPr>
                <w:rFonts w:ascii="Arial" w:hAnsi="Arial" w:cs="Arial"/>
                <w:color w:val="000000"/>
                <w:sz w:val="18"/>
                <w:szCs w:val="18"/>
              </w:rPr>
            </w:pPr>
            <w:r>
              <w:rPr>
                <w:rFonts w:ascii="Arial" w:hAnsi="Arial" w:cs="Arial"/>
                <w:color w:val="000000"/>
                <w:sz w:val="18"/>
                <w:szCs w:val="18"/>
              </w:rPr>
              <w:t>-0.15 %</w:t>
            </w:r>
          </w:p>
        </w:tc>
        <w:tc>
          <w:tcPr>
            <w:tcW w:w="0" w:type="auto"/>
            <w:tcBorders>
              <w:top w:val="nil"/>
              <w:left w:val="nil"/>
              <w:bottom w:val="nil"/>
              <w:right w:val="nil"/>
            </w:tcBorders>
            <w:shd w:val="clear" w:color="auto" w:fill="auto"/>
            <w:noWrap/>
            <w:vAlign w:val="center"/>
            <w:hideMark/>
          </w:tcPr>
          <w:p w14:paraId="4C75BA9F" w14:textId="77777777" w:rsidR="003966FC" w:rsidRDefault="003966FC">
            <w:pPr>
              <w:jc w:val="center"/>
              <w:rPr>
                <w:rFonts w:ascii="Arial" w:hAnsi="Arial" w:cs="Arial"/>
                <w:color w:val="000000"/>
                <w:sz w:val="18"/>
                <w:szCs w:val="18"/>
              </w:rPr>
            </w:pPr>
            <w:r>
              <w:rPr>
                <w:rFonts w:ascii="Arial" w:hAnsi="Arial" w:cs="Arial"/>
                <w:color w:val="000000"/>
                <w:sz w:val="18"/>
                <w:szCs w:val="18"/>
              </w:rPr>
              <w:t>-0.07 %</w:t>
            </w:r>
          </w:p>
        </w:tc>
        <w:tc>
          <w:tcPr>
            <w:tcW w:w="0" w:type="auto"/>
            <w:tcBorders>
              <w:top w:val="nil"/>
              <w:left w:val="nil"/>
              <w:bottom w:val="nil"/>
              <w:right w:val="single" w:sz="4" w:space="0" w:color="auto"/>
            </w:tcBorders>
            <w:shd w:val="clear" w:color="auto" w:fill="auto"/>
            <w:noWrap/>
            <w:vAlign w:val="center"/>
            <w:hideMark/>
          </w:tcPr>
          <w:p w14:paraId="5B854E5C" w14:textId="77777777" w:rsidR="003966FC" w:rsidRDefault="003966FC">
            <w:pPr>
              <w:jc w:val="center"/>
              <w:rPr>
                <w:rFonts w:ascii="Arial" w:hAnsi="Arial" w:cs="Arial"/>
                <w:color w:val="000000"/>
                <w:sz w:val="18"/>
                <w:szCs w:val="18"/>
              </w:rPr>
            </w:pPr>
            <w:r>
              <w:rPr>
                <w:rFonts w:ascii="Arial" w:hAnsi="Arial" w:cs="Arial"/>
                <w:color w:val="000000"/>
                <w:sz w:val="18"/>
                <w:szCs w:val="18"/>
              </w:rPr>
              <w:t>-0.15 %</w:t>
            </w:r>
          </w:p>
        </w:tc>
        <w:tc>
          <w:tcPr>
            <w:tcW w:w="0" w:type="auto"/>
            <w:tcBorders>
              <w:top w:val="nil"/>
              <w:left w:val="nil"/>
              <w:bottom w:val="nil"/>
              <w:right w:val="nil"/>
            </w:tcBorders>
            <w:shd w:val="clear" w:color="auto" w:fill="auto"/>
            <w:noWrap/>
            <w:vAlign w:val="center"/>
            <w:hideMark/>
          </w:tcPr>
          <w:p w14:paraId="241C0F24" w14:textId="77777777" w:rsidR="003966FC" w:rsidRDefault="003966FC">
            <w:pPr>
              <w:jc w:val="center"/>
              <w:rPr>
                <w:rFonts w:ascii="Arial" w:hAnsi="Arial" w:cs="Arial"/>
                <w:color w:val="000000"/>
                <w:sz w:val="18"/>
                <w:szCs w:val="18"/>
              </w:rPr>
            </w:pPr>
            <w:r>
              <w:rPr>
                <w:rFonts w:ascii="Arial" w:hAnsi="Arial" w:cs="Arial"/>
                <w:color w:val="000000"/>
                <w:sz w:val="18"/>
                <w:szCs w:val="18"/>
              </w:rPr>
              <w:t>105 %</w:t>
            </w:r>
          </w:p>
        </w:tc>
        <w:tc>
          <w:tcPr>
            <w:tcW w:w="0" w:type="auto"/>
            <w:tcBorders>
              <w:top w:val="nil"/>
              <w:left w:val="nil"/>
              <w:bottom w:val="nil"/>
              <w:right w:val="single" w:sz="8" w:space="0" w:color="auto"/>
            </w:tcBorders>
            <w:shd w:val="clear" w:color="auto" w:fill="auto"/>
            <w:noWrap/>
            <w:vAlign w:val="center"/>
            <w:hideMark/>
          </w:tcPr>
          <w:p w14:paraId="637DAB3F"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41598E0F"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EB9ED1E" w14:textId="77777777" w:rsidR="003966FC" w:rsidRDefault="003966FC">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DCA6B24" w14:textId="77777777" w:rsidR="003966FC" w:rsidRDefault="003966FC">
            <w:pPr>
              <w:jc w:val="center"/>
              <w:rPr>
                <w:rFonts w:ascii="Arial" w:hAnsi="Arial" w:cs="Arial"/>
                <w:color w:val="000000"/>
                <w:sz w:val="18"/>
                <w:szCs w:val="18"/>
              </w:rPr>
            </w:pPr>
            <w:r>
              <w:rPr>
                <w:rFonts w:ascii="Arial" w:hAnsi="Arial" w:cs="Arial"/>
                <w:color w:val="000000"/>
                <w:sz w:val="18"/>
                <w:szCs w:val="18"/>
              </w:rPr>
              <w:t>-0.24 %</w:t>
            </w:r>
          </w:p>
        </w:tc>
        <w:tc>
          <w:tcPr>
            <w:tcW w:w="0" w:type="auto"/>
            <w:tcBorders>
              <w:top w:val="nil"/>
              <w:left w:val="nil"/>
              <w:bottom w:val="nil"/>
              <w:right w:val="nil"/>
            </w:tcBorders>
            <w:shd w:val="clear" w:color="auto" w:fill="auto"/>
            <w:noWrap/>
            <w:vAlign w:val="center"/>
            <w:hideMark/>
          </w:tcPr>
          <w:p w14:paraId="597D3CB6" w14:textId="77777777" w:rsidR="003966FC" w:rsidRDefault="003966FC">
            <w:pPr>
              <w:jc w:val="center"/>
              <w:rPr>
                <w:rFonts w:ascii="Arial" w:hAnsi="Arial" w:cs="Arial"/>
                <w:color w:val="000000"/>
                <w:sz w:val="18"/>
                <w:szCs w:val="18"/>
              </w:rPr>
            </w:pPr>
            <w:r>
              <w:rPr>
                <w:rFonts w:ascii="Arial" w:hAnsi="Arial" w:cs="Arial"/>
                <w:color w:val="000000"/>
                <w:sz w:val="18"/>
                <w:szCs w:val="18"/>
              </w:rPr>
              <w:t>-0.30 %</w:t>
            </w:r>
          </w:p>
        </w:tc>
        <w:tc>
          <w:tcPr>
            <w:tcW w:w="0" w:type="auto"/>
            <w:tcBorders>
              <w:top w:val="nil"/>
              <w:left w:val="nil"/>
              <w:bottom w:val="nil"/>
              <w:right w:val="single" w:sz="4" w:space="0" w:color="auto"/>
            </w:tcBorders>
            <w:shd w:val="clear" w:color="auto" w:fill="auto"/>
            <w:noWrap/>
            <w:vAlign w:val="center"/>
            <w:hideMark/>
          </w:tcPr>
          <w:p w14:paraId="348EFD0A" w14:textId="77777777" w:rsidR="003966FC" w:rsidRDefault="003966FC">
            <w:pPr>
              <w:jc w:val="center"/>
              <w:rPr>
                <w:rFonts w:ascii="Arial" w:hAnsi="Arial" w:cs="Arial"/>
                <w:color w:val="000000"/>
                <w:sz w:val="18"/>
                <w:szCs w:val="18"/>
              </w:rPr>
            </w:pPr>
            <w:r>
              <w:rPr>
                <w:rFonts w:ascii="Arial" w:hAnsi="Arial" w:cs="Arial"/>
                <w:color w:val="000000"/>
                <w:sz w:val="18"/>
                <w:szCs w:val="18"/>
              </w:rPr>
              <w:t>-0.29 %</w:t>
            </w:r>
          </w:p>
        </w:tc>
        <w:tc>
          <w:tcPr>
            <w:tcW w:w="0" w:type="auto"/>
            <w:tcBorders>
              <w:top w:val="nil"/>
              <w:left w:val="nil"/>
              <w:bottom w:val="nil"/>
              <w:right w:val="nil"/>
            </w:tcBorders>
            <w:shd w:val="clear" w:color="auto" w:fill="auto"/>
            <w:noWrap/>
            <w:vAlign w:val="center"/>
            <w:hideMark/>
          </w:tcPr>
          <w:p w14:paraId="6C8E4A30" w14:textId="77777777" w:rsidR="003966FC" w:rsidRDefault="003966FC">
            <w:pPr>
              <w:jc w:val="center"/>
              <w:rPr>
                <w:rFonts w:ascii="Arial" w:hAnsi="Arial" w:cs="Arial"/>
                <w:color w:val="000000"/>
                <w:sz w:val="18"/>
                <w:szCs w:val="18"/>
              </w:rPr>
            </w:pPr>
            <w:r>
              <w:rPr>
                <w:rFonts w:ascii="Arial" w:hAnsi="Arial" w:cs="Arial"/>
                <w:color w:val="000000"/>
                <w:sz w:val="18"/>
                <w:szCs w:val="18"/>
              </w:rPr>
              <w:t>105 %</w:t>
            </w:r>
          </w:p>
        </w:tc>
        <w:tc>
          <w:tcPr>
            <w:tcW w:w="0" w:type="auto"/>
            <w:tcBorders>
              <w:top w:val="nil"/>
              <w:left w:val="nil"/>
              <w:bottom w:val="nil"/>
              <w:right w:val="nil"/>
            </w:tcBorders>
            <w:shd w:val="clear" w:color="auto" w:fill="auto"/>
            <w:noWrap/>
            <w:vAlign w:val="center"/>
            <w:hideMark/>
          </w:tcPr>
          <w:p w14:paraId="29C1004F"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nil"/>
              <w:left w:val="single" w:sz="8" w:space="0" w:color="auto"/>
              <w:bottom w:val="nil"/>
              <w:right w:val="nil"/>
            </w:tcBorders>
            <w:shd w:val="clear" w:color="auto" w:fill="auto"/>
            <w:noWrap/>
            <w:vAlign w:val="center"/>
            <w:hideMark/>
          </w:tcPr>
          <w:p w14:paraId="6C35ADB0" w14:textId="77777777" w:rsidR="003966FC" w:rsidRDefault="003966FC">
            <w:pPr>
              <w:jc w:val="center"/>
              <w:rPr>
                <w:rFonts w:ascii="Arial" w:hAnsi="Arial" w:cs="Arial"/>
                <w:color w:val="000000"/>
                <w:sz w:val="18"/>
                <w:szCs w:val="18"/>
              </w:rPr>
            </w:pPr>
            <w:r>
              <w:rPr>
                <w:rFonts w:ascii="Arial" w:hAnsi="Arial" w:cs="Arial"/>
                <w:color w:val="000000"/>
                <w:sz w:val="18"/>
                <w:szCs w:val="18"/>
              </w:rPr>
              <w:t>-0.19 %</w:t>
            </w:r>
          </w:p>
        </w:tc>
        <w:tc>
          <w:tcPr>
            <w:tcW w:w="0" w:type="auto"/>
            <w:tcBorders>
              <w:top w:val="nil"/>
              <w:left w:val="nil"/>
              <w:bottom w:val="nil"/>
              <w:right w:val="nil"/>
            </w:tcBorders>
            <w:shd w:val="clear" w:color="auto" w:fill="auto"/>
            <w:noWrap/>
            <w:vAlign w:val="center"/>
            <w:hideMark/>
          </w:tcPr>
          <w:p w14:paraId="625534B8" w14:textId="77777777" w:rsidR="003966FC" w:rsidRDefault="003966FC">
            <w:pPr>
              <w:jc w:val="center"/>
              <w:rPr>
                <w:rFonts w:ascii="Arial" w:hAnsi="Arial" w:cs="Arial"/>
                <w:color w:val="000000"/>
                <w:sz w:val="18"/>
                <w:szCs w:val="18"/>
              </w:rPr>
            </w:pPr>
            <w:r>
              <w:rPr>
                <w:rFonts w:ascii="Arial" w:hAnsi="Arial" w:cs="Arial"/>
                <w:color w:val="000000"/>
                <w:sz w:val="18"/>
                <w:szCs w:val="18"/>
              </w:rPr>
              <w:t>-0.21 %</w:t>
            </w:r>
          </w:p>
        </w:tc>
        <w:tc>
          <w:tcPr>
            <w:tcW w:w="0" w:type="auto"/>
            <w:tcBorders>
              <w:top w:val="nil"/>
              <w:left w:val="nil"/>
              <w:bottom w:val="nil"/>
              <w:right w:val="single" w:sz="4" w:space="0" w:color="auto"/>
            </w:tcBorders>
            <w:shd w:val="clear" w:color="auto" w:fill="auto"/>
            <w:noWrap/>
            <w:vAlign w:val="center"/>
            <w:hideMark/>
          </w:tcPr>
          <w:p w14:paraId="79D45361" w14:textId="77777777" w:rsidR="003966FC" w:rsidRDefault="003966FC">
            <w:pPr>
              <w:jc w:val="center"/>
              <w:rPr>
                <w:rFonts w:ascii="Arial" w:hAnsi="Arial" w:cs="Arial"/>
                <w:color w:val="000000"/>
                <w:sz w:val="18"/>
                <w:szCs w:val="18"/>
              </w:rPr>
            </w:pPr>
            <w:r>
              <w:rPr>
                <w:rFonts w:ascii="Arial" w:hAnsi="Arial" w:cs="Arial"/>
                <w:color w:val="000000"/>
                <w:sz w:val="18"/>
                <w:szCs w:val="18"/>
              </w:rPr>
              <w:t>-0.20 %</w:t>
            </w:r>
          </w:p>
        </w:tc>
        <w:tc>
          <w:tcPr>
            <w:tcW w:w="0" w:type="auto"/>
            <w:tcBorders>
              <w:top w:val="nil"/>
              <w:left w:val="nil"/>
              <w:bottom w:val="nil"/>
              <w:right w:val="nil"/>
            </w:tcBorders>
            <w:shd w:val="clear" w:color="auto" w:fill="auto"/>
            <w:noWrap/>
            <w:vAlign w:val="center"/>
            <w:hideMark/>
          </w:tcPr>
          <w:p w14:paraId="618F9697" w14:textId="77777777" w:rsidR="003966FC" w:rsidRDefault="003966FC">
            <w:pPr>
              <w:jc w:val="center"/>
              <w:rPr>
                <w:rFonts w:ascii="Arial" w:hAnsi="Arial" w:cs="Arial"/>
                <w:color w:val="000000"/>
                <w:sz w:val="18"/>
                <w:szCs w:val="18"/>
              </w:rPr>
            </w:pPr>
            <w:r>
              <w:rPr>
                <w:rFonts w:ascii="Arial" w:hAnsi="Arial" w:cs="Arial"/>
                <w:color w:val="000000"/>
                <w:sz w:val="18"/>
                <w:szCs w:val="18"/>
              </w:rPr>
              <w:t>105 %</w:t>
            </w:r>
          </w:p>
        </w:tc>
        <w:tc>
          <w:tcPr>
            <w:tcW w:w="0" w:type="auto"/>
            <w:tcBorders>
              <w:top w:val="nil"/>
              <w:left w:val="nil"/>
              <w:bottom w:val="nil"/>
              <w:right w:val="single" w:sz="8" w:space="0" w:color="auto"/>
            </w:tcBorders>
            <w:shd w:val="clear" w:color="auto" w:fill="auto"/>
            <w:noWrap/>
            <w:vAlign w:val="center"/>
            <w:hideMark/>
          </w:tcPr>
          <w:p w14:paraId="5C90FD7D"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11FFF373"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3ABB3A3" w14:textId="77777777" w:rsidR="003966FC" w:rsidRDefault="003966FC">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D17340F" w14:textId="77777777" w:rsidR="003966FC" w:rsidRDefault="003966FC">
            <w:pPr>
              <w:jc w:val="center"/>
              <w:rPr>
                <w:rFonts w:ascii="Arial" w:hAnsi="Arial" w:cs="Arial"/>
                <w:color w:val="000000"/>
                <w:sz w:val="18"/>
                <w:szCs w:val="18"/>
              </w:rPr>
            </w:pPr>
            <w:r>
              <w:rPr>
                <w:rFonts w:ascii="Arial" w:hAnsi="Arial" w:cs="Arial"/>
                <w:color w:val="000000"/>
                <w:sz w:val="18"/>
                <w:szCs w:val="18"/>
              </w:rPr>
              <w:t>-0.26 %</w:t>
            </w:r>
          </w:p>
        </w:tc>
        <w:tc>
          <w:tcPr>
            <w:tcW w:w="0" w:type="auto"/>
            <w:tcBorders>
              <w:top w:val="nil"/>
              <w:left w:val="nil"/>
              <w:bottom w:val="nil"/>
              <w:right w:val="nil"/>
            </w:tcBorders>
            <w:shd w:val="clear" w:color="auto" w:fill="auto"/>
            <w:noWrap/>
            <w:vAlign w:val="center"/>
            <w:hideMark/>
          </w:tcPr>
          <w:p w14:paraId="4E34CDA2" w14:textId="77777777" w:rsidR="003966FC" w:rsidRDefault="003966FC">
            <w:pPr>
              <w:jc w:val="center"/>
              <w:rPr>
                <w:rFonts w:ascii="Arial" w:hAnsi="Arial" w:cs="Arial"/>
                <w:color w:val="000000"/>
                <w:sz w:val="18"/>
                <w:szCs w:val="18"/>
              </w:rPr>
            </w:pPr>
            <w:r>
              <w:rPr>
                <w:rFonts w:ascii="Arial" w:hAnsi="Arial" w:cs="Arial"/>
                <w:color w:val="000000"/>
                <w:sz w:val="18"/>
                <w:szCs w:val="18"/>
              </w:rPr>
              <w:t>-0.42 %</w:t>
            </w:r>
          </w:p>
        </w:tc>
        <w:tc>
          <w:tcPr>
            <w:tcW w:w="0" w:type="auto"/>
            <w:tcBorders>
              <w:top w:val="nil"/>
              <w:left w:val="nil"/>
              <w:bottom w:val="nil"/>
              <w:right w:val="single" w:sz="4" w:space="0" w:color="auto"/>
            </w:tcBorders>
            <w:shd w:val="clear" w:color="auto" w:fill="auto"/>
            <w:noWrap/>
            <w:vAlign w:val="center"/>
            <w:hideMark/>
          </w:tcPr>
          <w:p w14:paraId="5AC1A3CE" w14:textId="77777777" w:rsidR="003966FC" w:rsidRDefault="003966FC">
            <w:pPr>
              <w:jc w:val="center"/>
              <w:rPr>
                <w:rFonts w:ascii="Arial" w:hAnsi="Arial" w:cs="Arial"/>
                <w:color w:val="000000"/>
                <w:sz w:val="18"/>
                <w:szCs w:val="18"/>
              </w:rPr>
            </w:pPr>
            <w:r>
              <w:rPr>
                <w:rFonts w:ascii="Arial" w:hAnsi="Arial" w:cs="Arial"/>
                <w:color w:val="000000"/>
                <w:sz w:val="18"/>
                <w:szCs w:val="18"/>
              </w:rPr>
              <w:t>-0.41 %</w:t>
            </w:r>
          </w:p>
        </w:tc>
        <w:tc>
          <w:tcPr>
            <w:tcW w:w="0" w:type="auto"/>
            <w:tcBorders>
              <w:top w:val="nil"/>
              <w:left w:val="nil"/>
              <w:bottom w:val="nil"/>
              <w:right w:val="nil"/>
            </w:tcBorders>
            <w:shd w:val="clear" w:color="auto" w:fill="auto"/>
            <w:noWrap/>
            <w:vAlign w:val="center"/>
            <w:hideMark/>
          </w:tcPr>
          <w:p w14:paraId="51B5FB83" w14:textId="77777777" w:rsidR="003966FC" w:rsidRDefault="003966FC">
            <w:pPr>
              <w:jc w:val="center"/>
              <w:rPr>
                <w:rFonts w:ascii="Arial" w:hAnsi="Arial" w:cs="Arial"/>
                <w:color w:val="000000"/>
                <w:sz w:val="18"/>
                <w:szCs w:val="18"/>
              </w:rPr>
            </w:pPr>
            <w:r>
              <w:rPr>
                <w:rFonts w:ascii="Arial" w:hAnsi="Arial" w:cs="Arial"/>
                <w:color w:val="000000"/>
                <w:sz w:val="18"/>
                <w:szCs w:val="18"/>
              </w:rPr>
              <w:t>106 %</w:t>
            </w:r>
          </w:p>
        </w:tc>
        <w:tc>
          <w:tcPr>
            <w:tcW w:w="0" w:type="auto"/>
            <w:tcBorders>
              <w:top w:val="nil"/>
              <w:left w:val="nil"/>
              <w:bottom w:val="nil"/>
              <w:right w:val="nil"/>
            </w:tcBorders>
            <w:shd w:val="clear" w:color="auto" w:fill="auto"/>
            <w:noWrap/>
            <w:vAlign w:val="center"/>
            <w:hideMark/>
          </w:tcPr>
          <w:p w14:paraId="4D7EBD16" w14:textId="77777777" w:rsidR="003966FC" w:rsidRDefault="003966FC">
            <w:pPr>
              <w:jc w:val="center"/>
              <w:rPr>
                <w:rFonts w:ascii="Arial" w:hAnsi="Arial" w:cs="Arial"/>
                <w:color w:val="000000"/>
                <w:sz w:val="18"/>
                <w:szCs w:val="18"/>
              </w:rPr>
            </w:pPr>
            <w:r>
              <w:rPr>
                <w:rFonts w:ascii="Arial" w:hAnsi="Arial" w:cs="Arial"/>
                <w:color w:val="000000"/>
                <w:sz w:val="18"/>
                <w:szCs w:val="18"/>
              </w:rPr>
              <w:t>97 %</w:t>
            </w:r>
          </w:p>
        </w:tc>
        <w:tc>
          <w:tcPr>
            <w:tcW w:w="0" w:type="auto"/>
            <w:tcBorders>
              <w:top w:val="nil"/>
              <w:left w:val="single" w:sz="8" w:space="0" w:color="auto"/>
              <w:bottom w:val="nil"/>
              <w:right w:val="nil"/>
            </w:tcBorders>
            <w:shd w:val="clear" w:color="auto" w:fill="auto"/>
            <w:noWrap/>
            <w:vAlign w:val="center"/>
            <w:hideMark/>
          </w:tcPr>
          <w:p w14:paraId="1228CF6F" w14:textId="77777777" w:rsidR="003966FC" w:rsidRDefault="003966FC">
            <w:pPr>
              <w:jc w:val="center"/>
              <w:rPr>
                <w:rFonts w:ascii="Arial" w:hAnsi="Arial" w:cs="Arial"/>
                <w:color w:val="000000"/>
                <w:sz w:val="18"/>
                <w:szCs w:val="18"/>
              </w:rPr>
            </w:pPr>
            <w:r>
              <w:rPr>
                <w:rFonts w:ascii="Arial" w:hAnsi="Arial" w:cs="Arial"/>
                <w:color w:val="000000"/>
                <w:sz w:val="18"/>
                <w:szCs w:val="18"/>
              </w:rPr>
              <w:t>-0.22 %</w:t>
            </w:r>
          </w:p>
        </w:tc>
        <w:tc>
          <w:tcPr>
            <w:tcW w:w="0" w:type="auto"/>
            <w:tcBorders>
              <w:top w:val="nil"/>
              <w:left w:val="nil"/>
              <w:bottom w:val="nil"/>
              <w:right w:val="nil"/>
            </w:tcBorders>
            <w:shd w:val="clear" w:color="auto" w:fill="auto"/>
            <w:noWrap/>
            <w:vAlign w:val="center"/>
            <w:hideMark/>
          </w:tcPr>
          <w:p w14:paraId="42AA9204" w14:textId="77777777" w:rsidR="003966FC" w:rsidRDefault="003966FC">
            <w:pPr>
              <w:jc w:val="center"/>
              <w:rPr>
                <w:rFonts w:ascii="Arial" w:hAnsi="Arial" w:cs="Arial"/>
                <w:color w:val="000000"/>
                <w:sz w:val="18"/>
                <w:szCs w:val="18"/>
              </w:rPr>
            </w:pPr>
            <w:r>
              <w:rPr>
                <w:rFonts w:ascii="Arial" w:hAnsi="Arial" w:cs="Arial"/>
                <w:color w:val="000000"/>
                <w:sz w:val="18"/>
                <w:szCs w:val="18"/>
              </w:rPr>
              <w:t>-0.32 %</w:t>
            </w:r>
          </w:p>
        </w:tc>
        <w:tc>
          <w:tcPr>
            <w:tcW w:w="0" w:type="auto"/>
            <w:tcBorders>
              <w:top w:val="nil"/>
              <w:left w:val="nil"/>
              <w:bottom w:val="nil"/>
              <w:right w:val="single" w:sz="4" w:space="0" w:color="auto"/>
            </w:tcBorders>
            <w:shd w:val="clear" w:color="auto" w:fill="auto"/>
            <w:noWrap/>
            <w:vAlign w:val="center"/>
            <w:hideMark/>
          </w:tcPr>
          <w:p w14:paraId="24B0823D" w14:textId="77777777" w:rsidR="003966FC" w:rsidRDefault="003966FC">
            <w:pPr>
              <w:jc w:val="center"/>
              <w:rPr>
                <w:rFonts w:ascii="Arial" w:hAnsi="Arial" w:cs="Arial"/>
                <w:color w:val="000000"/>
                <w:sz w:val="18"/>
                <w:szCs w:val="18"/>
              </w:rPr>
            </w:pPr>
            <w:r>
              <w:rPr>
                <w:rFonts w:ascii="Arial" w:hAnsi="Arial" w:cs="Arial"/>
                <w:color w:val="000000"/>
                <w:sz w:val="18"/>
                <w:szCs w:val="18"/>
              </w:rPr>
              <w:t>-0.37 %</w:t>
            </w:r>
          </w:p>
        </w:tc>
        <w:tc>
          <w:tcPr>
            <w:tcW w:w="0" w:type="auto"/>
            <w:tcBorders>
              <w:top w:val="nil"/>
              <w:left w:val="nil"/>
              <w:bottom w:val="nil"/>
              <w:right w:val="nil"/>
            </w:tcBorders>
            <w:shd w:val="clear" w:color="auto" w:fill="auto"/>
            <w:noWrap/>
            <w:vAlign w:val="center"/>
            <w:hideMark/>
          </w:tcPr>
          <w:p w14:paraId="22812F62"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nil"/>
              <w:right w:val="single" w:sz="8" w:space="0" w:color="auto"/>
            </w:tcBorders>
            <w:shd w:val="clear" w:color="auto" w:fill="auto"/>
            <w:noWrap/>
            <w:vAlign w:val="center"/>
            <w:hideMark/>
          </w:tcPr>
          <w:p w14:paraId="5103988B" w14:textId="77777777" w:rsidR="003966FC" w:rsidRDefault="003966FC">
            <w:pPr>
              <w:jc w:val="center"/>
              <w:rPr>
                <w:rFonts w:ascii="Arial" w:hAnsi="Arial" w:cs="Arial"/>
                <w:color w:val="000000"/>
                <w:sz w:val="18"/>
                <w:szCs w:val="18"/>
              </w:rPr>
            </w:pPr>
            <w:r>
              <w:rPr>
                <w:rFonts w:ascii="Arial" w:hAnsi="Arial" w:cs="Arial"/>
                <w:color w:val="000000"/>
                <w:sz w:val="18"/>
                <w:szCs w:val="18"/>
              </w:rPr>
              <w:t>98 %</w:t>
            </w:r>
          </w:p>
        </w:tc>
      </w:tr>
      <w:tr w:rsidR="003966FC" w14:paraId="5C035105"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32B4C49" w14:textId="77777777" w:rsidR="003966FC" w:rsidRDefault="003966FC">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F1A4743" w14:textId="77777777" w:rsidR="003966FC" w:rsidRDefault="003966FC">
            <w:pPr>
              <w:jc w:val="center"/>
              <w:rPr>
                <w:rFonts w:ascii="Arial" w:hAnsi="Arial" w:cs="Arial"/>
                <w:color w:val="000000"/>
                <w:sz w:val="18"/>
                <w:szCs w:val="18"/>
              </w:rPr>
            </w:pPr>
            <w:r>
              <w:rPr>
                <w:rFonts w:ascii="Arial" w:hAnsi="Arial" w:cs="Arial"/>
                <w:color w:val="000000"/>
                <w:sz w:val="18"/>
                <w:szCs w:val="18"/>
              </w:rPr>
              <w:t>-0.29 %</w:t>
            </w:r>
          </w:p>
        </w:tc>
        <w:tc>
          <w:tcPr>
            <w:tcW w:w="0" w:type="auto"/>
            <w:tcBorders>
              <w:top w:val="nil"/>
              <w:left w:val="nil"/>
              <w:bottom w:val="nil"/>
              <w:right w:val="nil"/>
            </w:tcBorders>
            <w:shd w:val="clear" w:color="auto" w:fill="auto"/>
            <w:noWrap/>
            <w:vAlign w:val="center"/>
            <w:hideMark/>
          </w:tcPr>
          <w:p w14:paraId="3E2CBEC4" w14:textId="77777777" w:rsidR="003966FC" w:rsidRDefault="003966FC">
            <w:pPr>
              <w:jc w:val="center"/>
              <w:rPr>
                <w:rFonts w:ascii="Arial" w:hAnsi="Arial" w:cs="Arial"/>
                <w:color w:val="000000"/>
                <w:sz w:val="18"/>
                <w:szCs w:val="18"/>
              </w:rPr>
            </w:pPr>
            <w:r>
              <w:rPr>
                <w:rFonts w:ascii="Arial" w:hAnsi="Arial" w:cs="Arial"/>
                <w:color w:val="000000"/>
                <w:sz w:val="18"/>
                <w:szCs w:val="18"/>
              </w:rPr>
              <w:t>-0.51 %</w:t>
            </w:r>
          </w:p>
        </w:tc>
        <w:tc>
          <w:tcPr>
            <w:tcW w:w="0" w:type="auto"/>
            <w:tcBorders>
              <w:top w:val="nil"/>
              <w:left w:val="nil"/>
              <w:bottom w:val="nil"/>
              <w:right w:val="single" w:sz="4" w:space="0" w:color="auto"/>
            </w:tcBorders>
            <w:shd w:val="clear" w:color="auto" w:fill="auto"/>
            <w:noWrap/>
            <w:vAlign w:val="center"/>
            <w:hideMark/>
          </w:tcPr>
          <w:p w14:paraId="559F2E7B" w14:textId="77777777" w:rsidR="003966FC" w:rsidRDefault="003966FC">
            <w:pPr>
              <w:jc w:val="center"/>
              <w:rPr>
                <w:rFonts w:ascii="Arial" w:hAnsi="Arial" w:cs="Arial"/>
                <w:color w:val="000000"/>
                <w:sz w:val="18"/>
                <w:szCs w:val="18"/>
              </w:rPr>
            </w:pPr>
            <w:r>
              <w:rPr>
                <w:rFonts w:ascii="Arial" w:hAnsi="Arial" w:cs="Arial"/>
                <w:color w:val="000000"/>
                <w:sz w:val="18"/>
                <w:szCs w:val="18"/>
              </w:rPr>
              <w:t>-0.65 %</w:t>
            </w:r>
          </w:p>
        </w:tc>
        <w:tc>
          <w:tcPr>
            <w:tcW w:w="0" w:type="auto"/>
            <w:tcBorders>
              <w:top w:val="nil"/>
              <w:left w:val="nil"/>
              <w:bottom w:val="nil"/>
              <w:right w:val="nil"/>
            </w:tcBorders>
            <w:shd w:val="clear" w:color="auto" w:fill="auto"/>
            <w:noWrap/>
            <w:vAlign w:val="center"/>
            <w:hideMark/>
          </w:tcPr>
          <w:p w14:paraId="56C7173F" w14:textId="77777777" w:rsidR="003966FC" w:rsidRDefault="003966FC">
            <w:pPr>
              <w:jc w:val="center"/>
              <w:rPr>
                <w:rFonts w:ascii="Arial" w:hAnsi="Arial" w:cs="Arial"/>
                <w:color w:val="000000"/>
                <w:sz w:val="18"/>
                <w:szCs w:val="18"/>
              </w:rPr>
            </w:pPr>
            <w:r>
              <w:rPr>
                <w:rFonts w:ascii="Arial" w:hAnsi="Arial" w:cs="Arial"/>
                <w:color w:val="000000"/>
                <w:sz w:val="18"/>
                <w:szCs w:val="18"/>
              </w:rPr>
              <w:t>106 %</w:t>
            </w:r>
          </w:p>
        </w:tc>
        <w:tc>
          <w:tcPr>
            <w:tcW w:w="0" w:type="auto"/>
            <w:tcBorders>
              <w:top w:val="nil"/>
              <w:left w:val="nil"/>
              <w:bottom w:val="nil"/>
              <w:right w:val="nil"/>
            </w:tcBorders>
            <w:shd w:val="clear" w:color="auto" w:fill="auto"/>
            <w:noWrap/>
            <w:vAlign w:val="center"/>
            <w:hideMark/>
          </w:tcPr>
          <w:p w14:paraId="2ED3C1AD" w14:textId="77777777" w:rsidR="003966FC" w:rsidRDefault="003966FC">
            <w:pPr>
              <w:jc w:val="center"/>
              <w:rPr>
                <w:rFonts w:ascii="Arial" w:hAnsi="Arial" w:cs="Arial"/>
                <w:color w:val="000000"/>
                <w:sz w:val="18"/>
                <w:szCs w:val="18"/>
              </w:rPr>
            </w:pPr>
            <w:r>
              <w:rPr>
                <w:rFonts w:ascii="Arial" w:hAnsi="Arial" w:cs="Arial"/>
                <w:color w:val="000000"/>
                <w:sz w:val="18"/>
                <w:szCs w:val="18"/>
              </w:rPr>
              <w:t>106 %</w:t>
            </w:r>
          </w:p>
        </w:tc>
        <w:tc>
          <w:tcPr>
            <w:tcW w:w="0" w:type="auto"/>
            <w:tcBorders>
              <w:top w:val="nil"/>
              <w:left w:val="single" w:sz="8" w:space="0" w:color="auto"/>
              <w:bottom w:val="nil"/>
              <w:right w:val="nil"/>
            </w:tcBorders>
            <w:shd w:val="clear" w:color="auto" w:fill="auto"/>
            <w:noWrap/>
            <w:vAlign w:val="center"/>
            <w:hideMark/>
          </w:tcPr>
          <w:p w14:paraId="0CB9D202" w14:textId="77777777" w:rsidR="003966FC" w:rsidRDefault="003966FC">
            <w:pPr>
              <w:jc w:val="center"/>
              <w:rPr>
                <w:rFonts w:ascii="Arial" w:hAnsi="Arial" w:cs="Arial"/>
                <w:color w:val="000000"/>
                <w:sz w:val="18"/>
                <w:szCs w:val="18"/>
              </w:rPr>
            </w:pPr>
            <w:r>
              <w:rPr>
                <w:rFonts w:ascii="Arial" w:hAnsi="Arial" w:cs="Arial"/>
                <w:color w:val="000000"/>
                <w:sz w:val="18"/>
                <w:szCs w:val="18"/>
              </w:rPr>
              <w:t>-0.25 %</w:t>
            </w:r>
          </w:p>
        </w:tc>
        <w:tc>
          <w:tcPr>
            <w:tcW w:w="0" w:type="auto"/>
            <w:tcBorders>
              <w:top w:val="nil"/>
              <w:left w:val="nil"/>
              <w:bottom w:val="nil"/>
              <w:right w:val="nil"/>
            </w:tcBorders>
            <w:shd w:val="clear" w:color="auto" w:fill="auto"/>
            <w:noWrap/>
            <w:vAlign w:val="center"/>
            <w:hideMark/>
          </w:tcPr>
          <w:p w14:paraId="4FBA4721" w14:textId="77777777" w:rsidR="003966FC" w:rsidRDefault="003966FC">
            <w:pPr>
              <w:jc w:val="center"/>
              <w:rPr>
                <w:rFonts w:ascii="Arial" w:hAnsi="Arial" w:cs="Arial"/>
                <w:color w:val="000000"/>
                <w:sz w:val="18"/>
                <w:szCs w:val="18"/>
              </w:rPr>
            </w:pPr>
            <w:r>
              <w:rPr>
                <w:rFonts w:ascii="Arial" w:hAnsi="Arial" w:cs="Arial"/>
                <w:color w:val="000000"/>
                <w:sz w:val="18"/>
                <w:szCs w:val="18"/>
              </w:rPr>
              <w:t>-0.23 %</w:t>
            </w:r>
          </w:p>
        </w:tc>
        <w:tc>
          <w:tcPr>
            <w:tcW w:w="0" w:type="auto"/>
            <w:tcBorders>
              <w:top w:val="nil"/>
              <w:left w:val="nil"/>
              <w:bottom w:val="nil"/>
              <w:right w:val="single" w:sz="4" w:space="0" w:color="auto"/>
            </w:tcBorders>
            <w:shd w:val="clear" w:color="auto" w:fill="auto"/>
            <w:noWrap/>
            <w:vAlign w:val="center"/>
            <w:hideMark/>
          </w:tcPr>
          <w:p w14:paraId="3847A3DE" w14:textId="77777777" w:rsidR="003966FC" w:rsidRDefault="003966FC">
            <w:pPr>
              <w:jc w:val="center"/>
              <w:rPr>
                <w:rFonts w:ascii="Arial" w:hAnsi="Arial" w:cs="Arial"/>
                <w:color w:val="000000"/>
                <w:sz w:val="18"/>
                <w:szCs w:val="18"/>
              </w:rPr>
            </w:pPr>
            <w:r>
              <w:rPr>
                <w:rFonts w:ascii="Arial" w:hAnsi="Arial" w:cs="Arial"/>
                <w:color w:val="000000"/>
                <w:sz w:val="18"/>
                <w:szCs w:val="18"/>
              </w:rPr>
              <w:t>-0.28 %</w:t>
            </w:r>
          </w:p>
        </w:tc>
        <w:tc>
          <w:tcPr>
            <w:tcW w:w="0" w:type="auto"/>
            <w:tcBorders>
              <w:top w:val="nil"/>
              <w:left w:val="nil"/>
              <w:bottom w:val="nil"/>
              <w:right w:val="nil"/>
            </w:tcBorders>
            <w:shd w:val="clear" w:color="auto" w:fill="auto"/>
            <w:noWrap/>
            <w:vAlign w:val="center"/>
            <w:hideMark/>
          </w:tcPr>
          <w:p w14:paraId="2F663E30"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nil"/>
              <w:bottom w:val="nil"/>
              <w:right w:val="single" w:sz="8" w:space="0" w:color="auto"/>
            </w:tcBorders>
            <w:shd w:val="clear" w:color="auto" w:fill="auto"/>
            <w:noWrap/>
            <w:vAlign w:val="center"/>
            <w:hideMark/>
          </w:tcPr>
          <w:p w14:paraId="006C764E" w14:textId="77777777" w:rsidR="003966FC" w:rsidRDefault="003966FC">
            <w:pPr>
              <w:jc w:val="center"/>
              <w:rPr>
                <w:rFonts w:ascii="Arial" w:hAnsi="Arial" w:cs="Arial"/>
                <w:color w:val="000000"/>
                <w:sz w:val="18"/>
                <w:szCs w:val="18"/>
              </w:rPr>
            </w:pPr>
            <w:r>
              <w:rPr>
                <w:rFonts w:ascii="Arial" w:hAnsi="Arial" w:cs="Arial"/>
                <w:color w:val="000000"/>
                <w:sz w:val="18"/>
                <w:szCs w:val="18"/>
              </w:rPr>
              <w:t>98 %</w:t>
            </w:r>
          </w:p>
        </w:tc>
      </w:tr>
      <w:tr w:rsidR="003966FC" w14:paraId="378EA497"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6481FFC" w14:textId="77777777" w:rsidR="003966FC" w:rsidRDefault="003966FC">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7FFCC75" w14:textId="77777777" w:rsidR="003966FC" w:rsidRDefault="003966FC">
            <w:pPr>
              <w:jc w:val="center"/>
              <w:rPr>
                <w:rFonts w:ascii="Arial" w:hAnsi="Arial" w:cs="Arial"/>
                <w:color w:val="000000"/>
                <w:sz w:val="18"/>
                <w:szCs w:val="18"/>
              </w:rPr>
            </w:pPr>
            <w:r>
              <w:rPr>
                <w:rFonts w:ascii="Arial" w:hAnsi="Arial" w:cs="Arial"/>
                <w:color w:val="000000"/>
                <w:sz w:val="18"/>
                <w:szCs w:val="18"/>
              </w:rPr>
              <w:t>-0.41 %</w:t>
            </w:r>
          </w:p>
        </w:tc>
        <w:tc>
          <w:tcPr>
            <w:tcW w:w="0" w:type="auto"/>
            <w:tcBorders>
              <w:top w:val="nil"/>
              <w:left w:val="nil"/>
              <w:bottom w:val="nil"/>
              <w:right w:val="nil"/>
            </w:tcBorders>
            <w:shd w:val="clear" w:color="auto" w:fill="auto"/>
            <w:noWrap/>
            <w:vAlign w:val="center"/>
            <w:hideMark/>
          </w:tcPr>
          <w:p w14:paraId="4B536A09" w14:textId="77777777" w:rsidR="003966FC" w:rsidRDefault="003966FC">
            <w:pPr>
              <w:jc w:val="center"/>
              <w:rPr>
                <w:rFonts w:ascii="Arial" w:hAnsi="Arial" w:cs="Arial"/>
                <w:color w:val="000000"/>
                <w:sz w:val="18"/>
                <w:szCs w:val="18"/>
              </w:rPr>
            </w:pPr>
            <w:r>
              <w:rPr>
                <w:rFonts w:ascii="Arial" w:hAnsi="Arial" w:cs="Arial"/>
                <w:color w:val="000000"/>
                <w:sz w:val="18"/>
                <w:szCs w:val="18"/>
              </w:rPr>
              <w:t>-0.43 %</w:t>
            </w:r>
          </w:p>
        </w:tc>
        <w:tc>
          <w:tcPr>
            <w:tcW w:w="0" w:type="auto"/>
            <w:tcBorders>
              <w:top w:val="nil"/>
              <w:left w:val="nil"/>
              <w:bottom w:val="nil"/>
              <w:right w:val="single" w:sz="4" w:space="0" w:color="auto"/>
            </w:tcBorders>
            <w:shd w:val="clear" w:color="auto" w:fill="auto"/>
            <w:noWrap/>
            <w:vAlign w:val="center"/>
            <w:hideMark/>
          </w:tcPr>
          <w:p w14:paraId="5A17CAB0" w14:textId="77777777" w:rsidR="003966FC" w:rsidRDefault="003966FC">
            <w:pPr>
              <w:jc w:val="center"/>
              <w:rPr>
                <w:rFonts w:ascii="Arial" w:hAnsi="Arial" w:cs="Arial"/>
                <w:color w:val="000000"/>
                <w:sz w:val="18"/>
                <w:szCs w:val="18"/>
              </w:rPr>
            </w:pPr>
            <w:r>
              <w:rPr>
                <w:rFonts w:ascii="Arial" w:hAnsi="Arial" w:cs="Arial"/>
                <w:color w:val="000000"/>
                <w:sz w:val="18"/>
                <w:szCs w:val="18"/>
              </w:rPr>
              <w:t>-0.42 %</w:t>
            </w:r>
          </w:p>
        </w:tc>
        <w:tc>
          <w:tcPr>
            <w:tcW w:w="0" w:type="auto"/>
            <w:tcBorders>
              <w:top w:val="nil"/>
              <w:left w:val="nil"/>
              <w:bottom w:val="nil"/>
              <w:right w:val="nil"/>
            </w:tcBorders>
            <w:shd w:val="clear" w:color="auto" w:fill="auto"/>
            <w:noWrap/>
            <w:vAlign w:val="center"/>
            <w:hideMark/>
          </w:tcPr>
          <w:p w14:paraId="5DC79F99" w14:textId="77777777" w:rsidR="003966FC" w:rsidRDefault="003966FC">
            <w:pPr>
              <w:jc w:val="center"/>
              <w:rPr>
                <w:rFonts w:ascii="Arial" w:hAnsi="Arial" w:cs="Arial"/>
                <w:color w:val="000000"/>
                <w:sz w:val="18"/>
                <w:szCs w:val="18"/>
              </w:rPr>
            </w:pPr>
            <w:r>
              <w:rPr>
                <w:rFonts w:ascii="Arial" w:hAnsi="Arial" w:cs="Arial"/>
                <w:color w:val="000000"/>
                <w:sz w:val="18"/>
                <w:szCs w:val="18"/>
              </w:rPr>
              <w:t>108 %</w:t>
            </w:r>
          </w:p>
        </w:tc>
        <w:tc>
          <w:tcPr>
            <w:tcW w:w="0" w:type="auto"/>
            <w:tcBorders>
              <w:top w:val="nil"/>
              <w:left w:val="nil"/>
              <w:bottom w:val="nil"/>
              <w:right w:val="nil"/>
            </w:tcBorders>
            <w:shd w:val="clear" w:color="auto" w:fill="auto"/>
            <w:noWrap/>
            <w:vAlign w:val="center"/>
            <w:hideMark/>
          </w:tcPr>
          <w:p w14:paraId="4E428C5E"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nil"/>
              <w:left w:val="single" w:sz="8" w:space="0" w:color="auto"/>
              <w:bottom w:val="nil"/>
              <w:right w:val="nil"/>
            </w:tcBorders>
            <w:shd w:val="clear" w:color="auto" w:fill="auto"/>
            <w:noWrap/>
            <w:vAlign w:val="center"/>
            <w:hideMark/>
          </w:tcPr>
          <w:p w14:paraId="6A0FDF8B" w14:textId="77777777" w:rsidR="003966FC" w:rsidRDefault="003966FC">
            <w:pPr>
              <w:jc w:val="center"/>
              <w:rPr>
                <w:rFonts w:ascii="Arial" w:hAnsi="Arial" w:cs="Arial"/>
                <w:color w:val="000000"/>
                <w:sz w:val="18"/>
                <w:szCs w:val="18"/>
              </w:rPr>
            </w:pPr>
            <w:r>
              <w:rPr>
                <w:rFonts w:ascii="Arial" w:hAnsi="Arial" w:cs="Arial"/>
                <w:color w:val="000000"/>
                <w:sz w:val="18"/>
                <w:szCs w:val="18"/>
              </w:rPr>
              <w:t>-0.33 %</w:t>
            </w:r>
          </w:p>
        </w:tc>
        <w:tc>
          <w:tcPr>
            <w:tcW w:w="0" w:type="auto"/>
            <w:tcBorders>
              <w:top w:val="nil"/>
              <w:left w:val="nil"/>
              <w:bottom w:val="nil"/>
              <w:right w:val="nil"/>
            </w:tcBorders>
            <w:shd w:val="clear" w:color="auto" w:fill="auto"/>
            <w:noWrap/>
            <w:vAlign w:val="center"/>
            <w:hideMark/>
          </w:tcPr>
          <w:p w14:paraId="7DFFB8D3" w14:textId="77777777" w:rsidR="003966FC" w:rsidRDefault="003966FC">
            <w:pPr>
              <w:jc w:val="center"/>
              <w:rPr>
                <w:rFonts w:ascii="Arial" w:hAnsi="Arial" w:cs="Arial"/>
                <w:color w:val="000000"/>
                <w:sz w:val="18"/>
                <w:szCs w:val="18"/>
              </w:rPr>
            </w:pPr>
            <w:r>
              <w:rPr>
                <w:rFonts w:ascii="Arial" w:hAnsi="Arial" w:cs="Arial"/>
                <w:color w:val="000000"/>
                <w:sz w:val="18"/>
                <w:szCs w:val="18"/>
              </w:rPr>
              <w:t>-0.24 %</w:t>
            </w:r>
          </w:p>
        </w:tc>
        <w:tc>
          <w:tcPr>
            <w:tcW w:w="0" w:type="auto"/>
            <w:tcBorders>
              <w:top w:val="nil"/>
              <w:left w:val="nil"/>
              <w:bottom w:val="nil"/>
              <w:right w:val="single" w:sz="4" w:space="0" w:color="auto"/>
            </w:tcBorders>
            <w:shd w:val="clear" w:color="auto" w:fill="auto"/>
            <w:noWrap/>
            <w:vAlign w:val="center"/>
            <w:hideMark/>
          </w:tcPr>
          <w:p w14:paraId="566274FB" w14:textId="77777777" w:rsidR="003966FC" w:rsidRDefault="003966FC">
            <w:pPr>
              <w:jc w:val="center"/>
              <w:rPr>
                <w:rFonts w:ascii="Arial" w:hAnsi="Arial" w:cs="Arial"/>
                <w:color w:val="000000"/>
                <w:sz w:val="18"/>
                <w:szCs w:val="18"/>
              </w:rPr>
            </w:pPr>
            <w:r>
              <w:rPr>
                <w:rFonts w:ascii="Arial" w:hAnsi="Arial" w:cs="Arial"/>
                <w:color w:val="000000"/>
                <w:sz w:val="18"/>
                <w:szCs w:val="18"/>
              </w:rPr>
              <w:t>-0.48 %</w:t>
            </w:r>
          </w:p>
        </w:tc>
        <w:tc>
          <w:tcPr>
            <w:tcW w:w="0" w:type="auto"/>
            <w:tcBorders>
              <w:top w:val="nil"/>
              <w:left w:val="nil"/>
              <w:bottom w:val="nil"/>
              <w:right w:val="nil"/>
            </w:tcBorders>
            <w:shd w:val="clear" w:color="auto" w:fill="auto"/>
            <w:noWrap/>
            <w:vAlign w:val="center"/>
            <w:hideMark/>
          </w:tcPr>
          <w:p w14:paraId="1A2EA49E" w14:textId="77777777" w:rsidR="003966FC" w:rsidRDefault="003966FC">
            <w:pPr>
              <w:jc w:val="center"/>
              <w:rPr>
                <w:rFonts w:ascii="Arial" w:hAnsi="Arial" w:cs="Arial"/>
                <w:color w:val="000000"/>
                <w:sz w:val="18"/>
                <w:szCs w:val="18"/>
              </w:rPr>
            </w:pPr>
            <w:r>
              <w:rPr>
                <w:rFonts w:ascii="Arial" w:hAnsi="Arial" w:cs="Arial"/>
                <w:color w:val="000000"/>
                <w:sz w:val="18"/>
                <w:szCs w:val="18"/>
              </w:rPr>
              <w:t>99 %</w:t>
            </w:r>
          </w:p>
        </w:tc>
        <w:tc>
          <w:tcPr>
            <w:tcW w:w="0" w:type="auto"/>
            <w:tcBorders>
              <w:top w:val="nil"/>
              <w:left w:val="nil"/>
              <w:bottom w:val="nil"/>
              <w:right w:val="single" w:sz="8" w:space="0" w:color="auto"/>
            </w:tcBorders>
            <w:shd w:val="clear" w:color="auto" w:fill="auto"/>
            <w:noWrap/>
            <w:vAlign w:val="center"/>
            <w:hideMark/>
          </w:tcPr>
          <w:p w14:paraId="0A6DF64D" w14:textId="77777777" w:rsidR="003966FC" w:rsidRDefault="003966FC">
            <w:pPr>
              <w:jc w:val="center"/>
              <w:rPr>
                <w:rFonts w:ascii="Arial" w:hAnsi="Arial" w:cs="Arial"/>
                <w:color w:val="000000"/>
                <w:sz w:val="18"/>
                <w:szCs w:val="18"/>
              </w:rPr>
            </w:pPr>
            <w:r>
              <w:rPr>
                <w:rFonts w:ascii="Arial" w:hAnsi="Arial" w:cs="Arial"/>
                <w:color w:val="000000"/>
                <w:sz w:val="18"/>
                <w:szCs w:val="18"/>
              </w:rPr>
              <w:t>98 %</w:t>
            </w:r>
          </w:p>
        </w:tc>
      </w:tr>
      <w:tr w:rsidR="003966FC" w14:paraId="0D427BDC"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4D0CAB"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Overall</w:t>
            </w:r>
            <w:proofErr w:type="spellEnd"/>
            <w:r>
              <w:rPr>
                <w:rFonts w:ascii="Arial" w:hAnsi="Arial" w:cs="Arial"/>
                <w:b/>
                <w:bCs/>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04EBF7D5" w14:textId="77777777" w:rsidR="003966FC" w:rsidRDefault="003966FC">
            <w:pPr>
              <w:jc w:val="center"/>
              <w:rPr>
                <w:rFonts w:ascii="Arial" w:hAnsi="Arial" w:cs="Arial"/>
                <w:color w:val="000000"/>
                <w:sz w:val="18"/>
                <w:szCs w:val="18"/>
              </w:rPr>
            </w:pPr>
            <w:r>
              <w:rPr>
                <w:rFonts w:ascii="Arial" w:hAnsi="Arial" w:cs="Arial"/>
                <w:color w:val="000000"/>
                <w:sz w:val="18"/>
                <w:szCs w:val="18"/>
              </w:rPr>
              <w:t>-0.28 %</w:t>
            </w:r>
          </w:p>
        </w:tc>
        <w:tc>
          <w:tcPr>
            <w:tcW w:w="0" w:type="auto"/>
            <w:tcBorders>
              <w:top w:val="single" w:sz="8" w:space="0" w:color="auto"/>
              <w:left w:val="nil"/>
              <w:bottom w:val="nil"/>
              <w:right w:val="nil"/>
            </w:tcBorders>
            <w:shd w:val="clear" w:color="auto" w:fill="auto"/>
            <w:noWrap/>
            <w:vAlign w:val="center"/>
            <w:hideMark/>
          </w:tcPr>
          <w:p w14:paraId="6B8F55A8" w14:textId="77777777" w:rsidR="003966FC" w:rsidRDefault="003966FC">
            <w:pPr>
              <w:jc w:val="center"/>
              <w:rPr>
                <w:rFonts w:ascii="Arial" w:hAnsi="Arial" w:cs="Arial"/>
                <w:color w:val="000000"/>
                <w:sz w:val="18"/>
                <w:szCs w:val="18"/>
              </w:rPr>
            </w:pPr>
            <w:r>
              <w:rPr>
                <w:rFonts w:ascii="Arial" w:hAnsi="Arial" w:cs="Arial"/>
                <w:color w:val="000000"/>
                <w:sz w:val="18"/>
                <w:szCs w:val="18"/>
              </w:rPr>
              <w:t>-0.38 %</w:t>
            </w:r>
          </w:p>
        </w:tc>
        <w:tc>
          <w:tcPr>
            <w:tcW w:w="0" w:type="auto"/>
            <w:tcBorders>
              <w:top w:val="single" w:sz="8" w:space="0" w:color="auto"/>
              <w:left w:val="nil"/>
              <w:bottom w:val="nil"/>
              <w:right w:val="single" w:sz="4" w:space="0" w:color="auto"/>
            </w:tcBorders>
            <w:shd w:val="clear" w:color="auto" w:fill="auto"/>
            <w:noWrap/>
            <w:vAlign w:val="center"/>
            <w:hideMark/>
          </w:tcPr>
          <w:p w14:paraId="74D5FF78" w14:textId="77777777" w:rsidR="003966FC" w:rsidRDefault="003966FC">
            <w:pPr>
              <w:jc w:val="center"/>
              <w:rPr>
                <w:rFonts w:ascii="Arial" w:hAnsi="Arial" w:cs="Arial"/>
                <w:color w:val="000000"/>
                <w:sz w:val="18"/>
                <w:szCs w:val="18"/>
              </w:rPr>
            </w:pPr>
            <w:r>
              <w:rPr>
                <w:rFonts w:ascii="Arial" w:hAnsi="Arial" w:cs="Arial"/>
                <w:color w:val="000000"/>
                <w:sz w:val="18"/>
                <w:szCs w:val="18"/>
              </w:rPr>
              <w:t>-0.42 %</w:t>
            </w:r>
          </w:p>
        </w:tc>
        <w:tc>
          <w:tcPr>
            <w:tcW w:w="0" w:type="auto"/>
            <w:tcBorders>
              <w:top w:val="single" w:sz="8" w:space="0" w:color="auto"/>
              <w:left w:val="nil"/>
              <w:bottom w:val="nil"/>
              <w:right w:val="nil"/>
            </w:tcBorders>
            <w:shd w:val="clear" w:color="auto" w:fill="auto"/>
            <w:noWrap/>
            <w:vAlign w:val="center"/>
            <w:hideMark/>
          </w:tcPr>
          <w:p w14:paraId="50B69F18" w14:textId="77777777" w:rsidR="003966FC" w:rsidRDefault="003966FC">
            <w:pPr>
              <w:jc w:val="center"/>
              <w:rPr>
                <w:rFonts w:ascii="Arial" w:hAnsi="Arial" w:cs="Arial"/>
                <w:color w:val="000000"/>
                <w:sz w:val="18"/>
                <w:szCs w:val="18"/>
              </w:rPr>
            </w:pPr>
            <w:r>
              <w:rPr>
                <w:rFonts w:ascii="Arial" w:hAnsi="Arial" w:cs="Arial"/>
                <w:color w:val="000000"/>
                <w:sz w:val="18"/>
                <w:szCs w:val="18"/>
              </w:rPr>
              <w:t>106 %</w:t>
            </w:r>
          </w:p>
        </w:tc>
        <w:tc>
          <w:tcPr>
            <w:tcW w:w="0" w:type="auto"/>
            <w:tcBorders>
              <w:top w:val="single" w:sz="8" w:space="0" w:color="auto"/>
              <w:left w:val="nil"/>
              <w:bottom w:val="nil"/>
              <w:right w:val="nil"/>
            </w:tcBorders>
            <w:shd w:val="clear" w:color="auto" w:fill="auto"/>
            <w:noWrap/>
            <w:vAlign w:val="center"/>
            <w:hideMark/>
          </w:tcPr>
          <w:p w14:paraId="09024958"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single" w:sz="8" w:space="0" w:color="auto"/>
              <w:left w:val="single" w:sz="8" w:space="0" w:color="auto"/>
              <w:bottom w:val="nil"/>
              <w:right w:val="nil"/>
            </w:tcBorders>
            <w:shd w:val="clear" w:color="auto" w:fill="auto"/>
            <w:noWrap/>
            <w:vAlign w:val="center"/>
            <w:hideMark/>
          </w:tcPr>
          <w:p w14:paraId="37C45E7B" w14:textId="77777777" w:rsidR="003966FC" w:rsidRDefault="003966FC">
            <w:pPr>
              <w:jc w:val="center"/>
              <w:rPr>
                <w:rFonts w:ascii="Arial" w:hAnsi="Arial" w:cs="Arial"/>
                <w:color w:val="000000"/>
                <w:sz w:val="18"/>
                <w:szCs w:val="18"/>
              </w:rPr>
            </w:pPr>
            <w:r>
              <w:rPr>
                <w:rFonts w:ascii="Arial" w:hAnsi="Arial" w:cs="Arial"/>
                <w:color w:val="000000"/>
                <w:sz w:val="18"/>
                <w:szCs w:val="18"/>
              </w:rPr>
              <w:t>-0.23 %</w:t>
            </w:r>
          </w:p>
        </w:tc>
        <w:tc>
          <w:tcPr>
            <w:tcW w:w="0" w:type="auto"/>
            <w:tcBorders>
              <w:top w:val="single" w:sz="8" w:space="0" w:color="auto"/>
              <w:left w:val="nil"/>
              <w:bottom w:val="nil"/>
              <w:right w:val="nil"/>
            </w:tcBorders>
            <w:shd w:val="clear" w:color="auto" w:fill="auto"/>
            <w:noWrap/>
            <w:vAlign w:val="center"/>
            <w:hideMark/>
          </w:tcPr>
          <w:p w14:paraId="0369604A" w14:textId="77777777" w:rsidR="003966FC" w:rsidRDefault="003966FC">
            <w:pPr>
              <w:jc w:val="center"/>
              <w:rPr>
                <w:rFonts w:ascii="Arial" w:hAnsi="Arial" w:cs="Arial"/>
                <w:color w:val="000000"/>
                <w:sz w:val="18"/>
                <w:szCs w:val="18"/>
              </w:rPr>
            </w:pPr>
            <w:r>
              <w:rPr>
                <w:rFonts w:ascii="Arial" w:hAnsi="Arial" w:cs="Arial"/>
                <w:color w:val="000000"/>
                <w:sz w:val="18"/>
                <w:szCs w:val="18"/>
              </w:rPr>
              <w:t>-0.23 %</w:t>
            </w:r>
          </w:p>
        </w:tc>
        <w:tc>
          <w:tcPr>
            <w:tcW w:w="0" w:type="auto"/>
            <w:tcBorders>
              <w:top w:val="single" w:sz="8" w:space="0" w:color="auto"/>
              <w:left w:val="nil"/>
              <w:bottom w:val="nil"/>
              <w:right w:val="single" w:sz="4" w:space="0" w:color="auto"/>
            </w:tcBorders>
            <w:shd w:val="clear" w:color="auto" w:fill="auto"/>
            <w:noWrap/>
            <w:vAlign w:val="center"/>
            <w:hideMark/>
          </w:tcPr>
          <w:p w14:paraId="7C9FB4EC" w14:textId="77777777" w:rsidR="003966FC" w:rsidRDefault="003966FC">
            <w:pPr>
              <w:jc w:val="center"/>
              <w:rPr>
                <w:rFonts w:ascii="Arial" w:hAnsi="Arial" w:cs="Arial"/>
                <w:color w:val="000000"/>
                <w:sz w:val="18"/>
                <w:szCs w:val="18"/>
              </w:rPr>
            </w:pPr>
            <w:r>
              <w:rPr>
                <w:rFonts w:ascii="Arial" w:hAnsi="Arial" w:cs="Arial"/>
                <w:color w:val="000000"/>
                <w:sz w:val="18"/>
                <w:szCs w:val="18"/>
              </w:rPr>
              <w:t>-0.30 %</w:t>
            </w:r>
          </w:p>
        </w:tc>
        <w:tc>
          <w:tcPr>
            <w:tcW w:w="0" w:type="auto"/>
            <w:tcBorders>
              <w:top w:val="single" w:sz="8" w:space="0" w:color="auto"/>
              <w:left w:val="nil"/>
              <w:bottom w:val="nil"/>
              <w:right w:val="nil"/>
            </w:tcBorders>
            <w:shd w:val="clear" w:color="auto" w:fill="auto"/>
            <w:noWrap/>
            <w:vAlign w:val="center"/>
            <w:hideMark/>
          </w:tcPr>
          <w:p w14:paraId="15ECAADD"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single" w:sz="8" w:space="0" w:color="auto"/>
              <w:left w:val="nil"/>
              <w:bottom w:val="nil"/>
              <w:right w:val="single" w:sz="8" w:space="0" w:color="auto"/>
            </w:tcBorders>
            <w:shd w:val="clear" w:color="auto" w:fill="auto"/>
            <w:noWrap/>
            <w:vAlign w:val="center"/>
            <w:hideMark/>
          </w:tcPr>
          <w:p w14:paraId="33638DC5" w14:textId="77777777" w:rsidR="003966FC" w:rsidRDefault="003966FC">
            <w:pPr>
              <w:jc w:val="center"/>
              <w:rPr>
                <w:rFonts w:ascii="Arial" w:hAnsi="Arial" w:cs="Arial"/>
                <w:color w:val="000000"/>
                <w:sz w:val="18"/>
                <w:szCs w:val="18"/>
              </w:rPr>
            </w:pPr>
            <w:r>
              <w:rPr>
                <w:rFonts w:ascii="Arial" w:hAnsi="Arial" w:cs="Arial"/>
                <w:color w:val="000000"/>
                <w:sz w:val="18"/>
                <w:szCs w:val="18"/>
              </w:rPr>
              <w:t>98 %</w:t>
            </w:r>
          </w:p>
        </w:tc>
      </w:tr>
      <w:tr w:rsidR="003966FC" w14:paraId="29BD1602" w14:textId="77777777" w:rsidTr="003966FC">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4A9670BA" w14:textId="77777777" w:rsidR="003966FC" w:rsidRDefault="003966FC">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86F6631" w14:textId="77777777" w:rsidR="003966FC" w:rsidRDefault="003966FC">
            <w:pPr>
              <w:jc w:val="center"/>
              <w:rPr>
                <w:rFonts w:ascii="Arial" w:hAnsi="Arial" w:cs="Arial"/>
                <w:color w:val="000000"/>
                <w:sz w:val="18"/>
                <w:szCs w:val="18"/>
              </w:rPr>
            </w:pPr>
            <w:r>
              <w:rPr>
                <w:rFonts w:ascii="Arial" w:hAnsi="Arial" w:cs="Arial"/>
                <w:color w:val="000000"/>
                <w:sz w:val="18"/>
                <w:szCs w:val="18"/>
              </w:rPr>
              <w:t>-0.35 %</w:t>
            </w:r>
          </w:p>
        </w:tc>
        <w:tc>
          <w:tcPr>
            <w:tcW w:w="0" w:type="auto"/>
            <w:tcBorders>
              <w:top w:val="single" w:sz="8" w:space="0" w:color="auto"/>
              <w:left w:val="nil"/>
              <w:bottom w:val="nil"/>
              <w:right w:val="nil"/>
            </w:tcBorders>
            <w:shd w:val="clear" w:color="auto" w:fill="auto"/>
            <w:noWrap/>
            <w:vAlign w:val="center"/>
            <w:hideMark/>
          </w:tcPr>
          <w:p w14:paraId="34B01861" w14:textId="77777777" w:rsidR="003966FC" w:rsidRDefault="003966FC">
            <w:pPr>
              <w:jc w:val="center"/>
              <w:rPr>
                <w:rFonts w:ascii="Arial" w:hAnsi="Arial" w:cs="Arial"/>
                <w:color w:val="000000"/>
                <w:sz w:val="18"/>
                <w:szCs w:val="18"/>
              </w:rPr>
            </w:pPr>
            <w:r>
              <w:rPr>
                <w:rFonts w:ascii="Arial" w:hAnsi="Arial" w:cs="Arial"/>
                <w:color w:val="000000"/>
                <w:sz w:val="18"/>
                <w:szCs w:val="18"/>
              </w:rPr>
              <w:t>-0.38 %</w:t>
            </w:r>
          </w:p>
        </w:tc>
        <w:tc>
          <w:tcPr>
            <w:tcW w:w="0" w:type="auto"/>
            <w:tcBorders>
              <w:top w:val="single" w:sz="8" w:space="0" w:color="auto"/>
              <w:left w:val="nil"/>
              <w:bottom w:val="nil"/>
              <w:right w:val="single" w:sz="4" w:space="0" w:color="auto"/>
            </w:tcBorders>
            <w:shd w:val="clear" w:color="auto" w:fill="auto"/>
            <w:noWrap/>
            <w:vAlign w:val="center"/>
            <w:hideMark/>
          </w:tcPr>
          <w:p w14:paraId="62A40C04" w14:textId="77777777" w:rsidR="003966FC" w:rsidRDefault="003966FC">
            <w:pPr>
              <w:jc w:val="center"/>
              <w:rPr>
                <w:rFonts w:ascii="Arial" w:hAnsi="Arial" w:cs="Arial"/>
                <w:color w:val="000000"/>
                <w:sz w:val="18"/>
                <w:szCs w:val="18"/>
              </w:rPr>
            </w:pPr>
            <w:r>
              <w:rPr>
                <w:rFonts w:ascii="Arial" w:hAnsi="Arial" w:cs="Arial"/>
                <w:color w:val="000000"/>
                <w:sz w:val="18"/>
                <w:szCs w:val="18"/>
              </w:rPr>
              <w:t>-0.49 %</w:t>
            </w:r>
          </w:p>
        </w:tc>
        <w:tc>
          <w:tcPr>
            <w:tcW w:w="0" w:type="auto"/>
            <w:tcBorders>
              <w:top w:val="single" w:sz="8" w:space="0" w:color="auto"/>
              <w:left w:val="nil"/>
              <w:bottom w:val="nil"/>
              <w:right w:val="nil"/>
            </w:tcBorders>
            <w:shd w:val="clear" w:color="auto" w:fill="auto"/>
            <w:noWrap/>
            <w:vAlign w:val="center"/>
            <w:hideMark/>
          </w:tcPr>
          <w:p w14:paraId="4A6DD9EF" w14:textId="77777777" w:rsidR="003966FC" w:rsidRDefault="003966FC">
            <w:pPr>
              <w:jc w:val="center"/>
              <w:rPr>
                <w:rFonts w:ascii="Arial" w:hAnsi="Arial" w:cs="Arial"/>
                <w:color w:val="000000"/>
                <w:sz w:val="18"/>
                <w:szCs w:val="18"/>
              </w:rPr>
            </w:pPr>
            <w:r>
              <w:rPr>
                <w:rFonts w:ascii="Arial" w:hAnsi="Arial" w:cs="Arial"/>
                <w:color w:val="000000"/>
                <w:sz w:val="18"/>
                <w:szCs w:val="18"/>
              </w:rPr>
              <w:t>105 %</w:t>
            </w:r>
          </w:p>
        </w:tc>
        <w:tc>
          <w:tcPr>
            <w:tcW w:w="0" w:type="auto"/>
            <w:tcBorders>
              <w:top w:val="single" w:sz="8" w:space="0" w:color="auto"/>
              <w:left w:val="nil"/>
              <w:bottom w:val="nil"/>
              <w:right w:val="single" w:sz="8" w:space="0" w:color="auto"/>
            </w:tcBorders>
            <w:shd w:val="clear" w:color="auto" w:fill="auto"/>
            <w:noWrap/>
            <w:vAlign w:val="center"/>
            <w:hideMark/>
          </w:tcPr>
          <w:p w14:paraId="734E6F8D"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single" w:sz="8" w:space="0" w:color="auto"/>
              <w:left w:val="nil"/>
              <w:bottom w:val="nil"/>
              <w:right w:val="nil"/>
            </w:tcBorders>
            <w:shd w:val="clear" w:color="auto" w:fill="auto"/>
            <w:noWrap/>
            <w:vAlign w:val="center"/>
            <w:hideMark/>
          </w:tcPr>
          <w:p w14:paraId="231A6A3D" w14:textId="77777777" w:rsidR="003966FC" w:rsidRDefault="003966FC">
            <w:pPr>
              <w:jc w:val="center"/>
              <w:rPr>
                <w:rFonts w:ascii="Arial" w:hAnsi="Arial" w:cs="Arial"/>
                <w:color w:val="000000"/>
                <w:sz w:val="18"/>
                <w:szCs w:val="18"/>
              </w:rPr>
            </w:pPr>
            <w:r>
              <w:rPr>
                <w:rFonts w:ascii="Arial" w:hAnsi="Arial" w:cs="Arial"/>
                <w:color w:val="000000"/>
                <w:sz w:val="18"/>
                <w:szCs w:val="18"/>
              </w:rPr>
              <w:t>-0.26 %</w:t>
            </w:r>
          </w:p>
        </w:tc>
        <w:tc>
          <w:tcPr>
            <w:tcW w:w="0" w:type="auto"/>
            <w:tcBorders>
              <w:top w:val="single" w:sz="8" w:space="0" w:color="auto"/>
              <w:left w:val="nil"/>
              <w:bottom w:val="nil"/>
              <w:right w:val="nil"/>
            </w:tcBorders>
            <w:shd w:val="clear" w:color="auto" w:fill="auto"/>
            <w:noWrap/>
            <w:vAlign w:val="center"/>
            <w:hideMark/>
          </w:tcPr>
          <w:p w14:paraId="476A5CEF" w14:textId="77777777" w:rsidR="003966FC" w:rsidRDefault="003966FC">
            <w:pPr>
              <w:jc w:val="center"/>
              <w:rPr>
                <w:rFonts w:ascii="Arial" w:hAnsi="Arial" w:cs="Arial"/>
                <w:color w:val="000000"/>
                <w:sz w:val="18"/>
                <w:szCs w:val="18"/>
              </w:rPr>
            </w:pPr>
            <w:r>
              <w:rPr>
                <w:rFonts w:ascii="Arial" w:hAnsi="Arial" w:cs="Arial"/>
                <w:color w:val="000000"/>
                <w:sz w:val="18"/>
                <w:szCs w:val="18"/>
              </w:rPr>
              <w:t>-0.29 %</w:t>
            </w:r>
          </w:p>
        </w:tc>
        <w:tc>
          <w:tcPr>
            <w:tcW w:w="0" w:type="auto"/>
            <w:tcBorders>
              <w:top w:val="single" w:sz="8" w:space="0" w:color="auto"/>
              <w:left w:val="nil"/>
              <w:bottom w:val="nil"/>
              <w:right w:val="single" w:sz="4" w:space="0" w:color="auto"/>
            </w:tcBorders>
            <w:shd w:val="clear" w:color="auto" w:fill="auto"/>
            <w:noWrap/>
            <w:vAlign w:val="center"/>
            <w:hideMark/>
          </w:tcPr>
          <w:p w14:paraId="567C0E32" w14:textId="77777777" w:rsidR="003966FC" w:rsidRDefault="003966FC">
            <w:pPr>
              <w:jc w:val="center"/>
              <w:rPr>
                <w:rFonts w:ascii="Arial" w:hAnsi="Arial" w:cs="Arial"/>
                <w:color w:val="000000"/>
                <w:sz w:val="18"/>
                <w:szCs w:val="18"/>
              </w:rPr>
            </w:pPr>
            <w:r>
              <w:rPr>
                <w:rFonts w:ascii="Arial" w:hAnsi="Arial" w:cs="Arial"/>
                <w:color w:val="000000"/>
                <w:sz w:val="18"/>
                <w:szCs w:val="18"/>
              </w:rPr>
              <w:t>-0.34 %</w:t>
            </w:r>
          </w:p>
        </w:tc>
        <w:tc>
          <w:tcPr>
            <w:tcW w:w="0" w:type="auto"/>
            <w:tcBorders>
              <w:top w:val="single" w:sz="8" w:space="0" w:color="auto"/>
              <w:left w:val="nil"/>
              <w:bottom w:val="nil"/>
              <w:right w:val="nil"/>
            </w:tcBorders>
            <w:shd w:val="clear" w:color="auto" w:fill="auto"/>
            <w:noWrap/>
            <w:vAlign w:val="center"/>
            <w:hideMark/>
          </w:tcPr>
          <w:p w14:paraId="7039780A"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single" w:sz="8" w:space="0" w:color="auto"/>
              <w:left w:val="nil"/>
              <w:bottom w:val="nil"/>
              <w:right w:val="single" w:sz="8" w:space="0" w:color="auto"/>
            </w:tcBorders>
            <w:shd w:val="clear" w:color="auto" w:fill="auto"/>
            <w:noWrap/>
            <w:vAlign w:val="center"/>
            <w:hideMark/>
          </w:tcPr>
          <w:p w14:paraId="67BF1CB4"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1A2F570B" w14:textId="77777777" w:rsidTr="003966FC">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60224CA" w14:textId="21B70078" w:rsidR="003966FC" w:rsidRDefault="003966FC">
            <w:pPr>
              <w:jc w:val="center"/>
              <w:rPr>
                <w:rFonts w:ascii="Arial" w:hAnsi="Arial" w:cs="Arial"/>
                <w:color w:val="000000"/>
                <w:sz w:val="18"/>
                <w:szCs w:val="18"/>
              </w:rPr>
            </w:pPr>
            <w:r>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2B4A3FF6" w14:textId="77777777" w:rsidR="003966FC" w:rsidRDefault="003966FC">
            <w:pPr>
              <w:jc w:val="center"/>
              <w:rPr>
                <w:rFonts w:ascii="Arial" w:hAnsi="Arial" w:cs="Arial"/>
                <w:color w:val="000000"/>
                <w:sz w:val="18"/>
                <w:szCs w:val="18"/>
              </w:rPr>
            </w:pPr>
            <w:r>
              <w:rPr>
                <w:rFonts w:ascii="Arial" w:hAnsi="Arial" w:cs="Arial"/>
                <w:color w:val="000000"/>
                <w:sz w:val="18"/>
                <w:szCs w:val="18"/>
              </w:rPr>
              <w:t>-0.20 %</w:t>
            </w:r>
          </w:p>
        </w:tc>
        <w:tc>
          <w:tcPr>
            <w:tcW w:w="0" w:type="auto"/>
            <w:tcBorders>
              <w:top w:val="nil"/>
              <w:left w:val="nil"/>
              <w:bottom w:val="single" w:sz="8" w:space="0" w:color="auto"/>
              <w:right w:val="nil"/>
            </w:tcBorders>
            <w:shd w:val="clear" w:color="auto" w:fill="auto"/>
            <w:noWrap/>
            <w:vAlign w:val="center"/>
            <w:hideMark/>
          </w:tcPr>
          <w:p w14:paraId="5A848D64" w14:textId="77777777" w:rsidR="003966FC" w:rsidRDefault="003966FC">
            <w:pPr>
              <w:jc w:val="center"/>
              <w:rPr>
                <w:rFonts w:ascii="Arial" w:hAnsi="Arial" w:cs="Arial"/>
                <w:color w:val="000000"/>
                <w:sz w:val="18"/>
                <w:szCs w:val="18"/>
              </w:rPr>
            </w:pPr>
            <w:r>
              <w:rPr>
                <w:rFonts w:ascii="Arial" w:hAnsi="Arial" w:cs="Arial"/>
                <w:color w:val="000000"/>
                <w:sz w:val="18"/>
                <w:szCs w:val="18"/>
              </w:rPr>
              <w:t>-0.28 %</w:t>
            </w:r>
          </w:p>
        </w:tc>
        <w:tc>
          <w:tcPr>
            <w:tcW w:w="0" w:type="auto"/>
            <w:tcBorders>
              <w:top w:val="nil"/>
              <w:left w:val="nil"/>
              <w:bottom w:val="single" w:sz="8" w:space="0" w:color="auto"/>
              <w:right w:val="single" w:sz="4" w:space="0" w:color="auto"/>
            </w:tcBorders>
            <w:shd w:val="clear" w:color="auto" w:fill="auto"/>
            <w:noWrap/>
            <w:vAlign w:val="center"/>
            <w:hideMark/>
          </w:tcPr>
          <w:p w14:paraId="2A312B0B" w14:textId="77777777" w:rsidR="003966FC" w:rsidRDefault="003966FC">
            <w:pPr>
              <w:jc w:val="center"/>
              <w:rPr>
                <w:rFonts w:ascii="Arial" w:hAnsi="Arial" w:cs="Arial"/>
                <w:color w:val="000000"/>
                <w:sz w:val="18"/>
                <w:szCs w:val="18"/>
              </w:rPr>
            </w:pPr>
            <w:r>
              <w:rPr>
                <w:rFonts w:ascii="Arial" w:hAnsi="Arial" w:cs="Arial"/>
                <w:color w:val="000000"/>
                <w:sz w:val="18"/>
                <w:szCs w:val="18"/>
              </w:rPr>
              <w:t>-0.44 %</w:t>
            </w:r>
          </w:p>
        </w:tc>
        <w:tc>
          <w:tcPr>
            <w:tcW w:w="0" w:type="auto"/>
            <w:tcBorders>
              <w:top w:val="nil"/>
              <w:left w:val="nil"/>
              <w:bottom w:val="single" w:sz="8" w:space="0" w:color="auto"/>
              <w:right w:val="nil"/>
            </w:tcBorders>
            <w:shd w:val="clear" w:color="auto" w:fill="auto"/>
            <w:noWrap/>
            <w:vAlign w:val="center"/>
            <w:hideMark/>
          </w:tcPr>
          <w:p w14:paraId="3B4D062F" w14:textId="77777777" w:rsidR="003966FC" w:rsidRDefault="003966FC">
            <w:pPr>
              <w:jc w:val="center"/>
              <w:rPr>
                <w:rFonts w:ascii="Arial" w:hAnsi="Arial" w:cs="Arial"/>
                <w:color w:val="000000"/>
                <w:sz w:val="18"/>
                <w:szCs w:val="18"/>
              </w:rPr>
            </w:pPr>
            <w:r>
              <w:rPr>
                <w:rFonts w:ascii="Arial" w:hAnsi="Arial" w:cs="Arial"/>
                <w:color w:val="000000"/>
                <w:sz w:val="18"/>
                <w:szCs w:val="18"/>
              </w:rPr>
              <w:t>106 %</w:t>
            </w:r>
          </w:p>
        </w:tc>
        <w:tc>
          <w:tcPr>
            <w:tcW w:w="0" w:type="auto"/>
            <w:tcBorders>
              <w:top w:val="nil"/>
              <w:left w:val="nil"/>
              <w:bottom w:val="single" w:sz="8" w:space="0" w:color="auto"/>
              <w:right w:val="single" w:sz="8" w:space="0" w:color="auto"/>
            </w:tcBorders>
            <w:shd w:val="clear" w:color="auto" w:fill="auto"/>
            <w:noWrap/>
            <w:vAlign w:val="center"/>
            <w:hideMark/>
          </w:tcPr>
          <w:p w14:paraId="14F313F7"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single" w:sz="8" w:space="0" w:color="auto"/>
              <w:right w:val="nil"/>
            </w:tcBorders>
            <w:shd w:val="clear" w:color="auto" w:fill="auto"/>
            <w:noWrap/>
            <w:vAlign w:val="center"/>
            <w:hideMark/>
          </w:tcPr>
          <w:p w14:paraId="4C51AADE" w14:textId="77777777" w:rsidR="003966FC" w:rsidRDefault="003966FC">
            <w:pPr>
              <w:jc w:val="center"/>
              <w:rPr>
                <w:rFonts w:ascii="Arial" w:hAnsi="Arial" w:cs="Arial"/>
                <w:color w:val="000000"/>
                <w:sz w:val="18"/>
                <w:szCs w:val="18"/>
              </w:rPr>
            </w:pPr>
            <w:r>
              <w:rPr>
                <w:rFonts w:ascii="Arial" w:hAnsi="Arial" w:cs="Arial"/>
                <w:color w:val="000000"/>
                <w:sz w:val="18"/>
                <w:szCs w:val="18"/>
              </w:rPr>
              <w:t>-0.22 %</w:t>
            </w:r>
          </w:p>
        </w:tc>
        <w:tc>
          <w:tcPr>
            <w:tcW w:w="0" w:type="auto"/>
            <w:tcBorders>
              <w:top w:val="nil"/>
              <w:left w:val="nil"/>
              <w:bottom w:val="single" w:sz="8" w:space="0" w:color="auto"/>
              <w:right w:val="nil"/>
            </w:tcBorders>
            <w:shd w:val="clear" w:color="auto" w:fill="auto"/>
            <w:noWrap/>
            <w:vAlign w:val="center"/>
            <w:hideMark/>
          </w:tcPr>
          <w:p w14:paraId="7414F311" w14:textId="77777777" w:rsidR="003966FC" w:rsidRDefault="003966FC">
            <w:pPr>
              <w:jc w:val="center"/>
              <w:rPr>
                <w:rFonts w:ascii="Arial" w:hAnsi="Arial" w:cs="Arial"/>
                <w:color w:val="000000"/>
                <w:sz w:val="18"/>
                <w:szCs w:val="18"/>
              </w:rPr>
            </w:pPr>
            <w:r>
              <w:rPr>
                <w:rFonts w:ascii="Arial" w:hAnsi="Arial" w:cs="Arial"/>
                <w:color w:val="000000"/>
                <w:sz w:val="18"/>
                <w:szCs w:val="18"/>
              </w:rPr>
              <w:t>-0.27 %</w:t>
            </w:r>
          </w:p>
        </w:tc>
        <w:tc>
          <w:tcPr>
            <w:tcW w:w="0" w:type="auto"/>
            <w:tcBorders>
              <w:top w:val="nil"/>
              <w:left w:val="nil"/>
              <w:bottom w:val="single" w:sz="8" w:space="0" w:color="auto"/>
              <w:right w:val="single" w:sz="4" w:space="0" w:color="auto"/>
            </w:tcBorders>
            <w:shd w:val="clear" w:color="auto" w:fill="auto"/>
            <w:noWrap/>
            <w:vAlign w:val="center"/>
            <w:hideMark/>
          </w:tcPr>
          <w:p w14:paraId="62BDCD02" w14:textId="77777777" w:rsidR="003966FC" w:rsidRDefault="003966FC">
            <w:pPr>
              <w:jc w:val="center"/>
              <w:rPr>
                <w:rFonts w:ascii="Arial" w:hAnsi="Arial" w:cs="Arial"/>
                <w:color w:val="000000"/>
                <w:sz w:val="18"/>
                <w:szCs w:val="18"/>
              </w:rPr>
            </w:pPr>
            <w:r>
              <w:rPr>
                <w:rFonts w:ascii="Arial" w:hAnsi="Arial" w:cs="Arial"/>
                <w:color w:val="000000"/>
                <w:sz w:val="18"/>
                <w:szCs w:val="18"/>
              </w:rPr>
              <w:t>-0.46 %</w:t>
            </w:r>
          </w:p>
        </w:tc>
        <w:tc>
          <w:tcPr>
            <w:tcW w:w="0" w:type="auto"/>
            <w:tcBorders>
              <w:top w:val="nil"/>
              <w:left w:val="nil"/>
              <w:bottom w:val="single" w:sz="8" w:space="0" w:color="auto"/>
              <w:right w:val="nil"/>
            </w:tcBorders>
            <w:shd w:val="clear" w:color="auto" w:fill="auto"/>
            <w:noWrap/>
            <w:vAlign w:val="center"/>
            <w:hideMark/>
          </w:tcPr>
          <w:p w14:paraId="266EAD0E"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single" w:sz="8" w:space="0" w:color="auto"/>
              <w:right w:val="single" w:sz="8" w:space="0" w:color="auto"/>
            </w:tcBorders>
            <w:shd w:val="clear" w:color="auto" w:fill="auto"/>
            <w:noWrap/>
            <w:vAlign w:val="center"/>
            <w:hideMark/>
          </w:tcPr>
          <w:p w14:paraId="7EF1B811" w14:textId="77777777" w:rsidR="003966FC" w:rsidRDefault="003966FC">
            <w:pPr>
              <w:jc w:val="center"/>
              <w:rPr>
                <w:rFonts w:ascii="Arial" w:hAnsi="Arial" w:cs="Arial"/>
                <w:color w:val="000000"/>
                <w:sz w:val="18"/>
                <w:szCs w:val="18"/>
              </w:rPr>
            </w:pPr>
            <w:r>
              <w:rPr>
                <w:rFonts w:ascii="Arial" w:hAnsi="Arial" w:cs="Arial"/>
                <w:color w:val="000000"/>
                <w:sz w:val="18"/>
                <w:szCs w:val="18"/>
              </w:rPr>
              <w:t>98 %</w:t>
            </w:r>
          </w:p>
        </w:tc>
      </w:tr>
      <w:tr w:rsidR="003966FC" w14:paraId="54F990C8" w14:textId="77777777" w:rsidTr="003966FC">
        <w:trPr>
          <w:trHeight w:val="255"/>
        </w:trPr>
        <w:tc>
          <w:tcPr>
            <w:tcW w:w="0" w:type="auto"/>
            <w:tcBorders>
              <w:top w:val="nil"/>
              <w:left w:val="nil"/>
              <w:bottom w:val="nil"/>
              <w:right w:val="nil"/>
            </w:tcBorders>
            <w:shd w:val="clear" w:color="auto" w:fill="auto"/>
            <w:noWrap/>
            <w:vAlign w:val="center"/>
            <w:hideMark/>
          </w:tcPr>
          <w:p w14:paraId="252B0602" w14:textId="77777777" w:rsidR="003966FC" w:rsidRDefault="003966FC">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7E92395D"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4AAF9F4B"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4E7ED97C"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736A50B2"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50A6B705"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26C82C7C"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685F5993"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2CFC5603"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677C835C"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center"/>
            <w:hideMark/>
          </w:tcPr>
          <w:p w14:paraId="2EC84B32" w14:textId="77777777" w:rsidR="003966FC" w:rsidRDefault="003966FC">
            <w:pPr>
              <w:jc w:val="center"/>
              <w:rPr>
                <w:sz w:val="20"/>
                <w:szCs w:val="20"/>
              </w:rPr>
            </w:pPr>
          </w:p>
        </w:tc>
      </w:tr>
      <w:tr w:rsidR="003966FC" w14:paraId="6D1AF5CA" w14:textId="77777777" w:rsidTr="003966FC">
        <w:trPr>
          <w:trHeight w:val="255"/>
        </w:trPr>
        <w:tc>
          <w:tcPr>
            <w:tcW w:w="0" w:type="auto"/>
            <w:tcBorders>
              <w:top w:val="nil"/>
              <w:left w:val="nil"/>
              <w:bottom w:val="nil"/>
              <w:right w:val="nil"/>
            </w:tcBorders>
            <w:shd w:val="clear" w:color="auto" w:fill="auto"/>
            <w:noWrap/>
            <w:vAlign w:val="center"/>
            <w:hideMark/>
          </w:tcPr>
          <w:p w14:paraId="05343DC6" w14:textId="77777777" w:rsidR="003966FC" w:rsidRDefault="003966FC">
            <w:pPr>
              <w:jc w:val="center"/>
              <w:rPr>
                <w:sz w:val="20"/>
                <w:szCs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403284BC"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Random</w:t>
            </w:r>
            <w:proofErr w:type="spellEnd"/>
            <w:r>
              <w:rPr>
                <w:rFonts w:ascii="Arial" w:hAnsi="Arial" w:cs="Arial"/>
                <w:b/>
                <w:bCs/>
                <w:color w:val="000000"/>
                <w:sz w:val="18"/>
                <w:szCs w:val="18"/>
              </w:rPr>
              <w:t xml:space="preserve"> Access Main 10</w:t>
            </w:r>
          </w:p>
        </w:tc>
      </w:tr>
      <w:tr w:rsidR="003966FC" w14:paraId="2B6DCEDF" w14:textId="77777777" w:rsidTr="003966FC">
        <w:trPr>
          <w:trHeight w:val="255"/>
        </w:trPr>
        <w:tc>
          <w:tcPr>
            <w:tcW w:w="0" w:type="auto"/>
            <w:tcBorders>
              <w:top w:val="nil"/>
              <w:left w:val="nil"/>
              <w:bottom w:val="nil"/>
              <w:right w:val="nil"/>
            </w:tcBorders>
            <w:shd w:val="clear" w:color="auto" w:fill="auto"/>
            <w:noWrap/>
            <w:vAlign w:val="center"/>
            <w:hideMark/>
          </w:tcPr>
          <w:p w14:paraId="3E5429E3" w14:textId="77777777" w:rsidR="003966FC" w:rsidRDefault="003966FC">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DD7CBB2"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AAE4A87"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BMS-1.0</w:t>
            </w:r>
          </w:p>
        </w:tc>
      </w:tr>
      <w:tr w:rsidR="003966FC" w14:paraId="2F2BC8E5" w14:textId="77777777" w:rsidTr="003966FC">
        <w:trPr>
          <w:trHeight w:val="255"/>
        </w:trPr>
        <w:tc>
          <w:tcPr>
            <w:tcW w:w="0" w:type="auto"/>
            <w:tcBorders>
              <w:top w:val="nil"/>
              <w:left w:val="nil"/>
              <w:bottom w:val="nil"/>
              <w:right w:val="nil"/>
            </w:tcBorders>
            <w:shd w:val="clear" w:color="auto" w:fill="auto"/>
            <w:noWrap/>
            <w:vAlign w:val="center"/>
            <w:hideMark/>
          </w:tcPr>
          <w:p w14:paraId="2EA612D6" w14:textId="77777777" w:rsidR="003966FC" w:rsidRDefault="003966FC">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42D5CB5" w14:textId="77777777" w:rsidR="003966FC" w:rsidRDefault="003966FC">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B4A51BD" w14:textId="77777777" w:rsidR="003966FC" w:rsidRDefault="003966FC">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D2E8C29" w14:textId="77777777" w:rsidR="003966FC" w:rsidRDefault="003966FC">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DC3EC30"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048F1D6"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69727715" w14:textId="77777777" w:rsidR="003966FC" w:rsidRDefault="003966FC">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74F4063" w14:textId="77777777" w:rsidR="003966FC" w:rsidRDefault="003966FC">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665F50C" w14:textId="77777777" w:rsidR="003966FC" w:rsidRDefault="003966FC">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076BA74"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5DBDFF7"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966FC" w14:paraId="2259BF34"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C6BB94" w14:textId="77777777" w:rsidR="003966FC" w:rsidRDefault="003966FC">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C16F410" w14:textId="77777777" w:rsidR="003966FC" w:rsidRDefault="003966FC">
            <w:pPr>
              <w:jc w:val="center"/>
              <w:rPr>
                <w:rFonts w:ascii="Arial" w:hAnsi="Arial" w:cs="Arial"/>
                <w:color w:val="000000"/>
                <w:sz w:val="18"/>
                <w:szCs w:val="18"/>
              </w:rPr>
            </w:pPr>
            <w:r>
              <w:rPr>
                <w:rFonts w:ascii="Arial" w:hAnsi="Arial" w:cs="Arial"/>
                <w:color w:val="000000"/>
                <w:sz w:val="18"/>
                <w:szCs w:val="18"/>
              </w:rPr>
              <w:t>-0.20 %</w:t>
            </w:r>
          </w:p>
        </w:tc>
        <w:tc>
          <w:tcPr>
            <w:tcW w:w="0" w:type="auto"/>
            <w:tcBorders>
              <w:top w:val="nil"/>
              <w:left w:val="nil"/>
              <w:bottom w:val="nil"/>
              <w:right w:val="nil"/>
            </w:tcBorders>
            <w:shd w:val="clear" w:color="auto" w:fill="auto"/>
            <w:noWrap/>
            <w:vAlign w:val="center"/>
            <w:hideMark/>
          </w:tcPr>
          <w:p w14:paraId="679DAE60" w14:textId="77777777" w:rsidR="003966FC" w:rsidRDefault="003966FC">
            <w:pPr>
              <w:jc w:val="center"/>
              <w:rPr>
                <w:rFonts w:ascii="Arial" w:hAnsi="Arial" w:cs="Arial"/>
                <w:color w:val="000000"/>
                <w:sz w:val="18"/>
                <w:szCs w:val="18"/>
              </w:rPr>
            </w:pPr>
            <w:r>
              <w:rPr>
                <w:rFonts w:ascii="Arial" w:hAnsi="Arial" w:cs="Arial"/>
                <w:color w:val="000000"/>
                <w:sz w:val="18"/>
                <w:szCs w:val="18"/>
              </w:rPr>
              <w:t>-0.30 %</w:t>
            </w:r>
          </w:p>
        </w:tc>
        <w:tc>
          <w:tcPr>
            <w:tcW w:w="0" w:type="auto"/>
            <w:tcBorders>
              <w:top w:val="nil"/>
              <w:left w:val="nil"/>
              <w:bottom w:val="nil"/>
              <w:right w:val="single" w:sz="4" w:space="0" w:color="auto"/>
            </w:tcBorders>
            <w:shd w:val="clear" w:color="auto" w:fill="auto"/>
            <w:noWrap/>
            <w:vAlign w:val="center"/>
            <w:hideMark/>
          </w:tcPr>
          <w:p w14:paraId="27378B4B" w14:textId="77777777" w:rsidR="003966FC" w:rsidRDefault="003966FC">
            <w:pPr>
              <w:jc w:val="center"/>
              <w:rPr>
                <w:rFonts w:ascii="Arial" w:hAnsi="Arial" w:cs="Arial"/>
                <w:color w:val="000000"/>
                <w:sz w:val="18"/>
                <w:szCs w:val="18"/>
              </w:rPr>
            </w:pPr>
            <w:r>
              <w:rPr>
                <w:rFonts w:ascii="Arial" w:hAnsi="Arial" w:cs="Arial"/>
                <w:color w:val="000000"/>
                <w:sz w:val="18"/>
                <w:szCs w:val="18"/>
              </w:rPr>
              <w:t>-0.30 %</w:t>
            </w:r>
          </w:p>
        </w:tc>
        <w:tc>
          <w:tcPr>
            <w:tcW w:w="0" w:type="auto"/>
            <w:tcBorders>
              <w:top w:val="nil"/>
              <w:left w:val="nil"/>
              <w:bottom w:val="nil"/>
              <w:right w:val="nil"/>
            </w:tcBorders>
            <w:shd w:val="clear" w:color="auto" w:fill="auto"/>
            <w:noWrap/>
            <w:vAlign w:val="center"/>
            <w:hideMark/>
          </w:tcPr>
          <w:p w14:paraId="18E77DBC"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nil"/>
              <w:right w:val="nil"/>
            </w:tcBorders>
            <w:shd w:val="clear" w:color="auto" w:fill="auto"/>
            <w:noWrap/>
            <w:vAlign w:val="center"/>
            <w:hideMark/>
          </w:tcPr>
          <w:p w14:paraId="03CF65B3"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single" w:sz="8" w:space="0" w:color="auto"/>
              <w:bottom w:val="nil"/>
              <w:right w:val="nil"/>
            </w:tcBorders>
            <w:shd w:val="clear" w:color="auto" w:fill="auto"/>
            <w:noWrap/>
            <w:vAlign w:val="center"/>
            <w:hideMark/>
          </w:tcPr>
          <w:p w14:paraId="467D33AF" w14:textId="77777777" w:rsidR="003966FC" w:rsidRDefault="003966FC">
            <w:pPr>
              <w:jc w:val="center"/>
              <w:rPr>
                <w:rFonts w:ascii="Arial" w:hAnsi="Arial" w:cs="Arial"/>
                <w:color w:val="000000"/>
                <w:sz w:val="18"/>
                <w:szCs w:val="18"/>
              </w:rPr>
            </w:pPr>
            <w:r>
              <w:rPr>
                <w:rFonts w:ascii="Arial" w:hAnsi="Arial" w:cs="Arial"/>
                <w:color w:val="000000"/>
                <w:sz w:val="18"/>
                <w:szCs w:val="18"/>
              </w:rPr>
              <w:t>-0.14 %</w:t>
            </w:r>
          </w:p>
        </w:tc>
        <w:tc>
          <w:tcPr>
            <w:tcW w:w="0" w:type="auto"/>
            <w:tcBorders>
              <w:top w:val="nil"/>
              <w:left w:val="nil"/>
              <w:bottom w:val="nil"/>
              <w:right w:val="nil"/>
            </w:tcBorders>
            <w:shd w:val="clear" w:color="auto" w:fill="auto"/>
            <w:noWrap/>
            <w:vAlign w:val="center"/>
            <w:hideMark/>
          </w:tcPr>
          <w:p w14:paraId="4C348821" w14:textId="77777777" w:rsidR="003966FC" w:rsidRDefault="003966FC">
            <w:pPr>
              <w:jc w:val="center"/>
              <w:rPr>
                <w:rFonts w:ascii="Arial" w:hAnsi="Arial" w:cs="Arial"/>
                <w:color w:val="000000"/>
                <w:sz w:val="18"/>
                <w:szCs w:val="18"/>
              </w:rPr>
            </w:pPr>
            <w:r>
              <w:rPr>
                <w:rFonts w:ascii="Arial" w:hAnsi="Arial" w:cs="Arial"/>
                <w:color w:val="000000"/>
                <w:sz w:val="18"/>
                <w:szCs w:val="18"/>
              </w:rPr>
              <w:t>-0.12 %</w:t>
            </w:r>
          </w:p>
        </w:tc>
        <w:tc>
          <w:tcPr>
            <w:tcW w:w="0" w:type="auto"/>
            <w:tcBorders>
              <w:top w:val="nil"/>
              <w:left w:val="nil"/>
              <w:bottom w:val="nil"/>
              <w:right w:val="single" w:sz="4" w:space="0" w:color="auto"/>
            </w:tcBorders>
            <w:shd w:val="clear" w:color="auto" w:fill="auto"/>
            <w:noWrap/>
            <w:vAlign w:val="center"/>
            <w:hideMark/>
          </w:tcPr>
          <w:p w14:paraId="165745BD" w14:textId="77777777" w:rsidR="003966FC" w:rsidRDefault="003966FC">
            <w:pPr>
              <w:jc w:val="center"/>
              <w:rPr>
                <w:rFonts w:ascii="Arial" w:hAnsi="Arial" w:cs="Arial"/>
                <w:color w:val="000000"/>
                <w:sz w:val="18"/>
                <w:szCs w:val="18"/>
              </w:rPr>
            </w:pPr>
            <w:r>
              <w:rPr>
                <w:rFonts w:ascii="Arial" w:hAnsi="Arial" w:cs="Arial"/>
                <w:color w:val="000000"/>
                <w:sz w:val="18"/>
                <w:szCs w:val="18"/>
              </w:rPr>
              <w:t>-0.22 %</w:t>
            </w:r>
          </w:p>
        </w:tc>
        <w:tc>
          <w:tcPr>
            <w:tcW w:w="0" w:type="auto"/>
            <w:tcBorders>
              <w:top w:val="nil"/>
              <w:left w:val="nil"/>
              <w:bottom w:val="nil"/>
              <w:right w:val="nil"/>
            </w:tcBorders>
            <w:shd w:val="clear" w:color="auto" w:fill="auto"/>
            <w:noWrap/>
            <w:vAlign w:val="center"/>
            <w:hideMark/>
          </w:tcPr>
          <w:p w14:paraId="2D1B1EC8"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nil"/>
              <w:left w:val="nil"/>
              <w:bottom w:val="nil"/>
              <w:right w:val="single" w:sz="8" w:space="0" w:color="auto"/>
            </w:tcBorders>
            <w:shd w:val="clear" w:color="auto" w:fill="auto"/>
            <w:noWrap/>
            <w:vAlign w:val="center"/>
            <w:hideMark/>
          </w:tcPr>
          <w:p w14:paraId="04789E33"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5C26A031"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808FBF7" w14:textId="77777777" w:rsidR="003966FC" w:rsidRDefault="003966FC">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BB716E9" w14:textId="77777777" w:rsidR="003966FC" w:rsidRDefault="003966FC">
            <w:pPr>
              <w:jc w:val="center"/>
              <w:rPr>
                <w:rFonts w:ascii="Arial" w:hAnsi="Arial" w:cs="Arial"/>
                <w:color w:val="000000"/>
                <w:sz w:val="18"/>
                <w:szCs w:val="18"/>
              </w:rPr>
            </w:pPr>
            <w:r>
              <w:rPr>
                <w:rFonts w:ascii="Arial" w:hAnsi="Arial" w:cs="Arial"/>
                <w:color w:val="000000"/>
                <w:sz w:val="18"/>
                <w:szCs w:val="18"/>
              </w:rPr>
              <w:t>-0.16 %</w:t>
            </w:r>
          </w:p>
        </w:tc>
        <w:tc>
          <w:tcPr>
            <w:tcW w:w="0" w:type="auto"/>
            <w:tcBorders>
              <w:top w:val="nil"/>
              <w:left w:val="nil"/>
              <w:bottom w:val="nil"/>
              <w:right w:val="nil"/>
            </w:tcBorders>
            <w:shd w:val="clear" w:color="auto" w:fill="auto"/>
            <w:noWrap/>
            <w:vAlign w:val="center"/>
            <w:hideMark/>
          </w:tcPr>
          <w:p w14:paraId="79F6BCDC" w14:textId="77777777" w:rsidR="003966FC" w:rsidRDefault="003966FC">
            <w:pPr>
              <w:jc w:val="center"/>
              <w:rPr>
                <w:rFonts w:ascii="Arial" w:hAnsi="Arial" w:cs="Arial"/>
                <w:color w:val="000000"/>
                <w:sz w:val="18"/>
                <w:szCs w:val="18"/>
              </w:rPr>
            </w:pPr>
            <w:r>
              <w:rPr>
                <w:rFonts w:ascii="Arial" w:hAnsi="Arial" w:cs="Arial"/>
                <w:color w:val="000000"/>
                <w:sz w:val="18"/>
                <w:szCs w:val="18"/>
              </w:rPr>
              <w:t>-0.39 %</w:t>
            </w:r>
          </w:p>
        </w:tc>
        <w:tc>
          <w:tcPr>
            <w:tcW w:w="0" w:type="auto"/>
            <w:tcBorders>
              <w:top w:val="nil"/>
              <w:left w:val="nil"/>
              <w:bottom w:val="nil"/>
              <w:right w:val="single" w:sz="4" w:space="0" w:color="auto"/>
            </w:tcBorders>
            <w:shd w:val="clear" w:color="auto" w:fill="auto"/>
            <w:noWrap/>
            <w:vAlign w:val="center"/>
            <w:hideMark/>
          </w:tcPr>
          <w:p w14:paraId="09B84A6C" w14:textId="77777777" w:rsidR="003966FC" w:rsidRDefault="003966FC">
            <w:pPr>
              <w:jc w:val="center"/>
              <w:rPr>
                <w:rFonts w:ascii="Arial" w:hAnsi="Arial" w:cs="Arial"/>
                <w:color w:val="000000"/>
                <w:sz w:val="18"/>
                <w:szCs w:val="18"/>
              </w:rPr>
            </w:pPr>
            <w:r>
              <w:rPr>
                <w:rFonts w:ascii="Arial" w:hAnsi="Arial" w:cs="Arial"/>
                <w:color w:val="000000"/>
                <w:sz w:val="18"/>
                <w:szCs w:val="18"/>
              </w:rPr>
              <w:t>-0.21 %</w:t>
            </w:r>
          </w:p>
        </w:tc>
        <w:tc>
          <w:tcPr>
            <w:tcW w:w="0" w:type="auto"/>
            <w:tcBorders>
              <w:top w:val="nil"/>
              <w:left w:val="nil"/>
              <w:bottom w:val="nil"/>
              <w:right w:val="nil"/>
            </w:tcBorders>
            <w:shd w:val="clear" w:color="auto" w:fill="auto"/>
            <w:noWrap/>
            <w:vAlign w:val="center"/>
            <w:hideMark/>
          </w:tcPr>
          <w:p w14:paraId="7E0BC681"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nil"/>
              <w:right w:val="nil"/>
            </w:tcBorders>
            <w:shd w:val="clear" w:color="auto" w:fill="auto"/>
            <w:noWrap/>
            <w:vAlign w:val="center"/>
            <w:hideMark/>
          </w:tcPr>
          <w:p w14:paraId="24CB48B0"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nil"/>
              <w:left w:val="single" w:sz="8" w:space="0" w:color="auto"/>
              <w:bottom w:val="nil"/>
              <w:right w:val="nil"/>
            </w:tcBorders>
            <w:shd w:val="clear" w:color="auto" w:fill="auto"/>
            <w:noWrap/>
            <w:vAlign w:val="center"/>
            <w:hideMark/>
          </w:tcPr>
          <w:p w14:paraId="25B04B4D" w14:textId="77777777" w:rsidR="003966FC" w:rsidRDefault="003966FC">
            <w:pPr>
              <w:jc w:val="center"/>
              <w:rPr>
                <w:rFonts w:ascii="Arial" w:hAnsi="Arial" w:cs="Arial"/>
                <w:color w:val="000000"/>
                <w:sz w:val="18"/>
                <w:szCs w:val="18"/>
              </w:rPr>
            </w:pPr>
            <w:r>
              <w:rPr>
                <w:rFonts w:ascii="Arial" w:hAnsi="Arial" w:cs="Arial"/>
                <w:color w:val="000000"/>
                <w:sz w:val="18"/>
                <w:szCs w:val="18"/>
              </w:rPr>
              <w:t>-0.12 %</w:t>
            </w:r>
          </w:p>
        </w:tc>
        <w:tc>
          <w:tcPr>
            <w:tcW w:w="0" w:type="auto"/>
            <w:tcBorders>
              <w:top w:val="nil"/>
              <w:left w:val="nil"/>
              <w:bottom w:val="nil"/>
              <w:right w:val="nil"/>
            </w:tcBorders>
            <w:shd w:val="clear" w:color="auto" w:fill="auto"/>
            <w:noWrap/>
            <w:vAlign w:val="center"/>
            <w:hideMark/>
          </w:tcPr>
          <w:p w14:paraId="774587C2" w14:textId="77777777" w:rsidR="003966FC" w:rsidRDefault="003966FC">
            <w:pPr>
              <w:jc w:val="center"/>
              <w:rPr>
                <w:rFonts w:ascii="Arial" w:hAnsi="Arial" w:cs="Arial"/>
                <w:color w:val="000000"/>
                <w:sz w:val="18"/>
                <w:szCs w:val="18"/>
              </w:rPr>
            </w:pPr>
            <w:r>
              <w:rPr>
                <w:rFonts w:ascii="Arial" w:hAnsi="Arial" w:cs="Arial"/>
                <w:color w:val="000000"/>
                <w:sz w:val="18"/>
                <w:szCs w:val="18"/>
              </w:rPr>
              <w:t>-0.08 %</w:t>
            </w:r>
          </w:p>
        </w:tc>
        <w:tc>
          <w:tcPr>
            <w:tcW w:w="0" w:type="auto"/>
            <w:tcBorders>
              <w:top w:val="nil"/>
              <w:left w:val="nil"/>
              <w:bottom w:val="nil"/>
              <w:right w:val="single" w:sz="4" w:space="0" w:color="auto"/>
            </w:tcBorders>
            <w:shd w:val="clear" w:color="auto" w:fill="auto"/>
            <w:noWrap/>
            <w:vAlign w:val="center"/>
            <w:hideMark/>
          </w:tcPr>
          <w:p w14:paraId="417625EC" w14:textId="77777777" w:rsidR="003966FC" w:rsidRDefault="003966FC">
            <w:pPr>
              <w:jc w:val="center"/>
              <w:rPr>
                <w:rFonts w:ascii="Arial" w:hAnsi="Arial" w:cs="Arial"/>
                <w:color w:val="000000"/>
                <w:sz w:val="18"/>
                <w:szCs w:val="18"/>
              </w:rPr>
            </w:pPr>
            <w:r>
              <w:rPr>
                <w:rFonts w:ascii="Arial" w:hAnsi="Arial" w:cs="Arial"/>
                <w:color w:val="000000"/>
                <w:sz w:val="18"/>
                <w:szCs w:val="18"/>
              </w:rPr>
              <w:t>-0.08 %</w:t>
            </w:r>
          </w:p>
        </w:tc>
        <w:tc>
          <w:tcPr>
            <w:tcW w:w="0" w:type="auto"/>
            <w:tcBorders>
              <w:top w:val="nil"/>
              <w:left w:val="nil"/>
              <w:bottom w:val="nil"/>
              <w:right w:val="nil"/>
            </w:tcBorders>
            <w:shd w:val="clear" w:color="auto" w:fill="auto"/>
            <w:noWrap/>
            <w:vAlign w:val="center"/>
            <w:hideMark/>
          </w:tcPr>
          <w:p w14:paraId="6C999FBB"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nil"/>
              <w:right w:val="single" w:sz="8" w:space="0" w:color="auto"/>
            </w:tcBorders>
            <w:shd w:val="clear" w:color="auto" w:fill="auto"/>
            <w:noWrap/>
            <w:vAlign w:val="center"/>
            <w:hideMark/>
          </w:tcPr>
          <w:p w14:paraId="5C91B055"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15CBCB72"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0DC668B" w14:textId="77777777" w:rsidR="003966FC" w:rsidRDefault="003966FC">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256CE2B" w14:textId="77777777" w:rsidR="003966FC" w:rsidRDefault="003966FC">
            <w:pPr>
              <w:jc w:val="center"/>
              <w:rPr>
                <w:rFonts w:ascii="Arial" w:hAnsi="Arial" w:cs="Arial"/>
                <w:color w:val="000000"/>
                <w:sz w:val="18"/>
                <w:szCs w:val="18"/>
              </w:rPr>
            </w:pPr>
            <w:r>
              <w:rPr>
                <w:rFonts w:ascii="Arial" w:hAnsi="Arial" w:cs="Arial"/>
                <w:color w:val="000000"/>
                <w:sz w:val="18"/>
                <w:szCs w:val="18"/>
              </w:rPr>
              <w:t>-0.17 %</w:t>
            </w:r>
          </w:p>
        </w:tc>
        <w:tc>
          <w:tcPr>
            <w:tcW w:w="0" w:type="auto"/>
            <w:tcBorders>
              <w:top w:val="nil"/>
              <w:left w:val="nil"/>
              <w:bottom w:val="nil"/>
              <w:right w:val="nil"/>
            </w:tcBorders>
            <w:shd w:val="clear" w:color="auto" w:fill="auto"/>
            <w:noWrap/>
            <w:vAlign w:val="center"/>
            <w:hideMark/>
          </w:tcPr>
          <w:p w14:paraId="47302222" w14:textId="77777777" w:rsidR="003966FC" w:rsidRDefault="003966FC">
            <w:pPr>
              <w:jc w:val="center"/>
              <w:rPr>
                <w:rFonts w:ascii="Arial" w:hAnsi="Arial" w:cs="Arial"/>
                <w:color w:val="000000"/>
                <w:sz w:val="18"/>
                <w:szCs w:val="18"/>
              </w:rPr>
            </w:pPr>
            <w:r>
              <w:rPr>
                <w:rFonts w:ascii="Arial" w:hAnsi="Arial" w:cs="Arial"/>
                <w:color w:val="000000"/>
                <w:sz w:val="18"/>
                <w:szCs w:val="18"/>
              </w:rPr>
              <w:t>-0.12 %</w:t>
            </w:r>
          </w:p>
        </w:tc>
        <w:tc>
          <w:tcPr>
            <w:tcW w:w="0" w:type="auto"/>
            <w:tcBorders>
              <w:top w:val="nil"/>
              <w:left w:val="nil"/>
              <w:bottom w:val="nil"/>
              <w:right w:val="single" w:sz="4" w:space="0" w:color="auto"/>
            </w:tcBorders>
            <w:shd w:val="clear" w:color="auto" w:fill="auto"/>
            <w:noWrap/>
            <w:vAlign w:val="center"/>
            <w:hideMark/>
          </w:tcPr>
          <w:p w14:paraId="1C9A5C61" w14:textId="77777777" w:rsidR="003966FC" w:rsidRDefault="003966FC">
            <w:pPr>
              <w:jc w:val="center"/>
              <w:rPr>
                <w:rFonts w:ascii="Arial" w:hAnsi="Arial" w:cs="Arial"/>
                <w:color w:val="000000"/>
                <w:sz w:val="18"/>
                <w:szCs w:val="18"/>
              </w:rPr>
            </w:pPr>
            <w:r>
              <w:rPr>
                <w:rFonts w:ascii="Arial" w:hAnsi="Arial" w:cs="Arial"/>
                <w:color w:val="000000"/>
                <w:sz w:val="18"/>
                <w:szCs w:val="18"/>
              </w:rPr>
              <w:t>-0.51 %</w:t>
            </w:r>
          </w:p>
        </w:tc>
        <w:tc>
          <w:tcPr>
            <w:tcW w:w="0" w:type="auto"/>
            <w:tcBorders>
              <w:top w:val="nil"/>
              <w:left w:val="nil"/>
              <w:bottom w:val="nil"/>
              <w:right w:val="nil"/>
            </w:tcBorders>
            <w:shd w:val="clear" w:color="auto" w:fill="auto"/>
            <w:noWrap/>
            <w:vAlign w:val="center"/>
            <w:hideMark/>
          </w:tcPr>
          <w:p w14:paraId="68D6A989"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nil"/>
              <w:right w:val="nil"/>
            </w:tcBorders>
            <w:shd w:val="clear" w:color="auto" w:fill="auto"/>
            <w:noWrap/>
            <w:vAlign w:val="center"/>
            <w:hideMark/>
          </w:tcPr>
          <w:p w14:paraId="0E32E4BC"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nil"/>
              <w:left w:val="single" w:sz="8" w:space="0" w:color="auto"/>
              <w:bottom w:val="nil"/>
              <w:right w:val="nil"/>
            </w:tcBorders>
            <w:shd w:val="clear" w:color="auto" w:fill="auto"/>
            <w:noWrap/>
            <w:vAlign w:val="center"/>
            <w:hideMark/>
          </w:tcPr>
          <w:p w14:paraId="517DAC5B" w14:textId="77777777" w:rsidR="003966FC" w:rsidRDefault="003966FC">
            <w:pPr>
              <w:jc w:val="center"/>
              <w:rPr>
                <w:rFonts w:ascii="Arial" w:hAnsi="Arial" w:cs="Arial"/>
                <w:color w:val="000000"/>
                <w:sz w:val="18"/>
                <w:szCs w:val="18"/>
              </w:rPr>
            </w:pPr>
            <w:r>
              <w:rPr>
                <w:rFonts w:ascii="Arial" w:hAnsi="Arial" w:cs="Arial"/>
                <w:color w:val="000000"/>
                <w:sz w:val="18"/>
                <w:szCs w:val="18"/>
              </w:rPr>
              <w:t>-0.15 %</w:t>
            </w:r>
          </w:p>
        </w:tc>
        <w:tc>
          <w:tcPr>
            <w:tcW w:w="0" w:type="auto"/>
            <w:tcBorders>
              <w:top w:val="nil"/>
              <w:left w:val="nil"/>
              <w:bottom w:val="nil"/>
              <w:right w:val="nil"/>
            </w:tcBorders>
            <w:shd w:val="clear" w:color="auto" w:fill="auto"/>
            <w:noWrap/>
            <w:vAlign w:val="center"/>
            <w:hideMark/>
          </w:tcPr>
          <w:p w14:paraId="5D49F167" w14:textId="77777777" w:rsidR="003966FC" w:rsidRDefault="003966FC">
            <w:pPr>
              <w:jc w:val="center"/>
              <w:rPr>
                <w:rFonts w:ascii="Arial" w:hAnsi="Arial" w:cs="Arial"/>
                <w:color w:val="000000"/>
                <w:sz w:val="18"/>
                <w:szCs w:val="18"/>
              </w:rPr>
            </w:pPr>
            <w:r>
              <w:rPr>
                <w:rFonts w:ascii="Arial" w:hAnsi="Arial" w:cs="Arial"/>
                <w:color w:val="000000"/>
                <w:sz w:val="18"/>
                <w:szCs w:val="18"/>
              </w:rPr>
              <w:t>-0.28 %</w:t>
            </w:r>
          </w:p>
        </w:tc>
        <w:tc>
          <w:tcPr>
            <w:tcW w:w="0" w:type="auto"/>
            <w:tcBorders>
              <w:top w:val="nil"/>
              <w:left w:val="nil"/>
              <w:bottom w:val="nil"/>
              <w:right w:val="single" w:sz="4" w:space="0" w:color="auto"/>
            </w:tcBorders>
            <w:shd w:val="clear" w:color="auto" w:fill="auto"/>
            <w:noWrap/>
            <w:vAlign w:val="center"/>
            <w:hideMark/>
          </w:tcPr>
          <w:p w14:paraId="78BEEE28" w14:textId="77777777" w:rsidR="003966FC" w:rsidRDefault="003966FC">
            <w:pPr>
              <w:jc w:val="center"/>
              <w:rPr>
                <w:rFonts w:ascii="Arial" w:hAnsi="Arial" w:cs="Arial"/>
                <w:color w:val="000000"/>
                <w:sz w:val="18"/>
                <w:szCs w:val="18"/>
              </w:rPr>
            </w:pPr>
            <w:r>
              <w:rPr>
                <w:rFonts w:ascii="Arial" w:hAnsi="Arial" w:cs="Arial"/>
                <w:color w:val="000000"/>
                <w:sz w:val="18"/>
                <w:szCs w:val="18"/>
              </w:rPr>
              <w:t>-0.31 %</w:t>
            </w:r>
          </w:p>
        </w:tc>
        <w:tc>
          <w:tcPr>
            <w:tcW w:w="0" w:type="auto"/>
            <w:tcBorders>
              <w:top w:val="nil"/>
              <w:left w:val="nil"/>
              <w:bottom w:val="nil"/>
              <w:right w:val="nil"/>
            </w:tcBorders>
            <w:shd w:val="clear" w:color="auto" w:fill="auto"/>
            <w:noWrap/>
            <w:vAlign w:val="center"/>
            <w:hideMark/>
          </w:tcPr>
          <w:p w14:paraId="4FC36A65"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nil"/>
              <w:right w:val="single" w:sz="8" w:space="0" w:color="auto"/>
            </w:tcBorders>
            <w:shd w:val="clear" w:color="auto" w:fill="auto"/>
            <w:noWrap/>
            <w:vAlign w:val="center"/>
            <w:hideMark/>
          </w:tcPr>
          <w:p w14:paraId="16D573E5"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516E4676"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48912E" w14:textId="77777777" w:rsidR="003966FC" w:rsidRDefault="003966FC">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8F67776" w14:textId="77777777" w:rsidR="003966FC" w:rsidRDefault="003966FC">
            <w:pPr>
              <w:jc w:val="center"/>
              <w:rPr>
                <w:rFonts w:ascii="Arial" w:hAnsi="Arial" w:cs="Arial"/>
                <w:color w:val="000000"/>
                <w:sz w:val="18"/>
                <w:szCs w:val="18"/>
              </w:rPr>
            </w:pPr>
            <w:r>
              <w:rPr>
                <w:rFonts w:ascii="Arial" w:hAnsi="Arial" w:cs="Arial"/>
                <w:color w:val="000000"/>
                <w:sz w:val="18"/>
                <w:szCs w:val="18"/>
              </w:rPr>
              <w:t>-0.20 %</w:t>
            </w:r>
          </w:p>
        </w:tc>
        <w:tc>
          <w:tcPr>
            <w:tcW w:w="0" w:type="auto"/>
            <w:tcBorders>
              <w:top w:val="nil"/>
              <w:left w:val="nil"/>
              <w:bottom w:val="nil"/>
              <w:right w:val="nil"/>
            </w:tcBorders>
            <w:shd w:val="clear" w:color="auto" w:fill="auto"/>
            <w:noWrap/>
            <w:vAlign w:val="center"/>
            <w:hideMark/>
          </w:tcPr>
          <w:p w14:paraId="5251DD55" w14:textId="77777777" w:rsidR="003966FC" w:rsidRDefault="003966FC">
            <w:pPr>
              <w:jc w:val="center"/>
              <w:rPr>
                <w:rFonts w:ascii="Arial" w:hAnsi="Arial" w:cs="Arial"/>
                <w:color w:val="000000"/>
                <w:sz w:val="18"/>
                <w:szCs w:val="18"/>
              </w:rPr>
            </w:pPr>
            <w:r>
              <w:rPr>
                <w:rFonts w:ascii="Arial" w:hAnsi="Arial" w:cs="Arial"/>
                <w:color w:val="000000"/>
                <w:sz w:val="18"/>
                <w:szCs w:val="18"/>
              </w:rPr>
              <w:t>-0.19 %</w:t>
            </w:r>
          </w:p>
        </w:tc>
        <w:tc>
          <w:tcPr>
            <w:tcW w:w="0" w:type="auto"/>
            <w:tcBorders>
              <w:top w:val="nil"/>
              <w:left w:val="nil"/>
              <w:bottom w:val="nil"/>
              <w:right w:val="single" w:sz="4" w:space="0" w:color="auto"/>
            </w:tcBorders>
            <w:shd w:val="clear" w:color="auto" w:fill="auto"/>
            <w:noWrap/>
            <w:vAlign w:val="center"/>
            <w:hideMark/>
          </w:tcPr>
          <w:p w14:paraId="29A4DC33" w14:textId="77777777" w:rsidR="003966FC" w:rsidRDefault="003966FC">
            <w:pPr>
              <w:jc w:val="center"/>
              <w:rPr>
                <w:rFonts w:ascii="Arial" w:hAnsi="Arial" w:cs="Arial"/>
                <w:color w:val="000000"/>
                <w:sz w:val="18"/>
                <w:szCs w:val="18"/>
              </w:rPr>
            </w:pPr>
            <w:r>
              <w:rPr>
                <w:rFonts w:ascii="Arial" w:hAnsi="Arial" w:cs="Arial"/>
                <w:color w:val="000000"/>
                <w:sz w:val="18"/>
                <w:szCs w:val="18"/>
              </w:rPr>
              <w:t>-0.51 %</w:t>
            </w:r>
          </w:p>
        </w:tc>
        <w:tc>
          <w:tcPr>
            <w:tcW w:w="0" w:type="auto"/>
            <w:tcBorders>
              <w:top w:val="nil"/>
              <w:left w:val="nil"/>
              <w:bottom w:val="nil"/>
              <w:right w:val="nil"/>
            </w:tcBorders>
            <w:shd w:val="clear" w:color="auto" w:fill="auto"/>
            <w:noWrap/>
            <w:vAlign w:val="center"/>
            <w:hideMark/>
          </w:tcPr>
          <w:p w14:paraId="34A04D98"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nil"/>
              <w:right w:val="nil"/>
            </w:tcBorders>
            <w:shd w:val="clear" w:color="auto" w:fill="auto"/>
            <w:noWrap/>
            <w:vAlign w:val="center"/>
            <w:hideMark/>
          </w:tcPr>
          <w:p w14:paraId="04CD9B7C"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single" w:sz="8" w:space="0" w:color="auto"/>
              <w:bottom w:val="nil"/>
              <w:right w:val="nil"/>
            </w:tcBorders>
            <w:shd w:val="clear" w:color="auto" w:fill="auto"/>
            <w:noWrap/>
            <w:vAlign w:val="center"/>
            <w:hideMark/>
          </w:tcPr>
          <w:p w14:paraId="5ED2A0AA" w14:textId="77777777" w:rsidR="003966FC" w:rsidRDefault="003966FC">
            <w:pPr>
              <w:jc w:val="center"/>
              <w:rPr>
                <w:rFonts w:ascii="Arial" w:hAnsi="Arial" w:cs="Arial"/>
                <w:color w:val="000000"/>
                <w:sz w:val="18"/>
                <w:szCs w:val="18"/>
              </w:rPr>
            </w:pPr>
            <w:r>
              <w:rPr>
                <w:rFonts w:ascii="Arial" w:hAnsi="Arial" w:cs="Arial"/>
                <w:color w:val="000000"/>
                <w:sz w:val="18"/>
                <w:szCs w:val="18"/>
              </w:rPr>
              <w:t>-0.10 %</w:t>
            </w:r>
          </w:p>
        </w:tc>
        <w:tc>
          <w:tcPr>
            <w:tcW w:w="0" w:type="auto"/>
            <w:tcBorders>
              <w:top w:val="nil"/>
              <w:left w:val="nil"/>
              <w:bottom w:val="nil"/>
              <w:right w:val="nil"/>
            </w:tcBorders>
            <w:shd w:val="clear" w:color="auto" w:fill="auto"/>
            <w:noWrap/>
            <w:vAlign w:val="center"/>
            <w:hideMark/>
          </w:tcPr>
          <w:p w14:paraId="516A7193" w14:textId="77777777" w:rsidR="003966FC" w:rsidRDefault="003966FC">
            <w:pPr>
              <w:jc w:val="center"/>
              <w:rPr>
                <w:rFonts w:ascii="Arial" w:hAnsi="Arial" w:cs="Arial"/>
                <w:color w:val="000000"/>
                <w:sz w:val="18"/>
                <w:szCs w:val="18"/>
              </w:rPr>
            </w:pPr>
            <w:r>
              <w:rPr>
                <w:rFonts w:ascii="Arial" w:hAnsi="Arial" w:cs="Arial"/>
                <w:color w:val="000000"/>
                <w:sz w:val="18"/>
                <w:szCs w:val="18"/>
              </w:rPr>
              <w:t>-0.07 %</w:t>
            </w:r>
          </w:p>
        </w:tc>
        <w:tc>
          <w:tcPr>
            <w:tcW w:w="0" w:type="auto"/>
            <w:tcBorders>
              <w:top w:val="nil"/>
              <w:left w:val="nil"/>
              <w:bottom w:val="nil"/>
              <w:right w:val="single" w:sz="4" w:space="0" w:color="auto"/>
            </w:tcBorders>
            <w:shd w:val="clear" w:color="auto" w:fill="auto"/>
            <w:noWrap/>
            <w:vAlign w:val="center"/>
            <w:hideMark/>
          </w:tcPr>
          <w:p w14:paraId="7B93E9BE" w14:textId="77777777" w:rsidR="003966FC" w:rsidRDefault="003966FC">
            <w:pPr>
              <w:jc w:val="center"/>
              <w:rPr>
                <w:rFonts w:ascii="Arial" w:hAnsi="Arial" w:cs="Arial"/>
                <w:color w:val="000000"/>
                <w:sz w:val="18"/>
                <w:szCs w:val="18"/>
              </w:rPr>
            </w:pPr>
            <w:r>
              <w:rPr>
                <w:rFonts w:ascii="Arial" w:hAnsi="Arial" w:cs="Arial"/>
                <w:color w:val="000000"/>
                <w:sz w:val="18"/>
                <w:szCs w:val="18"/>
              </w:rPr>
              <w:t>-0.36 %</w:t>
            </w:r>
          </w:p>
        </w:tc>
        <w:tc>
          <w:tcPr>
            <w:tcW w:w="0" w:type="auto"/>
            <w:tcBorders>
              <w:top w:val="nil"/>
              <w:left w:val="nil"/>
              <w:bottom w:val="nil"/>
              <w:right w:val="nil"/>
            </w:tcBorders>
            <w:shd w:val="clear" w:color="auto" w:fill="auto"/>
            <w:noWrap/>
            <w:vAlign w:val="center"/>
            <w:hideMark/>
          </w:tcPr>
          <w:p w14:paraId="747B19F4"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nil"/>
              <w:right w:val="single" w:sz="8" w:space="0" w:color="auto"/>
            </w:tcBorders>
            <w:shd w:val="clear" w:color="auto" w:fill="auto"/>
            <w:noWrap/>
            <w:vAlign w:val="center"/>
            <w:hideMark/>
          </w:tcPr>
          <w:p w14:paraId="319F9044"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6BEBD2F5"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E91FAD5" w14:textId="77777777" w:rsidR="003966FC" w:rsidRDefault="003966FC">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1506851"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4BEA1F9" w14:textId="77777777" w:rsidR="003966FC" w:rsidRDefault="003966FC">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058B04A"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56FD0C3"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DA8A66D" w14:textId="77777777" w:rsidR="003966FC" w:rsidRDefault="003966FC">
            <w:pPr>
              <w:jc w:val="center"/>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A05786C"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EE96C07" w14:textId="77777777" w:rsidR="003966FC" w:rsidRDefault="003966FC">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BE20323"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89F3134"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E2F696A"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r>
      <w:tr w:rsidR="003966FC" w14:paraId="098008A8"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08FDD5"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0FEC5E5" w14:textId="77777777" w:rsidR="003966FC" w:rsidRDefault="003966FC">
            <w:pPr>
              <w:jc w:val="center"/>
              <w:rPr>
                <w:rFonts w:ascii="Arial" w:hAnsi="Arial" w:cs="Arial"/>
                <w:color w:val="000000"/>
                <w:sz w:val="18"/>
                <w:szCs w:val="18"/>
              </w:rPr>
            </w:pPr>
            <w:r>
              <w:rPr>
                <w:rFonts w:ascii="Arial" w:hAnsi="Arial" w:cs="Arial"/>
                <w:color w:val="000000"/>
                <w:sz w:val="18"/>
                <w:szCs w:val="18"/>
              </w:rPr>
              <w:t>-0.18 %</w:t>
            </w:r>
          </w:p>
        </w:tc>
        <w:tc>
          <w:tcPr>
            <w:tcW w:w="0" w:type="auto"/>
            <w:tcBorders>
              <w:top w:val="single" w:sz="8" w:space="0" w:color="auto"/>
              <w:left w:val="nil"/>
              <w:bottom w:val="nil"/>
              <w:right w:val="nil"/>
            </w:tcBorders>
            <w:shd w:val="clear" w:color="auto" w:fill="auto"/>
            <w:noWrap/>
            <w:vAlign w:val="center"/>
            <w:hideMark/>
          </w:tcPr>
          <w:p w14:paraId="28FAC326" w14:textId="77777777" w:rsidR="003966FC" w:rsidRDefault="003966FC">
            <w:pPr>
              <w:jc w:val="center"/>
              <w:rPr>
                <w:rFonts w:ascii="Arial" w:hAnsi="Arial" w:cs="Arial"/>
                <w:color w:val="000000"/>
                <w:sz w:val="18"/>
                <w:szCs w:val="18"/>
              </w:rPr>
            </w:pPr>
            <w:r>
              <w:rPr>
                <w:rFonts w:ascii="Arial" w:hAnsi="Arial" w:cs="Arial"/>
                <w:color w:val="000000"/>
                <w:sz w:val="18"/>
                <w:szCs w:val="18"/>
              </w:rPr>
              <w:t>-0.23 %</w:t>
            </w:r>
          </w:p>
        </w:tc>
        <w:tc>
          <w:tcPr>
            <w:tcW w:w="0" w:type="auto"/>
            <w:tcBorders>
              <w:top w:val="single" w:sz="8" w:space="0" w:color="auto"/>
              <w:left w:val="nil"/>
              <w:bottom w:val="nil"/>
              <w:right w:val="single" w:sz="4" w:space="0" w:color="auto"/>
            </w:tcBorders>
            <w:shd w:val="clear" w:color="auto" w:fill="auto"/>
            <w:noWrap/>
            <w:vAlign w:val="center"/>
            <w:hideMark/>
          </w:tcPr>
          <w:p w14:paraId="371D644B" w14:textId="77777777" w:rsidR="003966FC" w:rsidRDefault="003966FC">
            <w:pPr>
              <w:jc w:val="center"/>
              <w:rPr>
                <w:rFonts w:ascii="Arial" w:hAnsi="Arial" w:cs="Arial"/>
                <w:color w:val="000000"/>
                <w:sz w:val="18"/>
                <w:szCs w:val="18"/>
              </w:rPr>
            </w:pPr>
            <w:r>
              <w:rPr>
                <w:rFonts w:ascii="Arial" w:hAnsi="Arial" w:cs="Arial"/>
                <w:color w:val="000000"/>
                <w:sz w:val="18"/>
                <w:szCs w:val="18"/>
              </w:rPr>
              <w:t>-0.41 %</w:t>
            </w:r>
          </w:p>
        </w:tc>
        <w:tc>
          <w:tcPr>
            <w:tcW w:w="0" w:type="auto"/>
            <w:tcBorders>
              <w:top w:val="single" w:sz="8" w:space="0" w:color="auto"/>
              <w:left w:val="nil"/>
              <w:bottom w:val="nil"/>
              <w:right w:val="nil"/>
            </w:tcBorders>
            <w:shd w:val="clear" w:color="auto" w:fill="auto"/>
            <w:noWrap/>
            <w:vAlign w:val="center"/>
            <w:hideMark/>
          </w:tcPr>
          <w:p w14:paraId="7D9D62C4"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single" w:sz="8" w:space="0" w:color="auto"/>
              <w:left w:val="nil"/>
              <w:bottom w:val="nil"/>
              <w:right w:val="nil"/>
            </w:tcBorders>
            <w:shd w:val="clear" w:color="auto" w:fill="auto"/>
            <w:noWrap/>
            <w:vAlign w:val="center"/>
            <w:hideMark/>
          </w:tcPr>
          <w:p w14:paraId="19E2EB06"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single" w:sz="8" w:space="0" w:color="auto"/>
              <w:left w:val="single" w:sz="8" w:space="0" w:color="auto"/>
              <w:bottom w:val="nil"/>
              <w:right w:val="nil"/>
            </w:tcBorders>
            <w:shd w:val="clear" w:color="auto" w:fill="auto"/>
            <w:noWrap/>
            <w:vAlign w:val="center"/>
            <w:hideMark/>
          </w:tcPr>
          <w:p w14:paraId="315EF55C" w14:textId="77777777" w:rsidR="003966FC" w:rsidRDefault="003966FC">
            <w:pPr>
              <w:jc w:val="center"/>
              <w:rPr>
                <w:rFonts w:ascii="Arial" w:hAnsi="Arial" w:cs="Arial"/>
                <w:color w:val="000000"/>
                <w:sz w:val="18"/>
                <w:szCs w:val="18"/>
              </w:rPr>
            </w:pPr>
            <w:r>
              <w:rPr>
                <w:rFonts w:ascii="Arial" w:hAnsi="Arial" w:cs="Arial"/>
                <w:color w:val="000000"/>
                <w:sz w:val="18"/>
                <w:szCs w:val="18"/>
              </w:rPr>
              <w:t>-0.13 %</w:t>
            </w:r>
          </w:p>
        </w:tc>
        <w:tc>
          <w:tcPr>
            <w:tcW w:w="0" w:type="auto"/>
            <w:tcBorders>
              <w:top w:val="single" w:sz="8" w:space="0" w:color="auto"/>
              <w:left w:val="nil"/>
              <w:bottom w:val="nil"/>
              <w:right w:val="nil"/>
            </w:tcBorders>
            <w:shd w:val="clear" w:color="auto" w:fill="auto"/>
            <w:noWrap/>
            <w:vAlign w:val="center"/>
            <w:hideMark/>
          </w:tcPr>
          <w:p w14:paraId="22F79C65" w14:textId="77777777" w:rsidR="003966FC" w:rsidRDefault="003966FC">
            <w:pPr>
              <w:jc w:val="center"/>
              <w:rPr>
                <w:rFonts w:ascii="Arial" w:hAnsi="Arial" w:cs="Arial"/>
                <w:color w:val="000000"/>
                <w:sz w:val="18"/>
                <w:szCs w:val="18"/>
              </w:rPr>
            </w:pPr>
            <w:r>
              <w:rPr>
                <w:rFonts w:ascii="Arial" w:hAnsi="Arial" w:cs="Arial"/>
                <w:color w:val="000000"/>
                <w:sz w:val="18"/>
                <w:szCs w:val="18"/>
              </w:rPr>
              <w:t>-0.15 %</w:t>
            </w:r>
          </w:p>
        </w:tc>
        <w:tc>
          <w:tcPr>
            <w:tcW w:w="0" w:type="auto"/>
            <w:tcBorders>
              <w:top w:val="single" w:sz="8" w:space="0" w:color="auto"/>
              <w:left w:val="nil"/>
              <w:bottom w:val="nil"/>
              <w:right w:val="single" w:sz="4" w:space="0" w:color="auto"/>
            </w:tcBorders>
            <w:shd w:val="clear" w:color="auto" w:fill="auto"/>
            <w:noWrap/>
            <w:vAlign w:val="center"/>
            <w:hideMark/>
          </w:tcPr>
          <w:p w14:paraId="10379D98" w14:textId="77777777" w:rsidR="003966FC" w:rsidRDefault="003966FC">
            <w:pPr>
              <w:jc w:val="center"/>
              <w:rPr>
                <w:rFonts w:ascii="Arial" w:hAnsi="Arial" w:cs="Arial"/>
                <w:color w:val="000000"/>
                <w:sz w:val="18"/>
                <w:szCs w:val="18"/>
              </w:rPr>
            </w:pPr>
            <w:r>
              <w:rPr>
                <w:rFonts w:ascii="Arial" w:hAnsi="Arial" w:cs="Arial"/>
                <w:color w:val="000000"/>
                <w:sz w:val="18"/>
                <w:szCs w:val="18"/>
              </w:rPr>
              <w:t>-0.26 %</w:t>
            </w:r>
          </w:p>
        </w:tc>
        <w:tc>
          <w:tcPr>
            <w:tcW w:w="0" w:type="auto"/>
            <w:tcBorders>
              <w:top w:val="single" w:sz="8" w:space="0" w:color="auto"/>
              <w:left w:val="nil"/>
              <w:bottom w:val="nil"/>
              <w:right w:val="nil"/>
            </w:tcBorders>
            <w:shd w:val="clear" w:color="auto" w:fill="auto"/>
            <w:noWrap/>
            <w:vAlign w:val="center"/>
            <w:hideMark/>
          </w:tcPr>
          <w:p w14:paraId="40A58DF6"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single" w:sz="8" w:space="0" w:color="auto"/>
              <w:left w:val="nil"/>
              <w:bottom w:val="nil"/>
              <w:right w:val="single" w:sz="8" w:space="0" w:color="auto"/>
            </w:tcBorders>
            <w:shd w:val="clear" w:color="auto" w:fill="auto"/>
            <w:noWrap/>
            <w:vAlign w:val="center"/>
            <w:hideMark/>
          </w:tcPr>
          <w:p w14:paraId="2A43E39F"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12218BDB"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D8C9DC" w14:textId="77777777" w:rsidR="003966FC" w:rsidRDefault="003966FC">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AC4B293" w14:textId="77777777" w:rsidR="003966FC" w:rsidRDefault="003966FC">
            <w:pPr>
              <w:jc w:val="center"/>
              <w:rPr>
                <w:rFonts w:ascii="Arial" w:hAnsi="Arial" w:cs="Arial"/>
                <w:color w:val="000000"/>
                <w:sz w:val="18"/>
                <w:szCs w:val="18"/>
              </w:rPr>
            </w:pPr>
            <w:r>
              <w:rPr>
                <w:rFonts w:ascii="Arial" w:hAnsi="Arial" w:cs="Arial"/>
                <w:color w:val="000000"/>
                <w:sz w:val="18"/>
                <w:szCs w:val="18"/>
              </w:rPr>
              <w:t>-0.15 %</w:t>
            </w:r>
          </w:p>
        </w:tc>
        <w:tc>
          <w:tcPr>
            <w:tcW w:w="0" w:type="auto"/>
            <w:tcBorders>
              <w:top w:val="single" w:sz="8" w:space="0" w:color="auto"/>
              <w:left w:val="nil"/>
              <w:bottom w:val="nil"/>
              <w:right w:val="nil"/>
            </w:tcBorders>
            <w:shd w:val="clear" w:color="auto" w:fill="auto"/>
            <w:noWrap/>
            <w:vAlign w:val="center"/>
            <w:hideMark/>
          </w:tcPr>
          <w:p w14:paraId="370366FA" w14:textId="77777777" w:rsidR="003966FC" w:rsidRDefault="003966FC">
            <w:pPr>
              <w:jc w:val="center"/>
              <w:rPr>
                <w:rFonts w:ascii="Arial" w:hAnsi="Arial" w:cs="Arial"/>
                <w:color w:val="000000"/>
                <w:sz w:val="18"/>
                <w:szCs w:val="18"/>
              </w:rPr>
            </w:pPr>
            <w:r>
              <w:rPr>
                <w:rFonts w:ascii="Arial" w:hAnsi="Arial" w:cs="Arial"/>
                <w:color w:val="000000"/>
                <w:sz w:val="18"/>
                <w:szCs w:val="18"/>
              </w:rPr>
              <w:t>-0.18 %</w:t>
            </w:r>
          </w:p>
        </w:tc>
        <w:tc>
          <w:tcPr>
            <w:tcW w:w="0" w:type="auto"/>
            <w:tcBorders>
              <w:top w:val="single" w:sz="8" w:space="0" w:color="auto"/>
              <w:left w:val="nil"/>
              <w:bottom w:val="nil"/>
              <w:right w:val="single" w:sz="4" w:space="0" w:color="auto"/>
            </w:tcBorders>
            <w:shd w:val="clear" w:color="auto" w:fill="auto"/>
            <w:noWrap/>
            <w:vAlign w:val="center"/>
            <w:hideMark/>
          </w:tcPr>
          <w:p w14:paraId="189259CB" w14:textId="77777777" w:rsidR="003966FC" w:rsidRDefault="003966FC">
            <w:pPr>
              <w:jc w:val="center"/>
              <w:rPr>
                <w:rFonts w:ascii="Arial" w:hAnsi="Arial" w:cs="Arial"/>
                <w:color w:val="000000"/>
                <w:sz w:val="18"/>
                <w:szCs w:val="18"/>
              </w:rPr>
            </w:pPr>
            <w:r>
              <w:rPr>
                <w:rFonts w:ascii="Arial" w:hAnsi="Arial" w:cs="Arial"/>
                <w:color w:val="000000"/>
                <w:sz w:val="18"/>
                <w:szCs w:val="18"/>
              </w:rPr>
              <w:t>-0.60 %</w:t>
            </w:r>
          </w:p>
        </w:tc>
        <w:tc>
          <w:tcPr>
            <w:tcW w:w="0" w:type="auto"/>
            <w:tcBorders>
              <w:top w:val="single" w:sz="8" w:space="0" w:color="auto"/>
              <w:left w:val="nil"/>
              <w:bottom w:val="nil"/>
              <w:right w:val="nil"/>
            </w:tcBorders>
            <w:shd w:val="clear" w:color="auto" w:fill="auto"/>
            <w:noWrap/>
            <w:vAlign w:val="center"/>
            <w:hideMark/>
          </w:tcPr>
          <w:p w14:paraId="418B7379"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single" w:sz="8" w:space="0" w:color="auto"/>
              <w:left w:val="nil"/>
              <w:bottom w:val="nil"/>
              <w:right w:val="single" w:sz="8" w:space="0" w:color="auto"/>
            </w:tcBorders>
            <w:shd w:val="clear" w:color="auto" w:fill="auto"/>
            <w:noWrap/>
            <w:vAlign w:val="center"/>
            <w:hideMark/>
          </w:tcPr>
          <w:p w14:paraId="1DD9C1AD"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single" w:sz="8" w:space="0" w:color="auto"/>
              <w:left w:val="nil"/>
              <w:bottom w:val="nil"/>
              <w:right w:val="nil"/>
            </w:tcBorders>
            <w:shd w:val="clear" w:color="auto" w:fill="auto"/>
            <w:noWrap/>
            <w:vAlign w:val="center"/>
            <w:hideMark/>
          </w:tcPr>
          <w:p w14:paraId="45E7BFB9" w14:textId="77777777" w:rsidR="003966FC" w:rsidRDefault="003966FC">
            <w:pPr>
              <w:jc w:val="center"/>
              <w:rPr>
                <w:rFonts w:ascii="Arial" w:hAnsi="Arial" w:cs="Arial"/>
                <w:color w:val="000000"/>
                <w:sz w:val="18"/>
                <w:szCs w:val="18"/>
              </w:rPr>
            </w:pPr>
            <w:r>
              <w:rPr>
                <w:rFonts w:ascii="Arial" w:hAnsi="Arial" w:cs="Arial"/>
                <w:color w:val="000000"/>
                <w:sz w:val="18"/>
                <w:szCs w:val="18"/>
              </w:rPr>
              <w:t>-0.12 %</w:t>
            </w:r>
          </w:p>
        </w:tc>
        <w:tc>
          <w:tcPr>
            <w:tcW w:w="0" w:type="auto"/>
            <w:tcBorders>
              <w:top w:val="single" w:sz="8" w:space="0" w:color="auto"/>
              <w:left w:val="nil"/>
              <w:bottom w:val="nil"/>
              <w:right w:val="nil"/>
            </w:tcBorders>
            <w:shd w:val="clear" w:color="auto" w:fill="auto"/>
            <w:noWrap/>
            <w:vAlign w:val="center"/>
            <w:hideMark/>
          </w:tcPr>
          <w:p w14:paraId="66B2E6AF" w14:textId="77777777" w:rsidR="003966FC" w:rsidRDefault="003966FC">
            <w:pPr>
              <w:jc w:val="center"/>
              <w:rPr>
                <w:rFonts w:ascii="Arial" w:hAnsi="Arial" w:cs="Arial"/>
                <w:color w:val="000000"/>
                <w:sz w:val="18"/>
                <w:szCs w:val="18"/>
              </w:rPr>
            </w:pPr>
            <w:r>
              <w:rPr>
                <w:rFonts w:ascii="Arial" w:hAnsi="Arial" w:cs="Arial"/>
                <w:color w:val="000000"/>
                <w:sz w:val="18"/>
                <w:szCs w:val="18"/>
              </w:rPr>
              <w:t>-0.17 %</w:t>
            </w:r>
          </w:p>
        </w:tc>
        <w:tc>
          <w:tcPr>
            <w:tcW w:w="0" w:type="auto"/>
            <w:tcBorders>
              <w:top w:val="single" w:sz="8" w:space="0" w:color="auto"/>
              <w:left w:val="nil"/>
              <w:bottom w:val="nil"/>
              <w:right w:val="single" w:sz="4" w:space="0" w:color="auto"/>
            </w:tcBorders>
            <w:shd w:val="clear" w:color="auto" w:fill="auto"/>
            <w:noWrap/>
            <w:vAlign w:val="center"/>
            <w:hideMark/>
          </w:tcPr>
          <w:p w14:paraId="7848B68A" w14:textId="77777777" w:rsidR="003966FC" w:rsidRDefault="003966FC">
            <w:pPr>
              <w:jc w:val="center"/>
              <w:rPr>
                <w:rFonts w:ascii="Arial" w:hAnsi="Arial" w:cs="Arial"/>
                <w:color w:val="000000"/>
                <w:sz w:val="18"/>
                <w:szCs w:val="18"/>
              </w:rPr>
            </w:pPr>
            <w:r>
              <w:rPr>
                <w:rFonts w:ascii="Arial" w:hAnsi="Arial" w:cs="Arial"/>
                <w:color w:val="000000"/>
                <w:sz w:val="18"/>
                <w:szCs w:val="18"/>
              </w:rPr>
              <w:t>-0.21 %</w:t>
            </w:r>
          </w:p>
        </w:tc>
        <w:tc>
          <w:tcPr>
            <w:tcW w:w="0" w:type="auto"/>
            <w:tcBorders>
              <w:top w:val="single" w:sz="8" w:space="0" w:color="auto"/>
              <w:left w:val="nil"/>
              <w:bottom w:val="nil"/>
              <w:right w:val="nil"/>
            </w:tcBorders>
            <w:shd w:val="clear" w:color="auto" w:fill="auto"/>
            <w:noWrap/>
            <w:vAlign w:val="center"/>
            <w:hideMark/>
          </w:tcPr>
          <w:p w14:paraId="188FCCB6"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single" w:sz="8" w:space="0" w:color="auto"/>
              <w:left w:val="nil"/>
              <w:bottom w:val="nil"/>
              <w:right w:val="single" w:sz="8" w:space="0" w:color="auto"/>
            </w:tcBorders>
            <w:shd w:val="clear" w:color="auto" w:fill="auto"/>
            <w:noWrap/>
            <w:vAlign w:val="center"/>
            <w:hideMark/>
          </w:tcPr>
          <w:p w14:paraId="5FAD3044" w14:textId="77777777" w:rsidR="003966FC" w:rsidRDefault="003966FC">
            <w:pPr>
              <w:jc w:val="center"/>
              <w:rPr>
                <w:rFonts w:ascii="Arial" w:hAnsi="Arial" w:cs="Arial"/>
                <w:color w:val="000000"/>
                <w:sz w:val="18"/>
                <w:szCs w:val="18"/>
              </w:rPr>
            </w:pPr>
            <w:r>
              <w:rPr>
                <w:rFonts w:ascii="Arial" w:hAnsi="Arial" w:cs="Arial"/>
                <w:color w:val="000000"/>
                <w:sz w:val="18"/>
                <w:szCs w:val="18"/>
              </w:rPr>
              <w:t>99 %</w:t>
            </w:r>
          </w:p>
        </w:tc>
      </w:tr>
      <w:tr w:rsidR="003966FC" w14:paraId="25F36EB8" w14:textId="77777777" w:rsidTr="003966FC">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FEFA4C" w14:textId="2C05337B" w:rsidR="003966FC" w:rsidRDefault="003966FC">
            <w:pPr>
              <w:jc w:val="center"/>
              <w:rPr>
                <w:rFonts w:ascii="Arial" w:hAnsi="Arial" w:cs="Arial"/>
                <w:color w:val="000000"/>
                <w:sz w:val="18"/>
                <w:szCs w:val="18"/>
              </w:rPr>
            </w:pPr>
            <w:r>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6FD4EFC0" w14:textId="77777777" w:rsidR="003966FC" w:rsidRDefault="003966FC">
            <w:pPr>
              <w:jc w:val="center"/>
              <w:rPr>
                <w:rFonts w:ascii="Arial" w:hAnsi="Arial" w:cs="Arial"/>
                <w:color w:val="000000"/>
                <w:sz w:val="18"/>
                <w:szCs w:val="18"/>
              </w:rPr>
            </w:pPr>
            <w:r>
              <w:rPr>
                <w:rFonts w:ascii="Arial" w:hAnsi="Arial" w:cs="Arial"/>
                <w:color w:val="000000"/>
                <w:sz w:val="18"/>
                <w:szCs w:val="18"/>
              </w:rPr>
              <w:t>-0.14 %</w:t>
            </w:r>
          </w:p>
        </w:tc>
        <w:tc>
          <w:tcPr>
            <w:tcW w:w="0" w:type="auto"/>
            <w:tcBorders>
              <w:top w:val="nil"/>
              <w:left w:val="nil"/>
              <w:bottom w:val="single" w:sz="8" w:space="0" w:color="auto"/>
              <w:right w:val="nil"/>
            </w:tcBorders>
            <w:shd w:val="clear" w:color="auto" w:fill="auto"/>
            <w:noWrap/>
            <w:vAlign w:val="center"/>
            <w:hideMark/>
          </w:tcPr>
          <w:p w14:paraId="56FE9727" w14:textId="77777777" w:rsidR="003966FC" w:rsidRDefault="003966FC">
            <w:pPr>
              <w:jc w:val="center"/>
              <w:rPr>
                <w:rFonts w:ascii="Arial" w:hAnsi="Arial" w:cs="Arial"/>
                <w:color w:val="000000"/>
                <w:sz w:val="18"/>
                <w:szCs w:val="18"/>
              </w:rPr>
            </w:pPr>
            <w:r>
              <w:rPr>
                <w:rFonts w:ascii="Arial" w:hAnsi="Arial" w:cs="Arial"/>
                <w:color w:val="000000"/>
                <w:sz w:val="18"/>
                <w:szCs w:val="18"/>
              </w:rPr>
              <w:t>-0.09 %</w:t>
            </w:r>
          </w:p>
        </w:tc>
        <w:tc>
          <w:tcPr>
            <w:tcW w:w="0" w:type="auto"/>
            <w:tcBorders>
              <w:top w:val="nil"/>
              <w:left w:val="nil"/>
              <w:bottom w:val="single" w:sz="8" w:space="0" w:color="auto"/>
              <w:right w:val="single" w:sz="4" w:space="0" w:color="auto"/>
            </w:tcBorders>
            <w:shd w:val="clear" w:color="auto" w:fill="auto"/>
            <w:noWrap/>
            <w:vAlign w:val="center"/>
            <w:hideMark/>
          </w:tcPr>
          <w:p w14:paraId="7FF99D7D" w14:textId="77777777" w:rsidR="003966FC" w:rsidRDefault="003966FC">
            <w:pPr>
              <w:jc w:val="center"/>
              <w:rPr>
                <w:rFonts w:ascii="Arial" w:hAnsi="Arial" w:cs="Arial"/>
                <w:color w:val="000000"/>
                <w:sz w:val="18"/>
                <w:szCs w:val="18"/>
              </w:rPr>
            </w:pPr>
            <w:r>
              <w:rPr>
                <w:rFonts w:ascii="Arial" w:hAnsi="Arial" w:cs="Arial"/>
                <w:color w:val="000000"/>
                <w:sz w:val="18"/>
                <w:szCs w:val="18"/>
              </w:rPr>
              <w:t>-0.25 %</w:t>
            </w:r>
          </w:p>
        </w:tc>
        <w:tc>
          <w:tcPr>
            <w:tcW w:w="0" w:type="auto"/>
            <w:tcBorders>
              <w:top w:val="nil"/>
              <w:left w:val="nil"/>
              <w:bottom w:val="single" w:sz="8" w:space="0" w:color="auto"/>
              <w:right w:val="nil"/>
            </w:tcBorders>
            <w:shd w:val="clear" w:color="auto" w:fill="auto"/>
            <w:noWrap/>
            <w:vAlign w:val="center"/>
            <w:hideMark/>
          </w:tcPr>
          <w:p w14:paraId="261BBAF3"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single" w:sz="8" w:space="0" w:color="auto"/>
              <w:right w:val="single" w:sz="8" w:space="0" w:color="auto"/>
            </w:tcBorders>
            <w:shd w:val="clear" w:color="auto" w:fill="auto"/>
            <w:noWrap/>
            <w:vAlign w:val="center"/>
            <w:hideMark/>
          </w:tcPr>
          <w:p w14:paraId="10DFBD8B"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nil"/>
              <w:bottom w:val="single" w:sz="8" w:space="0" w:color="auto"/>
              <w:right w:val="nil"/>
            </w:tcBorders>
            <w:shd w:val="clear" w:color="auto" w:fill="auto"/>
            <w:noWrap/>
            <w:vAlign w:val="center"/>
            <w:hideMark/>
          </w:tcPr>
          <w:p w14:paraId="727738FD" w14:textId="77777777" w:rsidR="003966FC" w:rsidRDefault="003966FC">
            <w:pPr>
              <w:jc w:val="center"/>
              <w:rPr>
                <w:rFonts w:ascii="Arial" w:hAnsi="Arial" w:cs="Arial"/>
                <w:color w:val="000000"/>
                <w:sz w:val="18"/>
                <w:szCs w:val="18"/>
              </w:rPr>
            </w:pPr>
            <w:r>
              <w:rPr>
                <w:rFonts w:ascii="Arial" w:hAnsi="Arial" w:cs="Arial"/>
                <w:color w:val="000000"/>
                <w:sz w:val="18"/>
                <w:szCs w:val="18"/>
              </w:rPr>
              <w:t>-0.14 %</w:t>
            </w:r>
          </w:p>
        </w:tc>
        <w:tc>
          <w:tcPr>
            <w:tcW w:w="0" w:type="auto"/>
            <w:tcBorders>
              <w:top w:val="nil"/>
              <w:left w:val="nil"/>
              <w:bottom w:val="single" w:sz="8" w:space="0" w:color="auto"/>
              <w:right w:val="nil"/>
            </w:tcBorders>
            <w:shd w:val="clear" w:color="auto" w:fill="auto"/>
            <w:noWrap/>
            <w:vAlign w:val="center"/>
            <w:hideMark/>
          </w:tcPr>
          <w:p w14:paraId="62D2244A" w14:textId="77777777" w:rsidR="003966FC" w:rsidRDefault="003966FC">
            <w:pPr>
              <w:jc w:val="center"/>
              <w:rPr>
                <w:rFonts w:ascii="Arial" w:hAnsi="Arial" w:cs="Arial"/>
                <w:color w:val="000000"/>
                <w:sz w:val="18"/>
                <w:szCs w:val="18"/>
              </w:rPr>
            </w:pPr>
            <w:r>
              <w:rPr>
                <w:rFonts w:ascii="Arial" w:hAnsi="Arial" w:cs="Arial"/>
                <w:color w:val="000000"/>
                <w:sz w:val="18"/>
                <w:szCs w:val="18"/>
              </w:rPr>
              <w:t>0.00 %</w:t>
            </w:r>
          </w:p>
        </w:tc>
        <w:tc>
          <w:tcPr>
            <w:tcW w:w="0" w:type="auto"/>
            <w:tcBorders>
              <w:top w:val="nil"/>
              <w:left w:val="nil"/>
              <w:bottom w:val="single" w:sz="8" w:space="0" w:color="auto"/>
              <w:right w:val="single" w:sz="4" w:space="0" w:color="auto"/>
            </w:tcBorders>
            <w:shd w:val="clear" w:color="auto" w:fill="auto"/>
            <w:noWrap/>
            <w:vAlign w:val="center"/>
            <w:hideMark/>
          </w:tcPr>
          <w:p w14:paraId="32C717C1" w14:textId="77777777" w:rsidR="003966FC" w:rsidRDefault="003966FC">
            <w:pPr>
              <w:jc w:val="center"/>
              <w:rPr>
                <w:rFonts w:ascii="Arial" w:hAnsi="Arial" w:cs="Arial"/>
                <w:color w:val="000000"/>
                <w:sz w:val="18"/>
                <w:szCs w:val="18"/>
              </w:rPr>
            </w:pPr>
            <w:r>
              <w:rPr>
                <w:rFonts w:ascii="Arial" w:hAnsi="Arial" w:cs="Arial"/>
                <w:color w:val="000000"/>
                <w:sz w:val="18"/>
                <w:szCs w:val="18"/>
              </w:rPr>
              <w:t>-0.25 %</w:t>
            </w:r>
          </w:p>
        </w:tc>
        <w:tc>
          <w:tcPr>
            <w:tcW w:w="0" w:type="auto"/>
            <w:tcBorders>
              <w:top w:val="nil"/>
              <w:left w:val="nil"/>
              <w:bottom w:val="single" w:sz="8" w:space="0" w:color="auto"/>
              <w:right w:val="nil"/>
            </w:tcBorders>
            <w:shd w:val="clear" w:color="auto" w:fill="auto"/>
            <w:noWrap/>
            <w:vAlign w:val="center"/>
            <w:hideMark/>
          </w:tcPr>
          <w:p w14:paraId="1AE71E08"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single" w:sz="8" w:space="0" w:color="auto"/>
              <w:right w:val="single" w:sz="8" w:space="0" w:color="auto"/>
            </w:tcBorders>
            <w:shd w:val="clear" w:color="auto" w:fill="auto"/>
            <w:noWrap/>
            <w:vAlign w:val="center"/>
            <w:hideMark/>
          </w:tcPr>
          <w:p w14:paraId="2F77E75C" w14:textId="77777777" w:rsidR="003966FC" w:rsidRDefault="003966FC">
            <w:pPr>
              <w:jc w:val="center"/>
              <w:rPr>
                <w:rFonts w:ascii="Arial" w:hAnsi="Arial" w:cs="Arial"/>
                <w:color w:val="000000"/>
                <w:sz w:val="18"/>
                <w:szCs w:val="18"/>
              </w:rPr>
            </w:pPr>
            <w:r>
              <w:rPr>
                <w:rFonts w:ascii="Arial" w:hAnsi="Arial" w:cs="Arial"/>
                <w:color w:val="000000"/>
                <w:sz w:val="18"/>
                <w:szCs w:val="18"/>
              </w:rPr>
              <w:t>99 %</w:t>
            </w:r>
          </w:p>
        </w:tc>
      </w:tr>
      <w:tr w:rsidR="003966FC" w14:paraId="52FDCEAF" w14:textId="77777777" w:rsidTr="003966FC">
        <w:trPr>
          <w:trHeight w:val="255"/>
        </w:trPr>
        <w:tc>
          <w:tcPr>
            <w:tcW w:w="0" w:type="auto"/>
            <w:tcBorders>
              <w:top w:val="nil"/>
              <w:left w:val="nil"/>
              <w:bottom w:val="nil"/>
              <w:right w:val="nil"/>
            </w:tcBorders>
            <w:shd w:val="clear" w:color="auto" w:fill="auto"/>
            <w:noWrap/>
            <w:vAlign w:val="center"/>
            <w:hideMark/>
          </w:tcPr>
          <w:p w14:paraId="06EB4876" w14:textId="77777777" w:rsidR="003966FC" w:rsidRDefault="003966FC">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0B479283" w14:textId="77777777" w:rsidR="003966FC" w:rsidRDefault="003966FC">
            <w:pPr>
              <w:jc w:val="center"/>
              <w:rPr>
                <w:sz w:val="20"/>
                <w:szCs w:val="20"/>
              </w:rPr>
            </w:pPr>
          </w:p>
        </w:tc>
        <w:tc>
          <w:tcPr>
            <w:tcW w:w="0" w:type="auto"/>
            <w:tcBorders>
              <w:top w:val="nil"/>
              <w:left w:val="nil"/>
              <w:bottom w:val="nil"/>
              <w:right w:val="nil"/>
            </w:tcBorders>
            <w:shd w:val="clear" w:color="auto" w:fill="auto"/>
            <w:noWrap/>
            <w:vAlign w:val="bottom"/>
            <w:hideMark/>
          </w:tcPr>
          <w:p w14:paraId="53CC758B"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65C63A0C"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00ADD56D"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27E15BC4"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0B8A2548"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4DC4E72D"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15E58B65"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22215BFD" w14:textId="77777777" w:rsidR="003966FC" w:rsidRDefault="003966FC">
            <w:pPr>
              <w:rPr>
                <w:sz w:val="20"/>
                <w:szCs w:val="20"/>
              </w:rPr>
            </w:pPr>
          </w:p>
        </w:tc>
        <w:tc>
          <w:tcPr>
            <w:tcW w:w="0" w:type="auto"/>
            <w:tcBorders>
              <w:top w:val="nil"/>
              <w:left w:val="nil"/>
              <w:bottom w:val="nil"/>
              <w:right w:val="nil"/>
            </w:tcBorders>
            <w:shd w:val="clear" w:color="auto" w:fill="auto"/>
            <w:noWrap/>
            <w:vAlign w:val="bottom"/>
            <w:hideMark/>
          </w:tcPr>
          <w:p w14:paraId="74D2B885" w14:textId="77777777" w:rsidR="003966FC" w:rsidRDefault="003966FC">
            <w:pPr>
              <w:rPr>
                <w:sz w:val="20"/>
                <w:szCs w:val="20"/>
              </w:rPr>
            </w:pPr>
          </w:p>
        </w:tc>
      </w:tr>
      <w:tr w:rsidR="003966FC" w14:paraId="7B572A72" w14:textId="77777777" w:rsidTr="003966FC">
        <w:trPr>
          <w:trHeight w:val="255"/>
        </w:trPr>
        <w:tc>
          <w:tcPr>
            <w:tcW w:w="0" w:type="auto"/>
            <w:tcBorders>
              <w:top w:val="nil"/>
              <w:left w:val="nil"/>
              <w:bottom w:val="nil"/>
              <w:right w:val="nil"/>
            </w:tcBorders>
            <w:shd w:val="clear" w:color="auto" w:fill="auto"/>
            <w:noWrap/>
            <w:vAlign w:val="center"/>
            <w:hideMark/>
          </w:tcPr>
          <w:p w14:paraId="6DEEFFE4" w14:textId="77777777" w:rsidR="003966FC" w:rsidRDefault="003966FC">
            <w:pPr>
              <w:rPr>
                <w:sz w:val="20"/>
                <w:szCs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04DBB263"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Low</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3966FC" w14:paraId="67FFA49A" w14:textId="77777777" w:rsidTr="003966FC">
        <w:trPr>
          <w:trHeight w:val="255"/>
        </w:trPr>
        <w:tc>
          <w:tcPr>
            <w:tcW w:w="0" w:type="auto"/>
            <w:tcBorders>
              <w:top w:val="nil"/>
              <w:left w:val="nil"/>
              <w:bottom w:val="nil"/>
              <w:right w:val="nil"/>
            </w:tcBorders>
            <w:shd w:val="clear" w:color="auto" w:fill="auto"/>
            <w:noWrap/>
            <w:vAlign w:val="center"/>
            <w:hideMark/>
          </w:tcPr>
          <w:p w14:paraId="5A04573E" w14:textId="77777777" w:rsidR="003966FC" w:rsidRDefault="003966FC">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393BADD"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0574AC38"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BMS-1.0</w:t>
            </w:r>
          </w:p>
        </w:tc>
      </w:tr>
      <w:tr w:rsidR="003966FC" w14:paraId="2793E326" w14:textId="77777777" w:rsidTr="003966FC">
        <w:trPr>
          <w:trHeight w:val="255"/>
        </w:trPr>
        <w:tc>
          <w:tcPr>
            <w:tcW w:w="0" w:type="auto"/>
            <w:tcBorders>
              <w:top w:val="nil"/>
              <w:left w:val="nil"/>
              <w:bottom w:val="nil"/>
              <w:right w:val="nil"/>
            </w:tcBorders>
            <w:shd w:val="clear" w:color="auto" w:fill="auto"/>
            <w:noWrap/>
            <w:vAlign w:val="center"/>
            <w:hideMark/>
          </w:tcPr>
          <w:p w14:paraId="555A93FE" w14:textId="77777777" w:rsidR="003966FC" w:rsidRDefault="003966FC">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EC4E45" w14:textId="77777777" w:rsidR="003966FC" w:rsidRDefault="003966FC">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835C20" w14:textId="77777777" w:rsidR="003966FC" w:rsidRDefault="003966FC">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C71EDCC" w14:textId="77777777" w:rsidR="003966FC" w:rsidRDefault="003966FC">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9BC9175"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2253A5A"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93C6A7B" w14:textId="77777777" w:rsidR="003966FC" w:rsidRDefault="003966FC">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DCDDE15" w14:textId="77777777" w:rsidR="003966FC" w:rsidRDefault="003966FC">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DCD8698" w14:textId="77777777" w:rsidR="003966FC" w:rsidRDefault="003966FC">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0B1738C"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2AAA54A" w14:textId="77777777" w:rsidR="003966FC" w:rsidRDefault="003966F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966FC" w14:paraId="31E7C277"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7DE56B" w14:textId="77777777" w:rsidR="003966FC" w:rsidRDefault="003966FC">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BD7380D"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A8E2012"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97101BE"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F5CC07F"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451A640"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4B639E1F"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B5DFEE"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275C910B"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3515D6"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093671F"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r>
      <w:tr w:rsidR="003966FC" w14:paraId="6D4644CF"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31C1D89" w14:textId="77777777" w:rsidR="003966FC" w:rsidRDefault="003966FC">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8A5C8A2"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B0E9EFE" w14:textId="77777777" w:rsidR="003966FC" w:rsidRDefault="003966FC">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AF657F1"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989CA8"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4BEA648" w14:textId="77777777" w:rsidR="003966FC" w:rsidRDefault="003966FC">
            <w:pPr>
              <w:jc w:val="center"/>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50FDFC69"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AC9237C" w14:textId="77777777" w:rsidR="003966FC" w:rsidRDefault="003966FC">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1630FA2"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05B8D8B"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3520994" w14:textId="77777777" w:rsidR="003966FC" w:rsidRDefault="003966FC">
            <w:pPr>
              <w:jc w:val="center"/>
              <w:rPr>
                <w:rFonts w:ascii="Arial" w:hAnsi="Arial" w:cs="Arial"/>
                <w:color w:val="000000"/>
                <w:sz w:val="18"/>
                <w:szCs w:val="18"/>
              </w:rPr>
            </w:pPr>
            <w:r>
              <w:rPr>
                <w:rFonts w:ascii="Arial" w:hAnsi="Arial" w:cs="Arial"/>
                <w:color w:val="000000"/>
                <w:sz w:val="18"/>
                <w:szCs w:val="18"/>
              </w:rPr>
              <w:t> </w:t>
            </w:r>
          </w:p>
        </w:tc>
      </w:tr>
      <w:tr w:rsidR="003966FC" w14:paraId="456F8740"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BCAB56E" w14:textId="77777777" w:rsidR="003966FC" w:rsidRDefault="003966FC">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A9F1D17" w14:textId="77777777" w:rsidR="003966FC" w:rsidRDefault="003966FC">
            <w:pPr>
              <w:jc w:val="center"/>
              <w:rPr>
                <w:rFonts w:ascii="Arial" w:hAnsi="Arial" w:cs="Arial"/>
                <w:color w:val="000000"/>
                <w:sz w:val="18"/>
                <w:szCs w:val="18"/>
              </w:rPr>
            </w:pPr>
            <w:r>
              <w:rPr>
                <w:rFonts w:ascii="Arial" w:hAnsi="Arial" w:cs="Arial"/>
                <w:color w:val="000000"/>
                <w:sz w:val="18"/>
                <w:szCs w:val="18"/>
              </w:rPr>
              <w:t>-0.07 %</w:t>
            </w:r>
          </w:p>
        </w:tc>
        <w:tc>
          <w:tcPr>
            <w:tcW w:w="0" w:type="auto"/>
            <w:tcBorders>
              <w:top w:val="nil"/>
              <w:left w:val="nil"/>
              <w:bottom w:val="nil"/>
              <w:right w:val="nil"/>
            </w:tcBorders>
            <w:shd w:val="clear" w:color="auto" w:fill="auto"/>
            <w:noWrap/>
            <w:vAlign w:val="center"/>
            <w:hideMark/>
          </w:tcPr>
          <w:p w14:paraId="752BFD47" w14:textId="77777777" w:rsidR="003966FC" w:rsidRDefault="003966FC">
            <w:pPr>
              <w:jc w:val="center"/>
              <w:rPr>
                <w:rFonts w:ascii="Arial" w:hAnsi="Arial" w:cs="Arial"/>
                <w:color w:val="000000"/>
                <w:sz w:val="18"/>
                <w:szCs w:val="18"/>
              </w:rPr>
            </w:pPr>
            <w:r>
              <w:rPr>
                <w:rFonts w:ascii="Arial" w:hAnsi="Arial" w:cs="Arial"/>
                <w:color w:val="000000"/>
                <w:sz w:val="18"/>
                <w:szCs w:val="18"/>
              </w:rPr>
              <w:t>-0.01 %</w:t>
            </w:r>
          </w:p>
        </w:tc>
        <w:tc>
          <w:tcPr>
            <w:tcW w:w="0" w:type="auto"/>
            <w:tcBorders>
              <w:top w:val="nil"/>
              <w:left w:val="nil"/>
              <w:bottom w:val="nil"/>
              <w:right w:val="single" w:sz="4" w:space="0" w:color="auto"/>
            </w:tcBorders>
            <w:shd w:val="clear" w:color="auto" w:fill="auto"/>
            <w:noWrap/>
            <w:vAlign w:val="center"/>
            <w:hideMark/>
          </w:tcPr>
          <w:p w14:paraId="33A08BA6" w14:textId="77777777" w:rsidR="003966FC" w:rsidRDefault="003966FC">
            <w:pPr>
              <w:jc w:val="center"/>
              <w:rPr>
                <w:rFonts w:ascii="Arial" w:hAnsi="Arial" w:cs="Arial"/>
                <w:color w:val="000000"/>
                <w:sz w:val="18"/>
                <w:szCs w:val="18"/>
              </w:rPr>
            </w:pPr>
            <w:r>
              <w:rPr>
                <w:rFonts w:ascii="Arial" w:hAnsi="Arial" w:cs="Arial"/>
                <w:color w:val="000000"/>
                <w:sz w:val="18"/>
                <w:szCs w:val="18"/>
              </w:rPr>
              <w:t>0.39 %</w:t>
            </w:r>
          </w:p>
        </w:tc>
        <w:tc>
          <w:tcPr>
            <w:tcW w:w="0" w:type="auto"/>
            <w:tcBorders>
              <w:top w:val="nil"/>
              <w:left w:val="nil"/>
              <w:bottom w:val="nil"/>
              <w:right w:val="nil"/>
            </w:tcBorders>
            <w:shd w:val="clear" w:color="auto" w:fill="auto"/>
            <w:noWrap/>
            <w:vAlign w:val="center"/>
            <w:hideMark/>
          </w:tcPr>
          <w:p w14:paraId="311A26B6"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nil"/>
              <w:bottom w:val="nil"/>
              <w:right w:val="nil"/>
            </w:tcBorders>
            <w:shd w:val="clear" w:color="auto" w:fill="auto"/>
            <w:noWrap/>
            <w:vAlign w:val="center"/>
            <w:hideMark/>
          </w:tcPr>
          <w:p w14:paraId="534BF1ED"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single" w:sz="8" w:space="0" w:color="auto"/>
              <w:bottom w:val="nil"/>
              <w:right w:val="nil"/>
            </w:tcBorders>
            <w:shd w:val="clear" w:color="auto" w:fill="auto"/>
            <w:noWrap/>
            <w:vAlign w:val="center"/>
            <w:hideMark/>
          </w:tcPr>
          <w:p w14:paraId="238CFAD3" w14:textId="77777777" w:rsidR="003966FC" w:rsidRDefault="003966FC">
            <w:pPr>
              <w:jc w:val="center"/>
              <w:rPr>
                <w:rFonts w:ascii="Arial" w:hAnsi="Arial" w:cs="Arial"/>
                <w:color w:val="000000"/>
                <w:sz w:val="18"/>
                <w:szCs w:val="18"/>
              </w:rPr>
            </w:pPr>
            <w:r>
              <w:rPr>
                <w:rFonts w:ascii="Arial" w:hAnsi="Arial" w:cs="Arial"/>
                <w:color w:val="000000"/>
                <w:sz w:val="18"/>
                <w:szCs w:val="18"/>
              </w:rPr>
              <w:t>-0.09 %</w:t>
            </w:r>
          </w:p>
        </w:tc>
        <w:tc>
          <w:tcPr>
            <w:tcW w:w="0" w:type="auto"/>
            <w:tcBorders>
              <w:top w:val="nil"/>
              <w:left w:val="nil"/>
              <w:bottom w:val="nil"/>
              <w:right w:val="nil"/>
            </w:tcBorders>
            <w:shd w:val="clear" w:color="auto" w:fill="auto"/>
            <w:noWrap/>
            <w:vAlign w:val="center"/>
            <w:hideMark/>
          </w:tcPr>
          <w:p w14:paraId="727F2F71" w14:textId="77777777" w:rsidR="003966FC" w:rsidRDefault="003966FC">
            <w:pPr>
              <w:jc w:val="center"/>
              <w:rPr>
                <w:rFonts w:ascii="Arial" w:hAnsi="Arial" w:cs="Arial"/>
                <w:color w:val="000000"/>
                <w:sz w:val="18"/>
                <w:szCs w:val="18"/>
              </w:rPr>
            </w:pPr>
            <w:r>
              <w:rPr>
                <w:rFonts w:ascii="Arial" w:hAnsi="Arial" w:cs="Arial"/>
                <w:color w:val="000000"/>
                <w:sz w:val="18"/>
                <w:szCs w:val="18"/>
              </w:rPr>
              <w:t>-0.52 %</w:t>
            </w:r>
          </w:p>
        </w:tc>
        <w:tc>
          <w:tcPr>
            <w:tcW w:w="0" w:type="auto"/>
            <w:tcBorders>
              <w:top w:val="nil"/>
              <w:left w:val="nil"/>
              <w:bottom w:val="nil"/>
              <w:right w:val="single" w:sz="4" w:space="0" w:color="auto"/>
            </w:tcBorders>
            <w:shd w:val="clear" w:color="auto" w:fill="auto"/>
            <w:noWrap/>
            <w:vAlign w:val="center"/>
            <w:hideMark/>
          </w:tcPr>
          <w:p w14:paraId="144BE423" w14:textId="77777777" w:rsidR="003966FC" w:rsidRDefault="003966FC">
            <w:pPr>
              <w:jc w:val="center"/>
              <w:rPr>
                <w:rFonts w:ascii="Arial" w:hAnsi="Arial" w:cs="Arial"/>
                <w:color w:val="000000"/>
                <w:sz w:val="18"/>
                <w:szCs w:val="18"/>
              </w:rPr>
            </w:pPr>
            <w:r>
              <w:rPr>
                <w:rFonts w:ascii="Arial" w:hAnsi="Arial" w:cs="Arial"/>
                <w:color w:val="000000"/>
                <w:sz w:val="18"/>
                <w:szCs w:val="18"/>
              </w:rPr>
              <w:t>0.11 %</w:t>
            </w:r>
          </w:p>
        </w:tc>
        <w:tc>
          <w:tcPr>
            <w:tcW w:w="0" w:type="auto"/>
            <w:tcBorders>
              <w:top w:val="nil"/>
              <w:left w:val="nil"/>
              <w:bottom w:val="nil"/>
              <w:right w:val="nil"/>
            </w:tcBorders>
            <w:shd w:val="clear" w:color="auto" w:fill="auto"/>
            <w:noWrap/>
            <w:vAlign w:val="center"/>
            <w:hideMark/>
          </w:tcPr>
          <w:p w14:paraId="3E7BBD59"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nil"/>
              <w:left w:val="nil"/>
              <w:bottom w:val="nil"/>
              <w:right w:val="single" w:sz="8" w:space="0" w:color="auto"/>
            </w:tcBorders>
            <w:shd w:val="clear" w:color="auto" w:fill="auto"/>
            <w:noWrap/>
            <w:vAlign w:val="center"/>
            <w:hideMark/>
          </w:tcPr>
          <w:p w14:paraId="2C1BE6BC"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r>
      <w:tr w:rsidR="003966FC" w14:paraId="1B09D038"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2A46AA1" w14:textId="77777777" w:rsidR="003966FC" w:rsidRDefault="003966FC">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89B8E29" w14:textId="77777777" w:rsidR="003966FC" w:rsidRDefault="003966FC">
            <w:pPr>
              <w:jc w:val="center"/>
              <w:rPr>
                <w:rFonts w:ascii="Arial" w:hAnsi="Arial" w:cs="Arial"/>
                <w:color w:val="000000"/>
                <w:sz w:val="18"/>
                <w:szCs w:val="18"/>
              </w:rPr>
            </w:pPr>
            <w:r>
              <w:rPr>
                <w:rFonts w:ascii="Arial" w:hAnsi="Arial" w:cs="Arial"/>
                <w:color w:val="000000"/>
                <w:sz w:val="18"/>
                <w:szCs w:val="18"/>
              </w:rPr>
              <w:t>-0.09 %</w:t>
            </w:r>
          </w:p>
        </w:tc>
        <w:tc>
          <w:tcPr>
            <w:tcW w:w="0" w:type="auto"/>
            <w:tcBorders>
              <w:top w:val="nil"/>
              <w:left w:val="nil"/>
              <w:bottom w:val="nil"/>
              <w:right w:val="nil"/>
            </w:tcBorders>
            <w:shd w:val="clear" w:color="auto" w:fill="auto"/>
            <w:noWrap/>
            <w:vAlign w:val="center"/>
            <w:hideMark/>
          </w:tcPr>
          <w:p w14:paraId="62A99568" w14:textId="77777777" w:rsidR="003966FC" w:rsidRDefault="003966FC">
            <w:pPr>
              <w:jc w:val="center"/>
              <w:rPr>
                <w:rFonts w:ascii="Arial" w:hAnsi="Arial" w:cs="Arial"/>
                <w:color w:val="000000"/>
                <w:sz w:val="18"/>
                <w:szCs w:val="18"/>
              </w:rPr>
            </w:pPr>
            <w:r>
              <w:rPr>
                <w:rFonts w:ascii="Arial" w:hAnsi="Arial" w:cs="Arial"/>
                <w:color w:val="000000"/>
                <w:sz w:val="18"/>
                <w:szCs w:val="18"/>
              </w:rPr>
              <w:t>-0.14 %</w:t>
            </w:r>
          </w:p>
        </w:tc>
        <w:tc>
          <w:tcPr>
            <w:tcW w:w="0" w:type="auto"/>
            <w:tcBorders>
              <w:top w:val="nil"/>
              <w:left w:val="nil"/>
              <w:bottom w:val="nil"/>
              <w:right w:val="single" w:sz="4" w:space="0" w:color="auto"/>
            </w:tcBorders>
            <w:shd w:val="clear" w:color="auto" w:fill="auto"/>
            <w:noWrap/>
            <w:vAlign w:val="center"/>
            <w:hideMark/>
          </w:tcPr>
          <w:p w14:paraId="1ED5A0CF" w14:textId="77777777" w:rsidR="003966FC" w:rsidRDefault="003966FC">
            <w:pPr>
              <w:jc w:val="center"/>
              <w:rPr>
                <w:rFonts w:ascii="Arial" w:hAnsi="Arial" w:cs="Arial"/>
                <w:color w:val="000000"/>
                <w:sz w:val="18"/>
                <w:szCs w:val="18"/>
              </w:rPr>
            </w:pPr>
            <w:r>
              <w:rPr>
                <w:rFonts w:ascii="Arial" w:hAnsi="Arial" w:cs="Arial"/>
                <w:color w:val="000000"/>
                <w:sz w:val="18"/>
                <w:szCs w:val="18"/>
              </w:rPr>
              <w:t>0.00 %</w:t>
            </w:r>
          </w:p>
        </w:tc>
        <w:tc>
          <w:tcPr>
            <w:tcW w:w="0" w:type="auto"/>
            <w:tcBorders>
              <w:top w:val="nil"/>
              <w:left w:val="nil"/>
              <w:bottom w:val="nil"/>
              <w:right w:val="nil"/>
            </w:tcBorders>
            <w:shd w:val="clear" w:color="auto" w:fill="auto"/>
            <w:noWrap/>
            <w:vAlign w:val="center"/>
            <w:hideMark/>
          </w:tcPr>
          <w:p w14:paraId="0486D981"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nil"/>
              <w:right w:val="nil"/>
            </w:tcBorders>
            <w:shd w:val="clear" w:color="auto" w:fill="auto"/>
            <w:noWrap/>
            <w:vAlign w:val="center"/>
            <w:hideMark/>
          </w:tcPr>
          <w:p w14:paraId="4452D519"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single" w:sz="8" w:space="0" w:color="auto"/>
              <w:bottom w:val="nil"/>
              <w:right w:val="nil"/>
            </w:tcBorders>
            <w:shd w:val="clear" w:color="auto" w:fill="auto"/>
            <w:noWrap/>
            <w:vAlign w:val="center"/>
            <w:hideMark/>
          </w:tcPr>
          <w:p w14:paraId="38C5F281" w14:textId="77777777" w:rsidR="003966FC" w:rsidRDefault="003966FC">
            <w:pPr>
              <w:jc w:val="center"/>
              <w:rPr>
                <w:rFonts w:ascii="Arial" w:hAnsi="Arial" w:cs="Arial"/>
                <w:color w:val="000000"/>
                <w:sz w:val="18"/>
                <w:szCs w:val="18"/>
              </w:rPr>
            </w:pPr>
            <w:r>
              <w:rPr>
                <w:rFonts w:ascii="Arial" w:hAnsi="Arial" w:cs="Arial"/>
                <w:color w:val="000000"/>
                <w:sz w:val="18"/>
                <w:szCs w:val="18"/>
              </w:rPr>
              <w:t>-0.07 %</w:t>
            </w:r>
          </w:p>
        </w:tc>
        <w:tc>
          <w:tcPr>
            <w:tcW w:w="0" w:type="auto"/>
            <w:tcBorders>
              <w:top w:val="nil"/>
              <w:left w:val="nil"/>
              <w:bottom w:val="nil"/>
              <w:right w:val="nil"/>
            </w:tcBorders>
            <w:shd w:val="clear" w:color="auto" w:fill="auto"/>
            <w:noWrap/>
            <w:vAlign w:val="center"/>
            <w:hideMark/>
          </w:tcPr>
          <w:p w14:paraId="1CF51136" w14:textId="77777777" w:rsidR="003966FC" w:rsidRDefault="003966FC">
            <w:pPr>
              <w:jc w:val="center"/>
              <w:rPr>
                <w:rFonts w:ascii="Arial" w:hAnsi="Arial" w:cs="Arial"/>
                <w:color w:val="000000"/>
                <w:sz w:val="18"/>
                <w:szCs w:val="18"/>
              </w:rPr>
            </w:pPr>
            <w:r>
              <w:rPr>
                <w:rFonts w:ascii="Arial" w:hAnsi="Arial" w:cs="Arial"/>
                <w:color w:val="000000"/>
                <w:sz w:val="18"/>
                <w:szCs w:val="18"/>
              </w:rPr>
              <w:t>-0.03 %</w:t>
            </w:r>
          </w:p>
        </w:tc>
        <w:tc>
          <w:tcPr>
            <w:tcW w:w="0" w:type="auto"/>
            <w:tcBorders>
              <w:top w:val="nil"/>
              <w:left w:val="nil"/>
              <w:bottom w:val="nil"/>
              <w:right w:val="single" w:sz="4" w:space="0" w:color="auto"/>
            </w:tcBorders>
            <w:shd w:val="clear" w:color="auto" w:fill="auto"/>
            <w:noWrap/>
            <w:vAlign w:val="center"/>
            <w:hideMark/>
          </w:tcPr>
          <w:p w14:paraId="00A21000" w14:textId="77777777" w:rsidR="003966FC" w:rsidRDefault="003966FC">
            <w:pPr>
              <w:jc w:val="center"/>
              <w:rPr>
                <w:rFonts w:ascii="Arial" w:hAnsi="Arial" w:cs="Arial"/>
                <w:color w:val="000000"/>
                <w:sz w:val="18"/>
                <w:szCs w:val="18"/>
              </w:rPr>
            </w:pPr>
            <w:r>
              <w:rPr>
                <w:rFonts w:ascii="Arial" w:hAnsi="Arial" w:cs="Arial"/>
                <w:color w:val="000000"/>
                <w:sz w:val="18"/>
                <w:szCs w:val="18"/>
              </w:rPr>
              <w:t>-0.48 %</w:t>
            </w:r>
          </w:p>
        </w:tc>
        <w:tc>
          <w:tcPr>
            <w:tcW w:w="0" w:type="auto"/>
            <w:tcBorders>
              <w:top w:val="nil"/>
              <w:left w:val="nil"/>
              <w:bottom w:val="nil"/>
              <w:right w:val="nil"/>
            </w:tcBorders>
            <w:shd w:val="clear" w:color="auto" w:fill="auto"/>
            <w:noWrap/>
            <w:vAlign w:val="center"/>
            <w:hideMark/>
          </w:tcPr>
          <w:p w14:paraId="644C7922"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nil"/>
              <w:right w:val="single" w:sz="8" w:space="0" w:color="auto"/>
            </w:tcBorders>
            <w:shd w:val="clear" w:color="auto" w:fill="auto"/>
            <w:noWrap/>
            <w:vAlign w:val="center"/>
            <w:hideMark/>
          </w:tcPr>
          <w:p w14:paraId="64D002D7"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r>
      <w:tr w:rsidR="003966FC" w14:paraId="4EB94110" w14:textId="77777777" w:rsidTr="003966F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285AD36" w14:textId="77777777" w:rsidR="003966FC" w:rsidRDefault="003966FC">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D52EBA6" w14:textId="77777777" w:rsidR="003966FC" w:rsidRDefault="003966FC">
            <w:pPr>
              <w:jc w:val="center"/>
              <w:rPr>
                <w:rFonts w:ascii="Arial" w:hAnsi="Arial" w:cs="Arial"/>
                <w:color w:val="000000"/>
                <w:sz w:val="18"/>
                <w:szCs w:val="18"/>
              </w:rPr>
            </w:pPr>
            <w:r>
              <w:rPr>
                <w:rFonts w:ascii="Arial" w:hAnsi="Arial" w:cs="Arial"/>
                <w:color w:val="000000"/>
                <w:sz w:val="18"/>
                <w:szCs w:val="18"/>
              </w:rPr>
              <w:t>-0.03 %</w:t>
            </w:r>
          </w:p>
        </w:tc>
        <w:tc>
          <w:tcPr>
            <w:tcW w:w="0" w:type="auto"/>
            <w:tcBorders>
              <w:top w:val="nil"/>
              <w:left w:val="nil"/>
              <w:bottom w:val="nil"/>
              <w:right w:val="nil"/>
            </w:tcBorders>
            <w:shd w:val="clear" w:color="auto" w:fill="auto"/>
            <w:noWrap/>
            <w:vAlign w:val="center"/>
            <w:hideMark/>
          </w:tcPr>
          <w:p w14:paraId="312722E3" w14:textId="77777777" w:rsidR="003966FC" w:rsidRDefault="003966FC">
            <w:pPr>
              <w:jc w:val="center"/>
              <w:rPr>
                <w:rFonts w:ascii="Arial" w:hAnsi="Arial" w:cs="Arial"/>
                <w:color w:val="000000"/>
                <w:sz w:val="18"/>
                <w:szCs w:val="18"/>
              </w:rPr>
            </w:pPr>
            <w:r>
              <w:rPr>
                <w:rFonts w:ascii="Arial" w:hAnsi="Arial" w:cs="Arial"/>
                <w:color w:val="000000"/>
                <w:sz w:val="18"/>
                <w:szCs w:val="18"/>
              </w:rPr>
              <w:t>-0.63 %</w:t>
            </w:r>
          </w:p>
        </w:tc>
        <w:tc>
          <w:tcPr>
            <w:tcW w:w="0" w:type="auto"/>
            <w:tcBorders>
              <w:top w:val="nil"/>
              <w:left w:val="nil"/>
              <w:bottom w:val="nil"/>
              <w:right w:val="single" w:sz="4" w:space="0" w:color="auto"/>
            </w:tcBorders>
            <w:shd w:val="clear" w:color="auto" w:fill="auto"/>
            <w:noWrap/>
            <w:vAlign w:val="center"/>
            <w:hideMark/>
          </w:tcPr>
          <w:p w14:paraId="4572214D" w14:textId="77777777" w:rsidR="003966FC" w:rsidRDefault="003966FC">
            <w:pPr>
              <w:jc w:val="center"/>
              <w:rPr>
                <w:rFonts w:ascii="Arial" w:hAnsi="Arial" w:cs="Arial"/>
                <w:color w:val="000000"/>
                <w:sz w:val="18"/>
                <w:szCs w:val="18"/>
              </w:rPr>
            </w:pPr>
            <w:r>
              <w:rPr>
                <w:rFonts w:ascii="Arial" w:hAnsi="Arial" w:cs="Arial"/>
                <w:color w:val="000000"/>
                <w:sz w:val="18"/>
                <w:szCs w:val="18"/>
              </w:rPr>
              <w:t>-0.11 %</w:t>
            </w:r>
          </w:p>
        </w:tc>
        <w:tc>
          <w:tcPr>
            <w:tcW w:w="0" w:type="auto"/>
            <w:tcBorders>
              <w:top w:val="nil"/>
              <w:left w:val="nil"/>
              <w:bottom w:val="nil"/>
              <w:right w:val="nil"/>
            </w:tcBorders>
            <w:shd w:val="clear" w:color="auto" w:fill="auto"/>
            <w:noWrap/>
            <w:vAlign w:val="center"/>
            <w:hideMark/>
          </w:tcPr>
          <w:p w14:paraId="467461B6"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nil"/>
              <w:left w:val="nil"/>
              <w:bottom w:val="nil"/>
              <w:right w:val="nil"/>
            </w:tcBorders>
            <w:shd w:val="clear" w:color="auto" w:fill="auto"/>
            <w:noWrap/>
            <w:vAlign w:val="center"/>
            <w:hideMark/>
          </w:tcPr>
          <w:p w14:paraId="79D55BAE" w14:textId="77777777" w:rsidR="003966FC" w:rsidRDefault="003966FC">
            <w:pPr>
              <w:jc w:val="center"/>
              <w:rPr>
                <w:rFonts w:ascii="Arial" w:hAnsi="Arial" w:cs="Arial"/>
                <w:color w:val="000000"/>
                <w:sz w:val="18"/>
                <w:szCs w:val="18"/>
              </w:rPr>
            </w:pPr>
            <w:r>
              <w:rPr>
                <w:rFonts w:ascii="Arial" w:hAnsi="Arial" w:cs="Arial"/>
                <w:color w:val="000000"/>
                <w:sz w:val="18"/>
                <w:szCs w:val="18"/>
              </w:rPr>
              <w:t>99 %</w:t>
            </w:r>
          </w:p>
        </w:tc>
        <w:tc>
          <w:tcPr>
            <w:tcW w:w="0" w:type="auto"/>
            <w:tcBorders>
              <w:top w:val="nil"/>
              <w:left w:val="single" w:sz="8" w:space="0" w:color="auto"/>
              <w:bottom w:val="nil"/>
              <w:right w:val="nil"/>
            </w:tcBorders>
            <w:shd w:val="clear" w:color="auto" w:fill="auto"/>
            <w:noWrap/>
            <w:vAlign w:val="center"/>
            <w:hideMark/>
          </w:tcPr>
          <w:p w14:paraId="092B16E1" w14:textId="77777777" w:rsidR="003966FC" w:rsidRDefault="003966FC">
            <w:pPr>
              <w:jc w:val="center"/>
              <w:rPr>
                <w:rFonts w:ascii="Arial" w:hAnsi="Arial" w:cs="Arial"/>
                <w:color w:val="000000"/>
                <w:sz w:val="18"/>
                <w:szCs w:val="18"/>
              </w:rPr>
            </w:pPr>
            <w:r>
              <w:rPr>
                <w:rFonts w:ascii="Arial" w:hAnsi="Arial" w:cs="Arial"/>
                <w:color w:val="000000"/>
                <w:sz w:val="18"/>
                <w:szCs w:val="18"/>
              </w:rPr>
              <w:t>-0.26 %</w:t>
            </w:r>
          </w:p>
        </w:tc>
        <w:tc>
          <w:tcPr>
            <w:tcW w:w="0" w:type="auto"/>
            <w:tcBorders>
              <w:top w:val="nil"/>
              <w:left w:val="nil"/>
              <w:bottom w:val="nil"/>
              <w:right w:val="nil"/>
            </w:tcBorders>
            <w:shd w:val="clear" w:color="auto" w:fill="auto"/>
            <w:noWrap/>
            <w:vAlign w:val="center"/>
            <w:hideMark/>
          </w:tcPr>
          <w:p w14:paraId="5519622B" w14:textId="77777777" w:rsidR="003966FC" w:rsidRDefault="003966FC">
            <w:pPr>
              <w:jc w:val="center"/>
              <w:rPr>
                <w:rFonts w:ascii="Arial" w:hAnsi="Arial" w:cs="Arial"/>
                <w:color w:val="000000"/>
                <w:sz w:val="18"/>
                <w:szCs w:val="18"/>
              </w:rPr>
            </w:pPr>
            <w:r>
              <w:rPr>
                <w:rFonts w:ascii="Arial" w:hAnsi="Arial" w:cs="Arial"/>
                <w:color w:val="000000"/>
                <w:sz w:val="18"/>
                <w:szCs w:val="18"/>
              </w:rPr>
              <w:t>-0.96 %</w:t>
            </w:r>
          </w:p>
        </w:tc>
        <w:tc>
          <w:tcPr>
            <w:tcW w:w="0" w:type="auto"/>
            <w:tcBorders>
              <w:top w:val="nil"/>
              <w:left w:val="nil"/>
              <w:bottom w:val="nil"/>
              <w:right w:val="single" w:sz="4" w:space="0" w:color="auto"/>
            </w:tcBorders>
            <w:shd w:val="clear" w:color="auto" w:fill="auto"/>
            <w:noWrap/>
            <w:vAlign w:val="center"/>
            <w:hideMark/>
          </w:tcPr>
          <w:p w14:paraId="49D800CF" w14:textId="77777777" w:rsidR="003966FC" w:rsidRDefault="003966FC">
            <w:pPr>
              <w:jc w:val="center"/>
              <w:rPr>
                <w:rFonts w:ascii="Arial" w:hAnsi="Arial" w:cs="Arial"/>
                <w:color w:val="000000"/>
                <w:sz w:val="18"/>
                <w:szCs w:val="18"/>
              </w:rPr>
            </w:pPr>
            <w:r>
              <w:rPr>
                <w:rFonts w:ascii="Arial" w:hAnsi="Arial" w:cs="Arial"/>
                <w:color w:val="000000"/>
                <w:sz w:val="18"/>
                <w:szCs w:val="18"/>
              </w:rPr>
              <w:t>-0.66 %</w:t>
            </w:r>
          </w:p>
        </w:tc>
        <w:tc>
          <w:tcPr>
            <w:tcW w:w="0" w:type="auto"/>
            <w:tcBorders>
              <w:top w:val="nil"/>
              <w:left w:val="nil"/>
              <w:bottom w:val="nil"/>
              <w:right w:val="nil"/>
            </w:tcBorders>
            <w:shd w:val="clear" w:color="auto" w:fill="auto"/>
            <w:noWrap/>
            <w:vAlign w:val="center"/>
            <w:hideMark/>
          </w:tcPr>
          <w:p w14:paraId="7EA3E255" w14:textId="77777777" w:rsidR="003966FC" w:rsidRDefault="003966FC">
            <w:pPr>
              <w:jc w:val="center"/>
              <w:rPr>
                <w:rFonts w:ascii="Arial" w:hAnsi="Arial" w:cs="Arial"/>
                <w:color w:val="000000"/>
                <w:sz w:val="18"/>
                <w:szCs w:val="18"/>
              </w:rPr>
            </w:pPr>
            <w:r>
              <w:rPr>
                <w:rFonts w:ascii="Arial" w:hAnsi="Arial" w:cs="Arial"/>
                <w:color w:val="000000"/>
                <w:sz w:val="18"/>
                <w:szCs w:val="18"/>
              </w:rPr>
              <w:t>103 %</w:t>
            </w:r>
          </w:p>
        </w:tc>
        <w:tc>
          <w:tcPr>
            <w:tcW w:w="0" w:type="auto"/>
            <w:tcBorders>
              <w:top w:val="nil"/>
              <w:left w:val="nil"/>
              <w:bottom w:val="nil"/>
              <w:right w:val="single" w:sz="8" w:space="0" w:color="auto"/>
            </w:tcBorders>
            <w:shd w:val="clear" w:color="auto" w:fill="auto"/>
            <w:noWrap/>
            <w:vAlign w:val="center"/>
            <w:hideMark/>
          </w:tcPr>
          <w:p w14:paraId="702ECE9D"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r>
      <w:tr w:rsidR="003966FC" w14:paraId="7A5B3E40" w14:textId="77777777" w:rsidTr="003966F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01EF89" w14:textId="77777777" w:rsidR="003966FC" w:rsidRDefault="003966FC">
            <w:pPr>
              <w:jc w:val="center"/>
              <w:rPr>
                <w:rFonts w:ascii="Arial" w:hAnsi="Arial" w:cs="Arial"/>
                <w:b/>
                <w:bCs/>
                <w:color w:val="000000"/>
                <w:sz w:val="18"/>
                <w:szCs w:val="18"/>
              </w:rPr>
            </w:pPr>
            <w:proofErr w:type="spellStart"/>
            <w:r>
              <w:rPr>
                <w:rFonts w:ascii="Arial" w:hAnsi="Arial" w:cs="Arial"/>
                <w:b/>
                <w:bCs/>
                <w:color w:val="000000"/>
                <w:sz w:val="18"/>
                <w:szCs w:val="18"/>
              </w:rPr>
              <w:t>Overall</w:t>
            </w:r>
            <w:proofErr w:type="spellEnd"/>
          </w:p>
        </w:tc>
        <w:tc>
          <w:tcPr>
            <w:tcW w:w="0" w:type="auto"/>
            <w:tcBorders>
              <w:top w:val="single" w:sz="8" w:space="0" w:color="auto"/>
              <w:left w:val="nil"/>
              <w:bottom w:val="nil"/>
              <w:right w:val="nil"/>
            </w:tcBorders>
            <w:shd w:val="clear" w:color="auto" w:fill="auto"/>
            <w:noWrap/>
            <w:vAlign w:val="center"/>
            <w:hideMark/>
          </w:tcPr>
          <w:p w14:paraId="494F23C0" w14:textId="77777777" w:rsidR="003966FC" w:rsidRDefault="003966FC">
            <w:pPr>
              <w:jc w:val="center"/>
              <w:rPr>
                <w:rFonts w:ascii="Arial" w:hAnsi="Arial" w:cs="Arial"/>
                <w:color w:val="000000"/>
                <w:sz w:val="18"/>
                <w:szCs w:val="18"/>
              </w:rPr>
            </w:pPr>
            <w:r>
              <w:rPr>
                <w:rFonts w:ascii="Arial" w:hAnsi="Arial" w:cs="Arial"/>
                <w:color w:val="000000"/>
                <w:sz w:val="18"/>
                <w:szCs w:val="18"/>
              </w:rPr>
              <w:t>-0.07 %</w:t>
            </w:r>
          </w:p>
        </w:tc>
        <w:tc>
          <w:tcPr>
            <w:tcW w:w="0" w:type="auto"/>
            <w:tcBorders>
              <w:top w:val="single" w:sz="8" w:space="0" w:color="auto"/>
              <w:left w:val="nil"/>
              <w:bottom w:val="nil"/>
              <w:right w:val="nil"/>
            </w:tcBorders>
            <w:shd w:val="clear" w:color="auto" w:fill="auto"/>
            <w:noWrap/>
            <w:vAlign w:val="center"/>
            <w:hideMark/>
          </w:tcPr>
          <w:p w14:paraId="7C1B5370" w14:textId="77777777" w:rsidR="003966FC" w:rsidRDefault="003966FC">
            <w:pPr>
              <w:jc w:val="center"/>
              <w:rPr>
                <w:rFonts w:ascii="Arial" w:hAnsi="Arial" w:cs="Arial"/>
                <w:color w:val="000000"/>
                <w:sz w:val="18"/>
                <w:szCs w:val="18"/>
              </w:rPr>
            </w:pPr>
            <w:r>
              <w:rPr>
                <w:rFonts w:ascii="Arial" w:hAnsi="Arial" w:cs="Arial"/>
                <w:color w:val="000000"/>
                <w:sz w:val="18"/>
                <w:szCs w:val="18"/>
              </w:rPr>
              <w:t>-0.21 %</w:t>
            </w:r>
          </w:p>
        </w:tc>
        <w:tc>
          <w:tcPr>
            <w:tcW w:w="0" w:type="auto"/>
            <w:tcBorders>
              <w:top w:val="single" w:sz="8" w:space="0" w:color="auto"/>
              <w:left w:val="nil"/>
              <w:bottom w:val="nil"/>
              <w:right w:val="single" w:sz="4" w:space="0" w:color="auto"/>
            </w:tcBorders>
            <w:shd w:val="clear" w:color="auto" w:fill="auto"/>
            <w:noWrap/>
            <w:vAlign w:val="center"/>
            <w:hideMark/>
          </w:tcPr>
          <w:p w14:paraId="3F5CF5F6" w14:textId="77777777" w:rsidR="003966FC" w:rsidRDefault="003966FC">
            <w:pPr>
              <w:jc w:val="center"/>
              <w:rPr>
                <w:rFonts w:ascii="Arial" w:hAnsi="Arial" w:cs="Arial"/>
                <w:color w:val="000000"/>
                <w:sz w:val="18"/>
                <w:szCs w:val="18"/>
              </w:rPr>
            </w:pPr>
            <w:r>
              <w:rPr>
                <w:rFonts w:ascii="Arial" w:hAnsi="Arial" w:cs="Arial"/>
                <w:color w:val="000000"/>
                <w:sz w:val="18"/>
                <w:szCs w:val="18"/>
              </w:rPr>
              <w:t>0.13 %</w:t>
            </w:r>
          </w:p>
        </w:tc>
        <w:tc>
          <w:tcPr>
            <w:tcW w:w="0" w:type="auto"/>
            <w:tcBorders>
              <w:top w:val="single" w:sz="8" w:space="0" w:color="auto"/>
              <w:left w:val="nil"/>
              <w:bottom w:val="nil"/>
              <w:right w:val="nil"/>
            </w:tcBorders>
            <w:shd w:val="clear" w:color="auto" w:fill="auto"/>
            <w:noWrap/>
            <w:vAlign w:val="center"/>
            <w:hideMark/>
          </w:tcPr>
          <w:p w14:paraId="6C54A506"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c>
          <w:tcPr>
            <w:tcW w:w="0" w:type="auto"/>
            <w:tcBorders>
              <w:top w:val="single" w:sz="8" w:space="0" w:color="auto"/>
              <w:left w:val="nil"/>
              <w:bottom w:val="nil"/>
              <w:right w:val="nil"/>
            </w:tcBorders>
            <w:shd w:val="clear" w:color="auto" w:fill="auto"/>
            <w:noWrap/>
            <w:vAlign w:val="center"/>
            <w:hideMark/>
          </w:tcPr>
          <w:p w14:paraId="064BBC09" w14:textId="77777777" w:rsidR="003966FC" w:rsidRDefault="003966FC">
            <w:pPr>
              <w:jc w:val="center"/>
              <w:rPr>
                <w:rFonts w:ascii="Arial" w:hAnsi="Arial" w:cs="Arial"/>
                <w:color w:val="000000"/>
                <w:sz w:val="18"/>
                <w:szCs w:val="18"/>
              </w:rPr>
            </w:pPr>
            <w:r>
              <w:rPr>
                <w:rFonts w:ascii="Arial" w:hAnsi="Arial" w:cs="Arial"/>
                <w:color w:val="000000"/>
                <w:sz w:val="18"/>
                <w:szCs w:val="18"/>
              </w:rPr>
              <w:t>100 %</w:t>
            </w:r>
          </w:p>
        </w:tc>
        <w:tc>
          <w:tcPr>
            <w:tcW w:w="0" w:type="auto"/>
            <w:tcBorders>
              <w:top w:val="single" w:sz="8" w:space="0" w:color="auto"/>
              <w:left w:val="single" w:sz="8" w:space="0" w:color="auto"/>
              <w:bottom w:val="nil"/>
              <w:right w:val="nil"/>
            </w:tcBorders>
            <w:shd w:val="clear" w:color="auto" w:fill="auto"/>
            <w:noWrap/>
            <w:vAlign w:val="center"/>
            <w:hideMark/>
          </w:tcPr>
          <w:p w14:paraId="22796BA1" w14:textId="77777777" w:rsidR="003966FC" w:rsidRDefault="003966FC">
            <w:pPr>
              <w:jc w:val="center"/>
              <w:rPr>
                <w:rFonts w:ascii="Arial" w:hAnsi="Arial" w:cs="Arial"/>
                <w:color w:val="000000"/>
                <w:sz w:val="18"/>
                <w:szCs w:val="18"/>
              </w:rPr>
            </w:pPr>
            <w:r>
              <w:rPr>
                <w:rFonts w:ascii="Arial" w:hAnsi="Arial" w:cs="Arial"/>
                <w:color w:val="000000"/>
                <w:sz w:val="18"/>
                <w:szCs w:val="18"/>
              </w:rPr>
              <w:t>-0.12 %</w:t>
            </w:r>
          </w:p>
        </w:tc>
        <w:tc>
          <w:tcPr>
            <w:tcW w:w="0" w:type="auto"/>
            <w:tcBorders>
              <w:top w:val="single" w:sz="8" w:space="0" w:color="auto"/>
              <w:left w:val="nil"/>
              <w:bottom w:val="nil"/>
              <w:right w:val="nil"/>
            </w:tcBorders>
            <w:shd w:val="clear" w:color="auto" w:fill="auto"/>
            <w:noWrap/>
            <w:vAlign w:val="center"/>
            <w:hideMark/>
          </w:tcPr>
          <w:p w14:paraId="2722C878" w14:textId="77777777" w:rsidR="003966FC" w:rsidRDefault="003966FC">
            <w:pPr>
              <w:jc w:val="center"/>
              <w:rPr>
                <w:rFonts w:ascii="Arial" w:hAnsi="Arial" w:cs="Arial"/>
                <w:color w:val="000000"/>
                <w:sz w:val="18"/>
                <w:szCs w:val="18"/>
              </w:rPr>
            </w:pPr>
            <w:r>
              <w:rPr>
                <w:rFonts w:ascii="Arial" w:hAnsi="Arial" w:cs="Arial"/>
                <w:color w:val="000000"/>
                <w:sz w:val="18"/>
                <w:szCs w:val="18"/>
              </w:rPr>
              <w:t>-0.47 %</w:t>
            </w:r>
          </w:p>
        </w:tc>
        <w:tc>
          <w:tcPr>
            <w:tcW w:w="0" w:type="auto"/>
            <w:tcBorders>
              <w:top w:val="single" w:sz="8" w:space="0" w:color="auto"/>
              <w:left w:val="nil"/>
              <w:bottom w:val="nil"/>
              <w:right w:val="single" w:sz="4" w:space="0" w:color="auto"/>
            </w:tcBorders>
            <w:shd w:val="clear" w:color="auto" w:fill="auto"/>
            <w:noWrap/>
            <w:vAlign w:val="center"/>
            <w:hideMark/>
          </w:tcPr>
          <w:p w14:paraId="7C717A48" w14:textId="77777777" w:rsidR="003966FC" w:rsidRDefault="003966FC">
            <w:pPr>
              <w:jc w:val="center"/>
              <w:rPr>
                <w:rFonts w:ascii="Arial" w:hAnsi="Arial" w:cs="Arial"/>
                <w:color w:val="000000"/>
                <w:sz w:val="18"/>
                <w:szCs w:val="18"/>
              </w:rPr>
            </w:pPr>
            <w:r>
              <w:rPr>
                <w:rFonts w:ascii="Arial" w:hAnsi="Arial" w:cs="Arial"/>
                <w:color w:val="000000"/>
                <w:sz w:val="18"/>
                <w:szCs w:val="18"/>
              </w:rPr>
              <w:t>-0.28 %</w:t>
            </w:r>
          </w:p>
        </w:tc>
        <w:tc>
          <w:tcPr>
            <w:tcW w:w="0" w:type="auto"/>
            <w:tcBorders>
              <w:top w:val="single" w:sz="8" w:space="0" w:color="auto"/>
              <w:left w:val="nil"/>
              <w:bottom w:val="nil"/>
              <w:right w:val="nil"/>
            </w:tcBorders>
            <w:shd w:val="clear" w:color="auto" w:fill="auto"/>
            <w:noWrap/>
            <w:vAlign w:val="center"/>
            <w:hideMark/>
          </w:tcPr>
          <w:p w14:paraId="286D226E"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single" w:sz="8" w:space="0" w:color="auto"/>
              <w:left w:val="nil"/>
              <w:bottom w:val="nil"/>
              <w:right w:val="single" w:sz="8" w:space="0" w:color="auto"/>
            </w:tcBorders>
            <w:shd w:val="clear" w:color="auto" w:fill="auto"/>
            <w:noWrap/>
            <w:vAlign w:val="center"/>
            <w:hideMark/>
          </w:tcPr>
          <w:p w14:paraId="7DCE9C9D" w14:textId="77777777" w:rsidR="003966FC" w:rsidRDefault="003966FC">
            <w:pPr>
              <w:jc w:val="center"/>
              <w:rPr>
                <w:rFonts w:ascii="Arial" w:hAnsi="Arial" w:cs="Arial"/>
                <w:color w:val="000000"/>
                <w:sz w:val="18"/>
                <w:szCs w:val="18"/>
              </w:rPr>
            </w:pPr>
            <w:r>
              <w:rPr>
                <w:rFonts w:ascii="Arial" w:hAnsi="Arial" w:cs="Arial"/>
                <w:color w:val="000000"/>
                <w:sz w:val="18"/>
                <w:szCs w:val="18"/>
              </w:rPr>
              <w:t>101 %</w:t>
            </w:r>
          </w:p>
        </w:tc>
      </w:tr>
      <w:tr w:rsidR="003966FC" w14:paraId="3697DF2D" w14:textId="77777777" w:rsidTr="003966FC">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97009F9" w14:textId="77777777" w:rsidR="003966FC" w:rsidRDefault="003966FC">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A3B5E82" w14:textId="77777777" w:rsidR="003966FC" w:rsidRDefault="003966FC">
            <w:pPr>
              <w:jc w:val="center"/>
              <w:rPr>
                <w:rFonts w:ascii="Arial" w:hAnsi="Arial" w:cs="Arial"/>
                <w:color w:val="000000"/>
                <w:sz w:val="18"/>
                <w:szCs w:val="18"/>
              </w:rPr>
            </w:pPr>
            <w:r>
              <w:rPr>
                <w:rFonts w:ascii="Arial" w:hAnsi="Arial" w:cs="Arial"/>
                <w:color w:val="000000"/>
                <w:sz w:val="18"/>
                <w:szCs w:val="18"/>
              </w:rPr>
              <w:t>-0.07 %</w:t>
            </w:r>
          </w:p>
        </w:tc>
        <w:tc>
          <w:tcPr>
            <w:tcW w:w="0" w:type="auto"/>
            <w:tcBorders>
              <w:top w:val="single" w:sz="8" w:space="0" w:color="auto"/>
              <w:left w:val="nil"/>
              <w:bottom w:val="nil"/>
              <w:right w:val="nil"/>
            </w:tcBorders>
            <w:shd w:val="clear" w:color="auto" w:fill="auto"/>
            <w:noWrap/>
            <w:vAlign w:val="center"/>
            <w:hideMark/>
          </w:tcPr>
          <w:p w14:paraId="52A5A540" w14:textId="77777777" w:rsidR="003966FC" w:rsidRDefault="003966FC">
            <w:pPr>
              <w:jc w:val="center"/>
              <w:rPr>
                <w:rFonts w:ascii="Arial" w:hAnsi="Arial" w:cs="Arial"/>
                <w:color w:val="000000"/>
                <w:sz w:val="18"/>
                <w:szCs w:val="18"/>
              </w:rPr>
            </w:pPr>
            <w:r>
              <w:rPr>
                <w:rFonts w:ascii="Arial" w:hAnsi="Arial" w:cs="Arial"/>
                <w:color w:val="000000"/>
                <w:sz w:val="18"/>
                <w:szCs w:val="18"/>
              </w:rPr>
              <w:t>0.14 %</w:t>
            </w:r>
          </w:p>
        </w:tc>
        <w:tc>
          <w:tcPr>
            <w:tcW w:w="0" w:type="auto"/>
            <w:tcBorders>
              <w:top w:val="single" w:sz="8" w:space="0" w:color="auto"/>
              <w:left w:val="nil"/>
              <w:bottom w:val="nil"/>
              <w:right w:val="single" w:sz="4" w:space="0" w:color="auto"/>
            </w:tcBorders>
            <w:shd w:val="clear" w:color="auto" w:fill="auto"/>
            <w:noWrap/>
            <w:vAlign w:val="center"/>
            <w:hideMark/>
          </w:tcPr>
          <w:p w14:paraId="37C16430" w14:textId="77777777" w:rsidR="003966FC" w:rsidRDefault="003966FC">
            <w:pPr>
              <w:jc w:val="center"/>
              <w:rPr>
                <w:rFonts w:ascii="Arial" w:hAnsi="Arial" w:cs="Arial"/>
                <w:color w:val="000000"/>
                <w:sz w:val="18"/>
                <w:szCs w:val="18"/>
              </w:rPr>
            </w:pPr>
            <w:r>
              <w:rPr>
                <w:rFonts w:ascii="Arial" w:hAnsi="Arial" w:cs="Arial"/>
                <w:color w:val="000000"/>
                <w:sz w:val="18"/>
                <w:szCs w:val="18"/>
              </w:rPr>
              <w:t>-0.38 %</w:t>
            </w:r>
          </w:p>
        </w:tc>
        <w:tc>
          <w:tcPr>
            <w:tcW w:w="0" w:type="auto"/>
            <w:tcBorders>
              <w:top w:val="single" w:sz="8" w:space="0" w:color="auto"/>
              <w:left w:val="nil"/>
              <w:bottom w:val="nil"/>
              <w:right w:val="nil"/>
            </w:tcBorders>
            <w:shd w:val="clear" w:color="auto" w:fill="auto"/>
            <w:noWrap/>
            <w:vAlign w:val="center"/>
            <w:hideMark/>
          </w:tcPr>
          <w:p w14:paraId="112D5A69"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single" w:sz="8" w:space="0" w:color="auto"/>
              <w:left w:val="nil"/>
              <w:bottom w:val="nil"/>
              <w:right w:val="single" w:sz="8" w:space="0" w:color="auto"/>
            </w:tcBorders>
            <w:shd w:val="clear" w:color="auto" w:fill="auto"/>
            <w:noWrap/>
            <w:vAlign w:val="center"/>
            <w:hideMark/>
          </w:tcPr>
          <w:p w14:paraId="13F220E0" w14:textId="77777777" w:rsidR="003966FC" w:rsidRDefault="003966FC">
            <w:pPr>
              <w:jc w:val="center"/>
              <w:rPr>
                <w:rFonts w:ascii="Arial" w:hAnsi="Arial" w:cs="Arial"/>
                <w:color w:val="000000"/>
                <w:sz w:val="18"/>
                <w:szCs w:val="18"/>
              </w:rPr>
            </w:pPr>
            <w:r>
              <w:rPr>
                <w:rFonts w:ascii="Arial" w:hAnsi="Arial" w:cs="Arial"/>
                <w:color w:val="000000"/>
                <w:sz w:val="18"/>
                <w:szCs w:val="18"/>
              </w:rPr>
              <w:t>99 %</w:t>
            </w:r>
          </w:p>
        </w:tc>
        <w:tc>
          <w:tcPr>
            <w:tcW w:w="0" w:type="auto"/>
            <w:tcBorders>
              <w:top w:val="single" w:sz="8" w:space="0" w:color="auto"/>
              <w:left w:val="nil"/>
              <w:bottom w:val="nil"/>
              <w:right w:val="nil"/>
            </w:tcBorders>
            <w:shd w:val="clear" w:color="auto" w:fill="auto"/>
            <w:noWrap/>
            <w:vAlign w:val="center"/>
            <w:hideMark/>
          </w:tcPr>
          <w:p w14:paraId="4AE3E3BA" w14:textId="77777777" w:rsidR="003966FC" w:rsidRDefault="003966FC">
            <w:pPr>
              <w:jc w:val="center"/>
              <w:rPr>
                <w:rFonts w:ascii="Arial" w:hAnsi="Arial" w:cs="Arial"/>
                <w:color w:val="000000"/>
                <w:sz w:val="18"/>
                <w:szCs w:val="18"/>
              </w:rPr>
            </w:pPr>
            <w:r>
              <w:rPr>
                <w:rFonts w:ascii="Arial" w:hAnsi="Arial" w:cs="Arial"/>
                <w:color w:val="000000"/>
                <w:sz w:val="18"/>
                <w:szCs w:val="18"/>
              </w:rPr>
              <w:t>-0.04 %</w:t>
            </w:r>
          </w:p>
        </w:tc>
        <w:tc>
          <w:tcPr>
            <w:tcW w:w="0" w:type="auto"/>
            <w:tcBorders>
              <w:top w:val="single" w:sz="8" w:space="0" w:color="auto"/>
              <w:left w:val="nil"/>
              <w:bottom w:val="nil"/>
              <w:right w:val="nil"/>
            </w:tcBorders>
            <w:shd w:val="clear" w:color="auto" w:fill="auto"/>
            <w:noWrap/>
            <w:vAlign w:val="center"/>
            <w:hideMark/>
          </w:tcPr>
          <w:p w14:paraId="23A432CF" w14:textId="77777777" w:rsidR="003966FC" w:rsidRDefault="003966FC">
            <w:pPr>
              <w:jc w:val="center"/>
              <w:rPr>
                <w:rFonts w:ascii="Arial" w:hAnsi="Arial" w:cs="Arial"/>
                <w:color w:val="000000"/>
                <w:sz w:val="18"/>
                <w:szCs w:val="18"/>
              </w:rPr>
            </w:pPr>
            <w:r>
              <w:rPr>
                <w:rFonts w:ascii="Arial" w:hAnsi="Arial" w:cs="Arial"/>
                <w:color w:val="000000"/>
                <w:sz w:val="18"/>
                <w:szCs w:val="18"/>
              </w:rPr>
              <w:t>0.45 %</w:t>
            </w:r>
          </w:p>
        </w:tc>
        <w:tc>
          <w:tcPr>
            <w:tcW w:w="0" w:type="auto"/>
            <w:tcBorders>
              <w:top w:val="single" w:sz="8" w:space="0" w:color="auto"/>
              <w:left w:val="nil"/>
              <w:bottom w:val="nil"/>
              <w:right w:val="single" w:sz="4" w:space="0" w:color="auto"/>
            </w:tcBorders>
            <w:shd w:val="clear" w:color="auto" w:fill="auto"/>
            <w:noWrap/>
            <w:vAlign w:val="center"/>
            <w:hideMark/>
          </w:tcPr>
          <w:p w14:paraId="6D3DF9AD" w14:textId="77777777" w:rsidR="003966FC" w:rsidRDefault="003966FC">
            <w:pPr>
              <w:jc w:val="center"/>
              <w:rPr>
                <w:rFonts w:ascii="Arial" w:hAnsi="Arial" w:cs="Arial"/>
                <w:color w:val="000000"/>
                <w:sz w:val="18"/>
                <w:szCs w:val="18"/>
              </w:rPr>
            </w:pPr>
            <w:r>
              <w:rPr>
                <w:rFonts w:ascii="Arial" w:hAnsi="Arial" w:cs="Arial"/>
                <w:color w:val="000000"/>
                <w:sz w:val="18"/>
                <w:szCs w:val="18"/>
              </w:rPr>
              <w:t>-0.57 %</w:t>
            </w:r>
          </w:p>
        </w:tc>
        <w:tc>
          <w:tcPr>
            <w:tcW w:w="0" w:type="auto"/>
            <w:tcBorders>
              <w:top w:val="single" w:sz="8" w:space="0" w:color="auto"/>
              <w:left w:val="nil"/>
              <w:bottom w:val="nil"/>
              <w:right w:val="nil"/>
            </w:tcBorders>
            <w:shd w:val="clear" w:color="auto" w:fill="auto"/>
            <w:noWrap/>
            <w:vAlign w:val="center"/>
            <w:hideMark/>
          </w:tcPr>
          <w:p w14:paraId="7DA050D0"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single" w:sz="8" w:space="0" w:color="auto"/>
              <w:left w:val="nil"/>
              <w:bottom w:val="nil"/>
              <w:right w:val="single" w:sz="8" w:space="0" w:color="auto"/>
            </w:tcBorders>
            <w:shd w:val="clear" w:color="auto" w:fill="auto"/>
            <w:noWrap/>
            <w:vAlign w:val="center"/>
            <w:hideMark/>
          </w:tcPr>
          <w:p w14:paraId="0A493C38" w14:textId="77777777" w:rsidR="003966FC" w:rsidRDefault="003966FC">
            <w:pPr>
              <w:jc w:val="center"/>
              <w:rPr>
                <w:rFonts w:ascii="Arial" w:hAnsi="Arial" w:cs="Arial"/>
                <w:color w:val="000000"/>
                <w:sz w:val="18"/>
                <w:szCs w:val="18"/>
              </w:rPr>
            </w:pPr>
            <w:r>
              <w:rPr>
                <w:rFonts w:ascii="Arial" w:hAnsi="Arial" w:cs="Arial"/>
                <w:color w:val="000000"/>
                <w:sz w:val="18"/>
                <w:szCs w:val="18"/>
              </w:rPr>
              <w:t>93 %</w:t>
            </w:r>
          </w:p>
        </w:tc>
      </w:tr>
      <w:tr w:rsidR="003966FC" w14:paraId="5371178F" w14:textId="77777777" w:rsidTr="003966FC">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7B5988FA" w14:textId="0C7BA125" w:rsidR="003966FC" w:rsidRDefault="003966FC">
            <w:pPr>
              <w:jc w:val="center"/>
              <w:rPr>
                <w:rFonts w:ascii="Arial" w:hAnsi="Arial" w:cs="Arial"/>
                <w:color w:val="000000"/>
                <w:sz w:val="18"/>
                <w:szCs w:val="18"/>
              </w:rPr>
            </w:pPr>
            <w:r>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4E8D189" w14:textId="77777777" w:rsidR="003966FC" w:rsidRDefault="003966FC">
            <w:pPr>
              <w:jc w:val="center"/>
              <w:rPr>
                <w:rFonts w:ascii="Arial" w:hAnsi="Arial" w:cs="Arial"/>
                <w:color w:val="000000"/>
                <w:sz w:val="18"/>
                <w:szCs w:val="18"/>
              </w:rPr>
            </w:pPr>
            <w:r>
              <w:rPr>
                <w:rFonts w:ascii="Arial" w:hAnsi="Arial" w:cs="Arial"/>
                <w:color w:val="000000"/>
                <w:sz w:val="18"/>
                <w:szCs w:val="18"/>
              </w:rPr>
              <w:t>-0.16 %</w:t>
            </w:r>
          </w:p>
        </w:tc>
        <w:tc>
          <w:tcPr>
            <w:tcW w:w="0" w:type="auto"/>
            <w:tcBorders>
              <w:top w:val="nil"/>
              <w:left w:val="nil"/>
              <w:bottom w:val="single" w:sz="8" w:space="0" w:color="auto"/>
              <w:right w:val="nil"/>
            </w:tcBorders>
            <w:shd w:val="clear" w:color="auto" w:fill="auto"/>
            <w:noWrap/>
            <w:vAlign w:val="center"/>
            <w:hideMark/>
          </w:tcPr>
          <w:p w14:paraId="62BB5234" w14:textId="77777777" w:rsidR="003966FC" w:rsidRDefault="003966FC">
            <w:pPr>
              <w:jc w:val="center"/>
              <w:rPr>
                <w:rFonts w:ascii="Arial" w:hAnsi="Arial" w:cs="Arial"/>
                <w:color w:val="000000"/>
                <w:sz w:val="18"/>
                <w:szCs w:val="18"/>
              </w:rPr>
            </w:pPr>
            <w:r>
              <w:rPr>
                <w:rFonts w:ascii="Arial" w:hAnsi="Arial" w:cs="Arial"/>
                <w:color w:val="000000"/>
                <w:sz w:val="18"/>
                <w:szCs w:val="18"/>
              </w:rPr>
              <w:t>-0.15 %</w:t>
            </w:r>
          </w:p>
        </w:tc>
        <w:tc>
          <w:tcPr>
            <w:tcW w:w="0" w:type="auto"/>
            <w:tcBorders>
              <w:top w:val="nil"/>
              <w:left w:val="nil"/>
              <w:bottom w:val="single" w:sz="8" w:space="0" w:color="auto"/>
              <w:right w:val="single" w:sz="4" w:space="0" w:color="auto"/>
            </w:tcBorders>
            <w:shd w:val="clear" w:color="auto" w:fill="auto"/>
            <w:noWrap/>
            <w:vAlign w:val="center"/>
            <w:hideMark/>
          </w:tcPr>
          <w:p w14:paraId="474D8223" w14:textId="77777777" w:rsidR="003966FC" w:rsidRDefault="003966FC">
            <w:pPr>
              <w:jc w:val="center"/>
              <w:rPr>
                <w:rFonts w:ascii="Arial" w:hAnsi="Arial" w:cs="Arial"/>
                <w:color w:val="000000"/>
                <w:sz w:val="18"/>
                <w:szCs w:val="18"/>
              </w:rPr>
            </w:pPr>
            <w:r>
              <w:rPr>
                <w:rFonts w:ascii="Arial" w:hAnsi="Arial" w:cs="Arial"/>
                <w:color w:val="000000"/>
                <w:sz w:val="18"/>
                <w:szCs w:val="18"/>
              </w:rPr>
              <w:t>-0.35 %</w:t>
            </w:r>
          </w:p>
        </w:tc>
        <w:tc>
          <w:tcPr>
            <w:tcW w:w="0" w:type="auto"/>
            <w:tcBorders>
              <w:top w:val="nil"/>
              <w:left w:val="nil"/>
              <w:bottom w:val="single" w:sz="8" w:space="0" w:color="auto"/>
              <w:right w:val="nil"/>
            </w:tcBorders>
            <w:shd w:val="clear" w:color="auto" w:fill="auto"/>
            <w:noWrap/>
            <w:vAlign w:val="center"/>
            <w:hideMark/>
          </w:tcPr>
          <w:p w14:paraId="03864C1D" w14:textId="77777777" w:rsidR="003966FC" w:rsidRDefault="003966FC">
            <w:pPr>
              <w:jc w:val="center"/>
              <w:rPr>
                <w:rFonts w:ascii="Arial" w:hAnsi="Arial" w:cs="Arial"/>
                <w:color w:val="000000"/>
                <w:sz w:val="18"/>
                <w:szCs w:val="18"/>
              </w:rPr>
            </w:pPr>
            <w:r>
              <w:rPr>
                <w:rFonts w:ascii="Arial" w:hAnsi="Arial" w:cs="Arial"/>
                <w:color w:val="000000"/>
                <w:sz w:val="18"/>
                <w:szCs w:val="18"/>
              </w:rPr>
              <w:t>105 %</w:t>
            </w:r>
          </w:p>
        </w:tc>
        <w:tc>
          <w:tcPr>
            <w:tcW w:w="0" w:type="auto"/>
            <w:tcBorders>
              <w:top w:val="nil"/>
              <w:left w:val="nil"/>
              <w:bottom w:val="single" w:sz="8" w:space="0" w:color="auto"/>
              <w:right w:val="single" w:sz="8" w:space="0" w:color="auto"/>
            </w:tcBorders>
            <w:shd w:val="clear" w:color="auto" w:fill="auto"/>
            <w:noWrap/>
            <w:vAlign w:val="center"/>
            <w:hideMark/>
          </w:tcPr>
          <w:p w14:paraId="5222AE61" w14:textId="77777777" w:rsidR="003966FC" w:rsidRDefault="003966FC">
            <w:pPr>
              <w:jc w:val="center"/>
              <w:rPr>
                <w:rFonts w:ascii="Arial" w:hAnsi="Arial" w:cs="Arial"/>
                <w:color w:val="000000"/>
                <w:sz w:val="18"/>
                <w:szCs w:val="18"/>
              </w:rPr>
            </w:pPr>
            <w:r>
              <w:rPr>
                <w:rFonts w:ascii="Arial" w:hAnsi="Arial" w:cs="Arial"/>
                <w:color w:val="000000"/>
                <w:sz w:val="18"/>
                <w:szCs w:val="18"/>
              </w:rPr>
              <w:t>99 %</w:t>
            </w:r>
          </w:p>
        </w:tc>
        <w:tc>
          <w:tcPr>
            <w:tcW w:w="0" w:type="auto"/>
            <w:tcBorders>
              <w:top w:val="nil"/>
              <w:left w:val="nil"/>
              <w:bottom w:val="single" w:sz="8" w:space="0" w:color="auto"/>
              <w:right w:val="nil"/>
            </w:tcBorders>
            <w:shd w:val="clear" w:color="auto" w:fill="auto"/>
            <w:noWrap/>
            <w:vAlign w:val="center"/>
            <w:hideMark/>
          </w:tcPr>
          <w:p w14:paraId="1788A1C6" w14:textId="77777777" w:rsidR="003966FC" w:rsidRDefault="003966FC">
            <w:pPr>
              <w:jc w:val="center"/>
              <w:rPr>
                <w:rFonts w:ascii="Arial" w:hAnsi="Arial" w:cs="Arial"/>
                <w:color w:val="000000"/>
                <w:sz w:val="18"/>
                <w:szCs w:val="18"/>
              </w:rPr>
            </w:pPr>
            <w:r>
              <w:rPr>
                <w:rFonts w:ascii="Arial" w:hAnsi="Arial" w:cs="Arial"/>
                <w:color w:val="000000"/>
                <w:sz w:val="18"/>
                <w:szCs w:val="18"/>
              </w:rPr>
              <w:t>-0.01 %</w:t>
            </w:r>
          </w:p>
        </w:tc>
        <w:tc>
          <w:tcPr>
            <w:tcW w:w="0" w:type="auto"/>
            <w:tcBorders>
              <w:top w:val="nil"/>
              <w:left w:val="nil"/>
              <w:bottom w:val="single" w:sz="8" w:space="0" w:color="auto"/>
              <w:right w:val="nil"/>
            </w:tcBorders>
            <w:shd w:val="clear" w:color="auto" w:fill="auto"/>
            <w:noWrap/>
            <w:vAlign w:val="center"/>
            <w:hideMark/>
          </w:tcPr>
          <w:p w14:paraId="6FB2D6EF" w14:textId="77777777" w:rsidR="003966FC" w:rsidRDefault="003966FC">
            <w:pPr>
              <w:jc w:val="center"/>
              <w:rPr>
                <w:rFonts w:ascii="Arial" w:hAnsi="Arial" w:cs="Arial"/>
                <w:color w:val="000000"/>
                <w:sz w:val="18"/>
                <w:szCs w:val="18"/>
              </w:rPr>
            </w:pPr>
            <w:r>
              <w:rPr>
                <w:rFonts w:ascii="Arial" w:hAnsi="Arial" w:cs="Arial"/>
                <w:color w:val="000000"/>
                <w:sz w:val="18"/>
                <w:szCs w:val="18"/>
              </w:rPr>
              <w:t>0.01 %</w:t>
            </w:r>
          </w:p>
        </w:tc>
        <w:tc>
          <w:tcPr>
            <w:tcW w:w="0" w:type="auto"/>
            <w:tcBorders>
              <w:top w:val="nil"/>
              <w:left w:val="nil"/>
              <w:bottom w:val="single" w:sz="8" w:space="0" w:color="auto"/>
              <w:right w:val="single" w:sz="4" w:space="0" w:color="auto"/>
            </w:tcBorders>
            <w:shd w:val="clear" w:color="auto" w:fill="auto"/>
            <w:noWrap/>
            <w:vAlign w:val="center"/>
            <w:hideMark/>
          </w:tcPr>
          <w:p w14:paraId="3AEC7CE5" w14:textId="77777777" w:rsidR="003966FC" w:rsidRDefault="003966FC">
            <w:pPr>
              <w:jc w:val="center"/>
              <w:rPr>
                <w:rFonts w:ascii="Arial" w:hAnsi="Arial" w:cs="Arial"/>
                <w:color w:val="000000"/>
                <w:sz w:val="18"/>
                <w:szCs w:val="18"/>
              </w:rPr>
            </w:pPr>
            <w:r>
              <w:rPr>
                <w:rFonts w:ascii="Arial" w:hAnsi="Arial" w:cs="Arial"/>
                <w:color w:val="000000"/>
                <w:sz w:val="18"/>
                <w:szCs w:val="18"/>
              </w:rPr>
              <w:t>0.59 %</w:t>
            </w:r>
          </w:p>
        </w:tc>
        <w:tc>
          <w:tcPr>
            <w:tcW w:w="0" w:type="auto"/>
            <w:tcBorders>
              <w:top w:val="nil"/>
              <w:left w:val="nil"/>
              <w:bottom w:val="single" w:sz="8" w:space="0" w:color="auto"/>
              <w:right w:val="nil"/>
            </w:tcBorders>
            <w:shd w:val="clear" w:color="auto" w:fill="auto"/>
            <w:noWrap/>
            <w:vAlign w:val="center"/>
            <w:hideMark/>
          </w:tcPr>
          <w:p w14:paraId="1D803097" w14:textId="77777777" w:rsidR="003966FC" w:rsidRDefault="003966FC">
            <w:pPr>
              <w:jc w:val="center"/>
              <w:rPr>
                <w:rFonts w:ascii="Arial" w:hAnsi="Arial" w:cs="Arial"/>
                <w:color w:val="000000"/>
                <w:sz w:val="18"/>
                <w:szCs w:val="18"/>
              </w:rPr>
            </w:pPr>
            <w:r>
              <w:rPr>
                <w:rFonts w:ascii="Arial" w:hAnsi="Arial" w:cs="Arial"/>
                <w:color w:val="000000"/>
                <w:sz w:val="18"/>
                <w:szCs w:val="18"/>
              </w:rPr>
              <w:t>102 %</w:t>
            </w:r>
          </w:p>
        </w:tc>
        <w:tc>
          <w:tcPr>
            <w:tcW w:w="0" w:type="auto"/>
            <w:tcBorders>
              <w:top w:val="nil"/>
              <w:left w:val="nil"/>
              <w:bottom w:val="single" w:sz="8" w:space="0" w:color="auto"/>
              <w:right w:val="single" w:sz="8" w:space="0" w:color="auto"/>
            </w:tcBorders>
            <w:shd w:val="clear" w:color="auto" w:fill="auto"/>
            <w:noWrap/>
            <w:vAlign w:val="center"/>
            <w:hideMark/>
          </w:tcPr>
          <w:p w14:paraId="59D4CAB3" w14:textId="77777777" w:rsidR="003966FC" w:rsidRDefault="003966FC">
            <w:pPr>
              <w:jc w:val="center"/>
              <w:rPr>
                <w:rFonts w:ascii="Arial" w:hAnsi="Arial" w:cs="Arial"/>
                <w:color w:val="000000"/>
                <w:sz w:val="18"/>
                <w:szCs w:val="18"/>
              </w:rPr>
            </w:pPr>
            <w:r>
              <w:rPr>
                <w:rFonts w:ascii="Arial" w:hAnsi="Arial" w:cs="Arial"/>
                <w:color w:val="000000"/>
                <w:sz w:val="18"/>
                <w:szCs w:val="18"/>
              </w:rPr>
              <w:t>98 %</w:t>
            </w:r>
          </w:p>
        </w:tc>
      </w:tr>
    </w:tbl>
    <w:p w14:paraId="7A296F60" w14:textId="22A2B867" w:rsidR="003966FC" w:rsidRDefault="003966FC" w:rsidP="009234A5">
      <w:pPr>
        <w:rPr>
          <w:szCs w:val="22"/>
          <w:lang w:val="en-CA"/>
        </w:rPr>
      </w:pPr>
    </w:p>
    <w:p w14:paraId="1630B13D" w14:textId="77777777" w:rsidR="00E946C4" w:rsidRPr="005B217D" w:rsidRDefault="00E946C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F489DA6" w:rsidR="00342FF4" w:rsidRPr="005B217D" w:rsidRDefault="00F41B70"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35A76" w14:textId="77777777" w:rsidR="009C2678" w:rsidRDefault="009C2678">
      <w:r>
        <w:separator/>
      </w:r>
    </w:p>
  </w:endnote>
  <w:endnote w:type="continuationSeparator" w:id="0">
    <w:p w14:paraId="53558633" w14:textId="77777777" w:rsidR="009C2678" w:rsidRDefault="009C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5F1236"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7E5A">
      <w:rPr>
        <w:rStyle w:val="PageNumber"/>
        <w:noProof/>
      </w:rPr>
      <w:t>2018-06-29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948FE" w14:textId="77777777" w:rsidR="009C2678" w:rsidRDefault="009C2678">
      <w:r>
        <w:separator/>
      </w:r>
    </w:p>
  </w:footnote>
  <w:footnote w:type="continuationSeparator" w:id="0">
    <w:p w14:paraId="63FC0768" w14:textId="77777777" w:rsidR="009C2678" w:rsidRDefault="009C2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B6BB0"/>
    <w:multiLevelType w:val="hybridMultilevel"/>
    <w:tmpl w:val="2042E46A"/>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DB5A78"/>
    <w:multiLevelType w:val="hybridMultilevel"/>
    <w:tmpl w:val="CDE8B77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A0F"/>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66FC"/>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B70DD"/>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2678"/>
    <w:rsid w:val="009D7CE6"/>
    <w:rsid w:val="009F496B"/>
    <w:rsid w:val="00A01439"/>
    <w:rsid w:val="00A02E61"/>
    <w:rsid w:val="00A05CFF"/>
    <w:rsid w:val="00A13048"/>
    <w:rsid w:val="00A46843"/>
    <w:rsid w:val="00A56B97"/>
    <w:rsid w:val="00A6093D"/>
    <w:rsid w:val="00A767DC"/>
    <w:rsid w:val="00A76A6D"/>
    <w:rsid w:val="00A83253"/>
    <w:rsid w:val="00AA5464"/>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C7E5A"/>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946C4"/>
    <w:rsid w:val="00EA5AE0"/>
    <w:rsid w:val="00EB56E1"/>
    <w:rsid w:val="00EB7AB1"/>
    <w:rsid w:val="00EE7CD8"/>
    <w:rsid w:val="00EF48CC"/>
    <w:rsid w:val="00F00801"/>
    <w:rsid w:val="00F2488D"/>
    <w:rsid w:val="00F41B70"/>
    <w:rsid w:val="00F601A0"/>
    <w:rsid w:val="00F712E9"/>
    <w:rsid w:val="00F73032"/>
    <w:rsid w:val="00F815BF"/>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66FC"/>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856631">
      <w:bodyDiv w:val="1"/>
      <w:marLeft w:val="0"/>
      <w:marRight w:val="0"/>
      <w:marTop w:val="0"/>
      <w:marBottom w:val="0"/>
      <w:divBdr>
        <w:top w:val="none" w:sz="0" w:space="0" w:color="auto"/>
        <w:left w:val="none" w:sz="0" w:space="0" w:color="auto"/>
        <w:bottom w:val="none" w:sz="0" w:space="0" w:color="auto"/>
        <w:right w:val="none" w:sz="0" w:space="0" w:color="auto"/>
      </w:divBdr>
    </w:div>
    <w:div w:id="15443230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14</cp:revision>
  <cp:lastPrinted>1900-01-01T07:59:11Z</cp:lastPrinted>
  <dcterms:created xsi:type="dcterms:W3CDTF">2017-12-03T02:45:00Z</dcterms:created>
  <dcterms:modified xsi:type="dcterms:W3CDTF">2018-07-02T09:50:00Z</dcterms:modified>
</cp:coreProperties>
</file>