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BA6703">
        <w:tblPrEx>
          <w:tblCellMar>
            <w:top w:w="0" w:type="dxa"/>
            <w:bottom w:w="0" w:type="dxa"/>
          </w:tblCellMar>
        </w:tblPrEx>
        <w:tc>
          <w:tcPr>
            <w:tcW w:w="6408" w:type="dxa"/>
          </w:tcPr>
          <w:p w:rsidR="006C5D39" w:rsidRPr="00BA6703" w:rsidRDefault="007F1F8B" w:rsidP="00C97D78">
            <w:pPr>
              <w:tabs>
                <w:tab w:val="left" w:pos="7200"/>
              </w:tabs>
              <w:spacing w:before="0"/>
              <w:rPr>
                <w:b/>
                <w:szCs w:val="22"/>
                <w:lang w:val="en-GB"/>
              </w:rPr>
            </w:pPr>
            <w:bookmarkStart w:id="0" w:name="_GoBack"/>
            <w:bookmarkEnd w:id="0"/>
            <w:r w:rsidRPr="00BA6703">
              <w:rPr>
                <w:b/>
                <w:szCs w:val="22"/>
                <w:lang w:val="en-GB"/>
              </w:rPr>
              <w:pict>
                <v:group id="_x0000_s1026" style="position:absolute;margin-left:-4.15pt;margin-top:-27.5pt;width:23.3pt;height:24.6pt;z-index:25165363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BA6703">
              <w:rPr>
                <w:b/>
                <w:szCs w:val="22"/>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5680">
                  <v:imagedata r:id="rId8" o:title=""/>
                </v:shape>
              </w:pict>
            </w:r>
            <w:r w:rsidRPr="00BA6703">
              <w:rPr>
                <w:b/>
                <w:szCs w:val="22"/>
                <w:lang w:val="en-GB"/>
              </w:rPr>
              <w:pict>
                <v:shape id="_x0000_s1050" type="#_x0000_t75" style="position:absolute;margin-left:21.15pt;margin-top:-25.1pt;width:23.2pt;height:21.05pt;z-index:251654656">
                  <v:imagedata r:id="rId9" o:title=""/>
                </v:shape>
              </w:pict>
            </w:r>
            <w:r w:rsidR="00E61DAC" w:rsidRPr="00BA6703">
              <w:rPr>
                <w:b/>
                <w:szCs w:val="22"/>
                <w:lang w:val="en-GB"/>
              </w:rPr>
              <w:t xml:space="preserve">Joint </w:t>
            </w:r>
            <w:r w:rsidR="006C5D39" w:rsidRPr="00BA6703">
              <w:rPr>
                <w:b/>
                <w:szCs w:val="22"/>
                <w:lang w:val="en-GB"/>
              </w:rPr>
              <w:t xml:space="preserve">Video </w:t>
            </w:r>
            <w:r w:rsidR="009D7CE6" w:rsidRPr="00BA6703">
              <w:rPr>
                <w:b/>
                <w:szCs w:val="22"/>
                <w:lang w:val="en-GB"/>
              </w:rPr>
              <w:t>Exploration Team</w:t>
            </w:r>
            <w:r w:rsidR="006C5D39" w:rsidRPr="00BA6703">
              <w:rPr>
                <w:b/>
                <w:szCs w:val="22"/>
                <w:lang w:val="en-GB"/>
              </w:rPr>
              <w:t xml:space="preserve"> (</w:t>
            </w:r>
            <w:r w:rsidR="009D7CE6" w:rsidRPr="00BA6703">
              <w:rPr>
                <w:b/>
                <w:szCs w:val="22"/>
                <w:lang w:val="en-GB"/>
              </w:rPr>
              <w:t>JVET</w:t>
            </w:r>
            <w:r w:rsidR="006C5D39" w:rsidRPr="00BA6703">
              <w:rPr>
                <w:b/>
                <w:szCs w:val="22"/>
                <w:lang w:val="en-GB"/>
              </w:rPr>
              <w:t>)</w:t>
            </w:r>
          </w:p>
          <w:p w:rsidR="00E61DAC" w:rsidRPr="00BA6703" w:rsidRDefault="00E54511" w:rsidP="00C97D78">
            <w:pPr>
              <w:tabs>
                <w:tab w:val="left" w:pos="7200"/>
              </w:tabs>
              <w:spacing w:before="0"/>
              <w:rPr>
                <w:b/>
                <w:szCs w:val="22"/>
                <w:lang w:val="en-GB"/>
              </w:rPr>
            </w:pPr>
            <w:r w:rsidRPr="00BA6703">
              <w:rPr>
                <w:b/>
                <w:szCs w:val="22"/>
                <w:lang w:val="en-GB"/>
              </w:rPr>
              <w:t xml:space="preserve">of </w:t>
            </w:r>
            <w:r w:rsidR="007F1F8B" w:rsidRPr="00BA6703">
              <w:rPr>
                <w:b/>
                <w:szCs w:val="22"/>
                <w:lang w:val="en-GB"/>
              </w:rPr>
              <w:t>ITU-T SG</w:t>
            </w:r>
            <w:r w:rsidR="005E1AC6" w:rsidRPr="00BA6703">
              <w:rPr>
                <w:b/>
                <w:szCs w:val="22"/>
                <w:lang w:val="en-GB"/>
              </w:rPr>
              <w:t> </w:t>
            </w:r>
            <w:r w:rsidR="007F1F8B" w:rsidRPr="00BA6703">
              <w:rPr>
                <w:b/>
                <w:szCs w:val="22"/>
                <w:lang w:val="en-GB"/>
              </w:rPr>
              <w:t>16 WP</w:t>
            </w:r>
            <w:r w:rsidR="005E1AC6" w:rsidRPr="00BA6703">
              <w:rPr>
                <w:b/>
                <w:szCs w:val="22"/>
                <w:lang w:val="en-GB"/>
              </w:rPr>
              <w:t> </w:t>
            </w:r>
            <w:r w:rsidR="007F1F8B" w:rsidRPr="00BA6703">
              <w:rPr>
                <w:b/>
                <w:szCs w:val="22"/>
                <w:lang w:val="en-GB"/>
              </w:rPr>
              <w:t>3 and ISO/IEC JTC</w:t>
            </w:r>
            <w:r w:rsidR="005E1AC6" w:rsidRPr="00BA6703">
              <w:rPr>
                <w:b/>
                <w:szCs w:val="22"/>
                <w:lang w:val="en-GB"/>
              </w:rPr>
              <w:t> </w:t>
            </w:r>
            <w:r w:rsidR="007F1F8B" w:rsidRPr="00BA6703">
              <w:rPr>
                <w:b/>
                <w:szCs w:val="22"/>
                <w:lang w:val="en-GB"/>
              </w:rPr>
              <w:t>1/SC</w:t>
            </w:r>
            <w:r w:rsidR="005E1AC6" w:rsidRPr="00BA6703">
              <w:rPr>
                <w:b/>
                <w:szCs w:val="22"/>
                <w:lang w:val="en-GB"/>
              </w:rPr>
              <w:t> </w:t>
            </w:r>
            <w:r w:rsidR="007F1F8B" w:rsidRPr="00BA6703">
              <w:rPr>
                <w:b/>
                <w:szCs w:val="22"/>
                <w:lang w:val="en-GB"/>
              </w:rPr>
              <w:t>29/WG</w:t>
            </w:r>
            <w:r w:rsidR="005E1AC6" w:rsidRPr="00BA6703">
              <w:rPr>
                <w:b/>
                <w:szCs w:val="22"/>
                <w:lang w:val="en-GB"/>
              </w:rPr>
              <w:t> </w:t>
            </w:r>
            <w:r w:rsidR="007F1F8B" w:rsidRPr="00BA6703">
              <w:rPr>
                <w:b/>
                <w:szCs w:val="22"/>
                <w:lang w:val="en-GB"/>
              </w:rPr>
              <w:t>11</w:t>
            </w:r>
          </w:p>
          <w:p w:rsidR="00E61DAC" w:rsidRPr="00BA6703" w:rsidRDefault="00DD6622" w:rsidP="00DD6622">
            <w:pPr>
              <w:tabs>
                <w:tab w:val="left" w:pos="7200"/>
              </w:tabs>
              <w:spacing w:before="0"/>
              <w:rPr>
                <w:b/>
                <w:szCs w:val="22"/>
                <w:lang w:val="en-GB"/>
              </w:rPr>
            </w:pPr>
            <w:r w:rsidRPr="00BA6703">
              <w:rPr>
                <w:lang w:val="en-GB"/>
              </w:rPr>
              <w:t>3rd</w:t>
            </w:r>
            <w:r w:rsidR="00A767DC" w:rsidRPr="00BA6703">
              <w:rPr>
                <w:lang w:val="en-GB"/>
              </w:rPr>
              <w:t xml:space="preserve"> Meeting: </w:t>
            </w:r>
            <w:r w:rsidRPr="00BA6703">
              <w:rPr>
                <w:lang w:val="en-GB"/>
              </w:rPr>
              <w:t>Geneva</w:t>
            </w:r>
            <w:r w:rsidR="00657F7E" w:rsidRPr="00BA6703">
              <w:rPr>
                <w:lang w:val="en-GB"/>
              </w:rPr>
              <w:t xml:space="preserve">, </w:t>
            </w:r>
            <w:r w:rsidRPr="00BA6703">
              <w:rPr>
                <w:lang w:val="en-GB"/>
              </w:rPr>
              <w:t>CH</w:t>
            </w:r>
            <w:r w:rsidR="00657F7E" w:rsidRPr="00BA6703">
              <w:rPr>
                <w:lang w:val="en-GB"/>
              </w:rPr>
              <w:t xml:space="preserve">, </w:t>
            </w:r>
            <w:r w:rsidRPr="00BA6703">
              <w:rPr>
                <w:lang w:val="en-GB"/>
              </w:rPr>
              <w:t xml:space="preserve">26 May </w:t>
            </w:r>
            <w:r w:rsidR="00657F7E" w:rsidRPr="00BA6703">
              <w:rPr>
                <w:lang w:val="en-GB"/>
              </w:rPr>
              <w:t>–</w:t>
            </w:r>
            <w:r w:rsidRPr="00BA6703">
              <w:rPr>
                <w:lang w:val="en-GB"/>
              </w:rPr>
              <w:t xml:space="preserve"> 1</w:t>
            </w:r>
            <w:r w:rsidR="00657F7E" w:rsidRPr="00BA6703">
              <w:rPr>
                <w:lang w:val="en-GB"/>
              </w:rPr>
              <w:t xml:space="preserve"> </w:t>
            </w:r>
            <w:r w:rsidRPr="00BA6703">
              <w:rPr>
                <w:lang w:val="en-GB"/>
              </w:rPr>
              <w:t>June</w:t>
            </w:r>
            <w:r w:rsidR="00657F7E" w:rsidRPr="00BA6703">
              <w:rPr>
                <w:lang w:val="en-GB"/>
              </w:rPr>
              <w:t xml:space="preserve"> 2016</w:t>
            </w:r>
          </w:p>
        </w:tc>
        <w:tc>
          <w:tcPr>
            <w:tcW w:w="3168" w:type="dxa"/>
          </w:tcPr>
          <w:p w:rsidR="008A4B4C" w:rsidRPr="00BA6703" w:rsidRDefault="00E61DAC" w:rsidP="00DD6622">
            <w:pPr>
              <w:tabs>
                <w:tab w:val="left" w:pos="7200"/>
              </w:tabs>
              <w:rPr>
                <w:u w:val="single"/>
                <w:lang w:val="en-GB"/>
              </w:rPr>
            </w:pPr>
            <w:r w:rsidRPr="00BA6703">
              <w:rPr>
                <w:lang w:val="en-GB"/>
              </w:rPr>
              <w:t>Document</w:t>
            </w:r>
            <w:r w:rsidR="006C5D39" w:rsidRPr="00BA6703">
              <w:rPr>
                <w:lang w:val="en-GB"/>
              </w:rPr>
              <w:t xml:space="preserve">: </w:t>
            </w:r>
            <w:r w:rsidR="009D7CE6" w:rsidRPr="00BA6703">
              <w:rPr>
                <w:lang w:val="en-GB"/>
              </w:rPr>
              <w:t>JVET</w:t>
            </w:r>
            <w:r w:rsidRPr="00BA6703">
              <w:rPr>
                <w:lang w:val="en-GB"/>
              </w:rPr>
              <w:t>-</w:t>
            </w:r>
            <w:r w:rsidR="003D586D" w:rsidRPr="003D586D">
              <w:rPr>
                <w:lang w:val="en-GB"/>
              </w:rPr>
              <w:t>C0033</w:t>
            </w:r>
          </w:p>
        </w:tc>
      </w:tr>
    </w:tbl>
    <w:p w:rsidR="00E61DAC" w:rsidRPr="00BA6703" w:rsidRDefault="00E61DAC" w:rsidP="00531AE9">
      <w:pPr>
        <w:spacing w:before="0"/>
        <w:rPr>
          <w:lang w:val="en-GB"/>
        </w:rPr>
      </w:pPr>
    </w:p>
    <w:tbl>
      <w:tblPr>
        <w:tblW w:w="0" w:type="auto"/>
        <w:tblLayout w:type="fixed"/>
        <w:tblLook w:val="0000" w:firstRow="0" w:lastRow="0" w:firstColumn="0" w:lastColumn="0" w:noHBand="0" w:noVBand="0"/>
      </w:tblPr>
      <w:tblGrid>
        <w:gridCol w:w="1458"/>
        <w:gridCol w:w="4050"/>
        <w:gridCol w:w="900"/>
        <w:gridCol w:w="3168"/>
      </w:tblGrid>
      <w:tr w:rsidR="00E61DAC" w:rsidRPr="00BA6703">
        <w:tblPrEx>
          <w:tblCellMar>
            <w:top w:w="0" w:type="dxa"/>
            <w:bottom w:w="0" w:type="dxa"/>
          </w:tblCellMar>
        </w:tblPrEx>
        <w:tc>
          <w:tcPr>
            <w:tcW w:w="1458" w:type="dxa"/>
          </w:tcPr>
          <w:p w:rsidR="00E61DAC" w:rsidRPr="00BA6703" w:rsidRDefault="00E61DAC">
            <w:pPr>
              <w:spacing w:before="60" w:after="60"/>
              <w:rPr>
                <w:i/>
                <w:szCs w:val="22"/>
                <w:lang w:val="en-GB"/>
              </w:rPr>
            </w:pPr>
            <w:r w:rsidRPr="00BA6703">
              <w:rPr>
                <w:i/>
                <w:szCs w:val="22"/>
                <w:lang w:val="en-GB"/>
              </w:rPr>
              <w:t>Title:</w:t>
            </w:r>
          </w:p>
        </w:tc>
        <w:tc>
          <w:tcPr>
            <w:tcW w:w="8118" w:type="dxa"/>
            <w:gridSpan w:val="3"/>
          </w:tcPr>
          <w:p w:rsidR="00E61DAC" w:rsidRPr="00BA6703" w:rsidRDefault="00D60850" w:rsidP="00D60850">
            <w:pPr>
              <w:spacing w:before="60" w:after="60"/>
              <w:rPr>
                <w:b/>
                <w:szCs w:val="22"/>
                <w:lang w:val="en-GB"/>
              </w:rPr>
            </w:pPr>
            <w:r w:rsidRPr="00BA6703">
              <w:rPr>
                <w:b/>
                <w:szCs w:val="22"/>
                <w:lang w:val="en-GB"/>
              </w:rPr>
              <w:t>On comparison criteria for Virtual Reality video coding</w:t>
            </w:r>
            <w:r w:rsidR="00BA6703" w:rsidRPr="00BA6703">
              <w:rPr>
                <w:b/>
                <w:szCs w:val="22"/>
                <w:lang w:val="en-GB"/>
              </w:rPr>
              <w:t xml:space="preserve"> schemes</w:t>
            </w:r>
          </w:p>
        </w:tc>
      </w:tr>
      <w:tr w:rsidR="00E61DAC" w:rsidRPr="00BA6703">
        <w:tblPrEx>
          <w:tblCellMar>
            <w:top w:w="0" w:type="dxa"/>
            <w:bottom w:w="0" w:type="dxa"/>
          </w:tblCellMar>
        </w:tblPrEx>
        <w:tc>
          <w:tcPr>
            <w:tcW w:w="1458" w:type="dxa"/>
          </w:tcPr>
          <w:p w:rsidR="00E61DAC" w:rsidRPr="00BA6703" w:rsidRDefault="00E61DAC">
            <w:pPr>
              <w:spacing w:before="60" w:after="60"/>
              <w:rPr>
                <w:i/>
                <w:szCs w:val="22"/>
                <w:lang w:val="en-GB"/>
              </w:rPr>
            </w:pPr>
            <w:r w:rsidRPr="00BA6703">
              <w:rPr>
                <w:i/>
                <w:szCs w:val="22"/>
                <w:lang w:val="en-GB"/>
              </w:rPr>
              <w:t>Status:</w:t>
            </w:r>
          </w:p>
        </w:tc>
        <w:tc>
          <w:tcPr>
            <w:tcW w:w="8118" w:type="dxa"/>
            <w:gridSpan w:val="3"/>
          </w:tcPr>
          <w:p w:rsidR="00E61DAC" w:rsidRPr="00BA6703" w:rsidRDefault="00E61DAC" w:rsidP="00D60850">
            <w:pPr>
              <w:spacing w:before="60" w:after="60"/>
              <w:jc w:val="both"/>
              <w:rPr>
                <w:szCs w:val="22"/>
                <w:lang w:val="en-GB"/>
              </w:rPr>
            </w:pPr>
            <w:r w:rsidRPr="00BA6703">
              <w:rPr>
                <w:szCs w:val="22"/>
                <w:lang w:val="en-GB"/>
              </w:rPr>
              <w:t xml:space="preserve">Input Document to </w:t>
            </w:r>
            <w:r w:rsidR="009D7CE6" w:rsidRPr="00BA6703">
              <w:rPr>
                <w:szCs w:val="22"/>
                <w:lang w:val="en-GB"/>
              </w:rPr>
              <w:t>JVET</w:t>
            </w:r>
          </w:p>
        </w:tc>
      </w:tr>
      <w:tr w:rsidR="00E61DAC" w:rsidRPr="00BA6703">
        <w:tblPrEx>
          <w:tblCellMar>
            <w:top w:w="0" w:type="dxa"/>
            <w:bottom w:w="0" w:type="dxa"/>
          </w:tblCellMar>
        </w:tblPrEx>
        <w:tc>
          <w:tcPr>
            <w:tcW w:w="1458" w:type="dxa"/>
          </w:tcPr>
          <w:p w:rsidR="00E61DAC" w:rsidRPr="00BA6703" w:rsidRDefault="00E61DAC">
            <w:pPr>
              <w:spacing w:before="60" w:after="60"/>
              <w:rPr>
                <w:i/>
                <w:szCs w:val="22"/>
                <w:lang w:val="en-GB"/>
              </w:rPr>
            </w:pPr>
            <w:r w:rsidRPr="00BA6703">
              <w:rPr>
                <w:i/>
                <w:szCs w:val="22"/>
                <w:lang w:val="en-GB"/>
              </w:rPr>
              <w:t>Purpose:</w:t>
            </w:r>
          </w:p>
        </w:tc>
        <w:tc>
          <w:tcPr>
            <w:tcW w:w="8118" w:type="dxa"/>
            <w:gridSpan w:val="3"/>
          </w:tcPr>
          <w:p w:rsidR="00E61DAC" w:rsidRPr="00BA6703" w:rsidRDefault="00E61DAC" w:rsidP="00D60850">
            <w:pPr>
              <w:spacing w:before="60" w:after="60"/>
              <w:rPr>
                <w:szCs w:val="22"/>
                <w:lang w:val="en-GB"/>
              </w:rPr>
            </w:pPr>
            <w:r w:rsidRPr="00BA6703">
              <w:rPr>
                <w:szCs w:val="22"/>
                <w:lang w:val="en-GB"/>
              </w:rPr>
              <w:t>Proposal</w:t>
            </w:r>
          </w:p>
        </w:tc>
      </w:tr>
      <w:tr w:rsidR="00D60850" w:rsidRPr="00BA6703">
        <w:tblPrEx>
          <w:tblCellMar>
            <w:top w:w="0" w:type="dxa"/>
            <w:bottom w:w="0" w:type="dxa"/>
          </w:tblCellMar>
        </w:tblPrEx>
        <w:tc>
          <w:tcPr>
            <w:tcW w:w="1458" w:type="dxa"/>
          </w:tcPr>
          <w:p w:rsidR="00D60850" w:rsidRPr="00BA6703" w:rsidRDefault="00D60850" w:rsidP="00D60850">
            <w:pPr>
              <w:spacing w:before="60" w:after="60"/>
              <w:rPr>
                <w:i/>
                <w:szCs w:val="22"/>
                <w:lang w:val="en-GB"/>
              </w:rPr>
            </w:pPr>
            <w:r w:rsidRPr="00BA6703">
              <w:rPr>
                <w:i/>
                <w:szCs w:val="22"/>
                <w:lang w:val="en-GB"/>
              </w:rPr>
              <w:t>Author(s) or</w:t>
            </w:r>
            <w:r w:rsidRPr="00BA6703">
              <w:rPr>
                <w:i/>
                <w:szCs w:val="22"/>
                <w:lang w:val="en-GB"/>
              </w:rPr>
              <w:br/>
              <w:t>Contact(s):</w:t>
            </w:r>
          </w:p>
        </w:tc>
        <w:tc>
          <w:tcPr>
            <w:tcW w:w="4050" w:type="dxa"/>
          </w:tcPr>
          <w:p w:rsidR="00D60850" w:rsidRPr="00BA6703" w:rsidRDefault="00D60850" w:rsidP="00D60850">
            <w:pPr>
              <w:spacing w:before="60" w:after="60"/>
              <w:rPr>
                <w:szCs w:val="22"/>
                <w:lang w:val="en-GB"/>
              </w:rPr>
            </w:pPr>
            <w:r w:rsidRPr="00BA6703">
              <w:rPr>
                <w:szCs w:val="22"/>
                <w:lang w:val="en-GB"/>
              </w:rPr>
              <w:t>Emmanuel Thomas</w:t>
            </w:r>
          </w:p>
          <w:p w:rsidR="00D60850" w:rsidRPr="00BA6703" w:rsidRDefault="00D60850" w:rsidP="00D60850">
            <w:pPr>
              <w:spacing w:before="60" w:after="60"/>
              <w:rPr>
                <w:szCs w:val="22"/>
                <w:lang w:val="en-GB"/>
              </w:rPr>
            </w:pPr>
            <w:r w:rsidRPr="00BA6703">
              <w:rPr>
                <w:szCs w:val="22"/>
                <w:lang w:val="en-GB"/>
              </w:rPr>
              <w:t>Anna van Buerenplein 1</w:t>
            </w:r>
            <w:r w:rsidRPr="00BA6703">
              <w:rPr>
                <w:szCs w:val="22"/>
                <w:lang w:val="en-GB"/>
              </w:rPr>
              <w:br/>
            </w:r>
          </w:p>
          <w:p w:rsidR="00D60850" w:rsidRPr="00BA6703" w:rsidRDefault="00D60850" w:rsidP="00D60850">
            <w:pPr>
              <w:spacing w:before="60" w:after="60"/>
              <w:rPr>
                <w:szCs w:val="22"/>
                <w:lang w:val="en-GB"/>
              </w:rPr>
            </w:pPr>
            <w:r w:rsidRPr="00BA6703">
              <w:rPr>
                <w:szCs w:val="22"/>
                <w:lang w:val="en-GB"/>
              </w:rPr>
              <w:t>2595 DA Den Haag</w:t>
            </w:r>
            <w:r w:rsidRPr="00BA6703">
              <w:rPr>
                <w:szCs w:val="22"/>
                <w:lang w:val="en-GB"/>
              </w:rPr>
              <w:br/>
              <w:t>Netherlands</w:t>
            </w:r>
          </w:p>
        </w:tc>
        <w:tc>
          <w:tcPr>
            <w:tcW w:w="900" w:type="dxa"/>
          </w:tcPr>
          <w:p w:rsidR="00D60850" w:rsidRPr="00BA6703" w:rsidRDefault="00D60850" w:rsidP="00D60850">
            <w:pPr>
              <w:spacing w:before="60" w:after="60"/>
              <w:rPr>
                <w:szCs w:val="22"/>
                <w:lang w:val="en-GB"/>
              </w:rPr>
            </w:pPr>
            <w:r w:rsidRPr="00BA6703">
              <w:rPr>
                <w:szCs w:val="22"/>
                <w:lang w:val="en-GB"/>
              </w:rPr>
              <w:br/>
              <w:t>Tel:</w:t>
            </w:r>
            <w:r w:rsidRPr="00BA6703">
              <w:rPr>
                <w:szCs w:val="22"/>
                <w:lang w:val="en-GB"/>
              </w:rPr>
              <w:br/>
              <w:t>Email:</w:t>
            </w:r>
          </w:p>
        </w:tc>
        <w:tc>
          <w:tcPr>
            <w:tcW w:w="3168" w:type="dxa"/>
          </w:tcPr>
          <w:p w:rsidR="00D60850" w:rsidRPr="00BA6703" w:rsidRDefault="00D60850" w:rsidP="00D60850">
            <w:pPr>
              <w:spacing w:before="60" w:after="60"/>
              <w:rPr>
                <w:szCs w:val="22"/>
                <w:lang w:val="en-GB"/>
              </w:rPr>
            </w:pPr>
            <w:r w:rsidRPr="00BA6703">
              <w:rPr>
                <w:szCs w:val="22"/>
                <w:lang w:val="en-GB"/>
              </w:rPr>
              <w:br/>
              <w:t>+31 6 52 77 91 48</w:t>
            </w:r>
            <w:r w:rsidRPr="00BA6703">
              <w:rPr>
                <w:szCs w:val="22"/>
                <w:lang w:val="en-GB"/>
              </w:rPr>
              <w:br/>
            </w:r>
            <w:hyperlink r:id="rId10" w:history="1">
              <w:r w:rsidRPr="00BA6703">
                <w:rPr>
                  <w:rStyle w:val="Hyperlink"/>
                  <w:szCs w:val="22"/>
                  <w:lang w:val="en-GB"/>
                </w:rPr>
                <w:t>emmanuel.thomas@tno.nl</w:t>
              </w:r>
            </w:hyperlink>
            <w:r w:rsidRPr="00BA6703">
              <w:rPr>
                <w:szCs w:val="22"/>
                <w:lang w:val="en-GB"/>
              </w:rPr>
              <w:t xml:space="preserve"> </w:t>
            </w:r>
          </w:p>
        </w:tc>
      </w:tr>
      <w:tr w:rsidR="00D60850" w:rsidRPr="00BA6703">
        <w:tblPrEx>
          <w:tblCellMar>
            <w:top w:w="0" w:type="dxa"/>
            <w:bottom w:w="0" w:type="dxa"/>
          </w:tblCellMar>
        </w:tblPrEx>
        <w:tc>
          <w:tcPr>
            <w:tcW w:w="1458" w:type="dxa"/>
          </w:tcPr>
          <w:p w:rsidR="00D60850" w:rsidRPr="00BA6703" w:rsidRDefault="00D60850" w:rsidP="00D60850">
            <w:pPr>
              <w:spacing w:before="60" w:after="60"/>
              <w:rPr>
                <w:i/>
                <w:szCs w:val="22"/>
                <w:lang w:val="en-GB"/>
              </w:rPr>
            </w:pPr>
            <w:r w:rsidRPr="00BA6703">
              <w:rPr>
                <w:i/>
                <w:szCs w:val="22"/>
                <w:lang w:val="en-GB"/>
              </w:rPr>
              <w:t>Source:</w:t>
            </w:r>
          </w:p>
        </w:tc>
        <w:tc>
          <w:tcPr>
            <w:tcW w:w="8118" w:type="dxa"/>
            <w:gridSpan w:val="3"/>
          </w:tcPr>
          <w:p w:rsidR="00D60850" w:rsidRPr="00BA6703" w:rsidRDefault="00D60850" w:rsidP="00D60850">
            <w:pPr>
              <w:spacing w:before="60" w:after="60"/>
              <w:rPr>
                <w:szCs w:val="22"/>
                <w:lang w:val="en-GB"/>
              </w:rPr>
            </w:pPr>
            <w:r w:rsidRPr="00BA6703">
              <w:rPr>
                <w:szCs w:val="22"/>
                <w:lang w:val="en-GB"/>
              </w:rPr>
              <w:t>TNO</w:t>
            </w:r>
          </w:p>
        </w:tc>
      </w:tr>
    </w:tbl>
    <w:p w:rsidR="00E61DAC" w:rsidRPr="00BA6703" w:rsidRDefault="00E61DAC">
      <w:pPr>
        <w:tabs>
          <w:tab w:val="left" w:pos="1800"/>
          <w:tab w:val="right" w:pos="9360"/>
        </w:tabs>
        <w:spacing w:before="120" w:after="240"/>
        <w:jc w:val="center"/>
        <w:rPr>
          <w:szCs w:val="22"/>
          <w:lang w:val="en-GB"/>
        </w:rPr>
      </w:pPr>
      <w:r w:rsidRPr="00BA6703">
        <w:rPr>
          <w:szCs w:val="22"/>
          <w:u w:val="single"/>
          <w:lang w:val="en-GB"/>
        </w:rPr>
        <w:t>_____________________________</w:t>
      </w:r>
    </w:p>
    <w:p w:rsidR="00275BCF" w:rsidRPr="00BA6703" w:rsidRDefault="00275BCF" w:rsidP="009234A5">
      <w:pPr>
        <w:pStyle w:val="Heading1"/>
        <w:numPr>
          <w:ilvl w:val="0"/>
          <w:numId w:val="0"/>
        </w:numPr>
        <w:ind w:left="432" w:hanging="432"/>
        <w:rPr>
          <w:lang w:val="en-GB"/>
        </w:rPr>
      </w:pPr>
      <w:r w:rsidRPr="00BA6703">
        <w:rPr>
          <w:lang w:val="en-GB"/>
        </w:rPr>
        <w:t>Abstract</w:t>
      </w:r>
    </w:p>
    <w:p w:rsidR="00D60850" w:rsidRPr="00BA6703" w:rsidRDefault="00D60850" w:rsidP="00D60850">
      <w:pPr>
        <w:rPr>
          <w:lang w:val="en-GB"/>
        </w:rPr>
      </w:pPr>
      <w:r w:rsidRPr="00BA6703">
        <w:rPr>
          <w:lang w:val="en-GB"/>
        </w:rPr>
        <w:t>This contribution discusses challenges of streaming 360 video for Virtual Reality applications. Especially, the bottleneck of the available bandwidth is the main issue towards a high quality video streaming. Many new schemes to represent a spherical video have been proposed such that current video coding scheme</w:t>
      </w:r>
      <w:r w:rsidR="0061126D">
        <w:rPr>
          <w:lang w:val="en-GB"/>
        </w:rPr>
        <w:t>s</w:t>
      </w:r>
      <w:r w:rsidRPr="00BA6703">
        <w:rPr>
          <w:lang w:val="en-GB"/>
        </w:rPr>
        <w:t xml:space="preserve"> perform better. In addition, the selective streaming of the user viewpoint emerges in the literature as a tool to further reduce the bandwidth requirement. However, this selective download and decoding requires the video encoding to produce spatial random access point in the videos.</w:t>
      </w:r>
    </w:p>
    <w:p w:rsidR="00D60850" w:rsidRPr="00BA6703" w:rsidRDefault="00D60850" w:rsidP="00D60850">
      <w:pPr>
        <w:rPr>
          <w:lang w:val="en-GB"/>
        </w:rPr>
      </w:pPr>
      <w:r w:rsidRPr="00BA6703">
        <w:rPr>
          <w:lang w:val="en-GB"/>
        </w:rPr>
        <w:t xml:space="preserve">This contribution argues that video compression efficiency </w:t>
      </w:r>
      <w:r w:rsidR="009D0221" w:rsidRPr="00BA6703">
        <w:rPr>
          <w:lang w:val="en-GB"/>
        </w:rPr>
        <w:t>cannot</w:t>
      </w:r>
      <w:r w:rsidRPr="00BA6703">
        <w:rPr>
          <w:lang w:val="en-GB"/>
        </w:rPr>
        <w:t xml:space="preserve"> be the only criteria to judge omnidirectional video coding schemes and spatial random access in the video is at least as important as the</w:t>
      </w:r>
      <w:r w:rsidR="0061126D">
        <w:rPr>
          <w:lang w:val="en-GB"/>
        </w:rPr>
        <w:t xml:space="preserve"> compression efficiency criterion</w:t>
      </w:r>
      <w:r w:rsidRPr="00BA6703">
        <w:rPr>
          <w:lang w:val="en-GB"/>
        </w:rPr>
        <w:t>.</w:t>
      </w:r>
    </w:p>
    <w:p w:rsidR="00745F6B" w:rsidRPr="00BA6703" w:rsidRDefault="00745F6B" w:rsidP="00E11923">
      <w:pPr>
        <w:pStyle w:val="Heading1"/>
        <w:rPr>
          <w:lang w:val="en-GB"/>
        </w:rPr>
      </w:pPr>
      <w:r w:rsidRPr="00BA6703">
        <w:rPr>
          <w:lang w:val="en-GB"/>
        </w:rPr>
        <w:t>Pro</w:t>
      </w:r>
      <w:r w:rsidR="00BA6703">
        <w:rPr>
          <w:lang w:val="en-GB"/>
        </w:rPr>
        <w:t>blem Statement</w:t>
      </w:r>
    </w:p>
    <w:p w:rsidR="001F2594" w:rsidRDefault="00BA6703" w:rsidP="009234A5">
      <w:pPr>
        <w:jc w:val="both"/>
        <w:rPr>
          <w:szCs w:val="22"/>
          <w:lang w:val="en-GB"/>
        </w:rPr>
      </w:pPr>
      <w:r w:rsidRPr="00BA6703">
        <w:rPr>
          <w:szCs w:val="22"/>
          <w:lang w:val="en-GB"/>
        </w:rPr>
        <w:t xml:space="preserve">As shown in </w:t>
      </w:r>
      <w:r w:rsidRPr="00BA6703">
        <w:rPr>
          <w:szCs w:val="22"/>
          <w:lang w:val="en-GB"/>
        </w:rPr>
        <w:fldChar w:fldCharType="begin"/>
      </w:r>
      <w:r w:rsidRPr="00BA6703">
        <w:rPr>
          <w:szCs w:val="22"/>
          <w:lang w:val="en-GB"/>
        </w:rPr>
        <w:instrText xml:space="preserve"> REF _Ref451177385 \r \h </w:instrText>
      </w:r>
      <w:r w:rsidRPr="00BA6703">
        <w:rPr>
          <w:szCs w:val="22"/>
          <w:lang w:val="en-GB"/>
        </w:rPr>
      </w:r>
      <w:r w:rsidRPr="00BA6703">
        <w:rPr>
          <w:szCs w:val="22"/>
          <w:lang w:val="en-GB"/>
        </w:rPr>
        <w:fldChar w:fldCharType="separate"/>
      </w:r>
      <w:r w:rsidRPr="00BA6703">
        <w:rPr>
          <w:szCs w:val="22"/>
          <w:lang w:val="en-GB"/>
        </w:rPr>
        <w:t xml:space="preserve">[1] </w:t>
      </w:r>
      <w:r w:rsidRPr="00BA6703">
        <w:rPr>
          <w:szCs w:val="22"/>
          <w:lang w:val="en-GB"/>
        </w:rPr>
        <w:fldChar w:fldCharType="end"/>
      </w:r>
      <w:r w:rsidRPr="00BA6703">
        <w:rPr>
          <w:szCs w:val="22"/>
          <w:lang w:val="en-GB"/>
        </w:rPr>
        <w:t xml:space="preserve">, state-of-the-art omnidirectional video coding schemes usually </w:t>
      </w:r>
      <w:r>
        <w:rPr>
          <w:szCs w:val="22"/>
          <w:lang w:val="en-GB"/>
        </w:rPr>
        <w:t>start</w:t>
      </w:r>
      <w:r w:rsidRPr="00BA6703">
        <w:rPr>
          <w:szCs w:val="22"/>
          <w:lang w:val="en-GB"/>
        </w:rPr>
        <w:t xml:space="preserve"> with mapping the spherical video onto a cube. Next, the faces of cubes are rearranged in a rectangular fashion.</w:t>
      </w:r>
      <w:r>
        <w:rPr>
          <w:szCs w:val="22"/>
          <w:lang w:val="en-GB"/>
        </w:rPr>
        <w:t xml:space="preserve"> This way, visual distortions are reduced which yield better encoding efficiency with traditional video coding scheme.</w:t>
      </w:r>
    </w:p>
    <w:p w:rsidR="00BA6703" w:rsidRDefault="00BA6703" w:rsidP="00BA6703">
      <w:pPr>
        <w:jc w:val="both"/>
        <w:rPr>
          <w:szCs w:val="22"/>
          <w:lang w:val="en-GB"/>
        </w:rPr>
      </w:pPr>
      <w:r>
        <w:rPr>
          <w:szCs w:val="22"/>
          <w:lang w:val="en-GB"/>
        </w:rPr>
        <w:t xml:space="preserve">In </w:t>
      </w:r>
      <w:r>
        <w:rPr>
          <w:szCs w:val="22"/>
          <w:lang w:val="en-GB"/>
        </w:rPr>
        <w:fldChar w:fldCharType="begin"/>
      </w:r>
      <w:r>
        <w:rPr>
          <w:szCs w:val="22"/>
          <w:lang w:val="en-GB"/>
        </w:rPr>
        <w:instrText xml:space="preserve"> REF _Ref451177385 \r \h </w:instrText>
      </w:r>
      <w:r>
        <w:rPr>
          <w:szCs w:val="22"/>
          <w:lang w:val="en-GB"/>
        </w:rPr>
      </w:r>
      <w:r>
        <w:rPr>
          <w:szCs w:val="22"/>
          <w:lang w:val="en-GB"/>
        </w:rPr>
        <w:fldChar w:fldCharType="separate"/>
      </w:r>
      <w:r>
        <w:rPr>
          <w:szCs w:val="22"/>
          <w:lang w:val="en-GB"/>
        </w:rPr>
        <w:t>[1]</w:t>
      </w:r>
      <w:r>
        <w:rPr>
          <w:szCs w:val="22"/>
          <w:lang w:val="en-GB"/>
        </w:rPr>
        <w:fldChar w:fldCharType="end"/>
      </w:r>
      <w:r>
        <w:rPr>
          <w:szCs w:val="22"/>
          <w:lang w:val="en-GB"/>
        </w:rPr>
        <w:t>, the expert presents another rearrangement that preserve</w:t>
      </w:r>
      <w:r w:rsidR="009D0221">
        <w:rPr>
          <w:szCs w:val="22"/>
          <w:lang w:val="en-GB"/>
        </w:rPr>
        <w:t>s</w:t>
      </w:r>
      <w:r>
        <w:rPr>
          <w:szCs w:val="22"/>
          <w:lang w:val="en-GB"/>
        </w:rPr>
        <w:t xml:space="preserve"> continuity at the edges of the cube. This way, a higher compression efficiency is achieved compared to the arrangement presented in </w:t>
      </w:r>
      <w:r>
        <w:rPr>
          <w:szCs w:val="22"/>
          <w:lang w:val="en-GB"/>
        </w:rPr>
        <w:fldChar w:fldCharType="begin"/>
      </w:r>
      <w:r>
        <w:rPr>
          <w:szCs w:val="22"/>
          <w:lang w:val="en-GB"/>
        </w:rPr>
        <w:instrText xml:space="preserve"> REF _Ref451177724 \h </w:instrText>
      </w:r>
      <w:r>
        <w:rPr>
          <w:szCs w:val="22"/>
          <w:lang w:val="en-GB"/>
        </w:rPr>
      </w:r>
      <w:r>
        <w:rPr>
          <w:szCs w:val="22"/>
          <w:lang w:val="en-GB"/>
        </w:rPr>
        <w:fldChar w:fldCharType="separate"/>
      </w:r>
      <w:r>
        <w:t xml:space="preserve">Figure </w:t>
      </w:r>
      <w:r>
        <w:rPr>
          <w:noProof/>
        </w:rPr>
        <w:t>1</w:t>
      </w:r>
      <w:r>
        <w:rPr>
          <w:szCs w:val="22"/>
          <w:lang w:val="en-GB"/>
        </w:rPr>
        <w:fldChar w:fldCharType="end"/>
      </w:r>
      <w:r>
        <w:rPr>
          <w:szCs w:val="22"/>
          <w:lang w:val="en-GB"/>
        </w:rPr>
        <w:t>.</w:t>
      </w:r>
    </w:p>
    <w:p w:rsidR="009D0221" w:rsidRDefault="009D0221" w:rsidP="00BA6703">
      <w:pPr>
        <w:jc w:val="both"/>
        <w:rPr>
          <w:szCs w:val="22"/>
          <w:lang w:val="en-GB"/>
        </w:rPr>
      </w:pPr>
      <w:r>
        <w:rPr>
          <w:szCs w:val="22"/>
          <w:lang w:val="en-GB"/>
        </w:rPr>
        <w:t xml:space="preserve">However, the bandwidth requirement of streaming 360 </w:t>
      </w:r>
      <w:r w:rsidR="00196387">
        <w:rPr>
          <w:szCs w:val="22"/>
          <w:lang w:val="en-GB"/>
        </w:rPr>
        <w:t>videos</w:t>
      </w:r>
      <w:r>
        <w:rPr>
          <w:szCs w:val="22"/>
          <w:lang w:val="en-GB"/>
        </w:rPr>
        <w:t xml:space="preserve"> can be dramatically reduced by streaming only what is necessary to recreate the user’s viewpoint. It is indeed not needed to stream a high resolution view of the scene behind the user’s back. There are many initiatives investigating this technique as for instance </w:t>
      </w:r>
      <w:r w:rsidR="00196387">
        <w:rPr>
          <w:szCs w:val="22"/>
          <w:lang w:val="en-GB"/>
        </w:rPr>
        <w:t>the one proposed</w:t>
      </w:r>
      <w:r>
        <w:rPr>
          <w:szCs w:val="22"/>
          <w:lang w:val="en-GB"/>
        </w:rPr>
        <w:t xml:space="preserve"> by the Facebook team </w:t>
      </w:r>
      <w:r>
        <w:rPr>
          <w:szCs w:val="22"/>
          <w:lang w:val="en-GB"/>
        </w:rPr>
        <w:fldChar w:fldCharType="begin"/>
      </w:r>
      <w:r>
        <w:rPr>
          <w:szCs w:val="22"/>
          <w:lang w:val="en-GB"/>
        </w:rPr>
        <w:instrText xml:space="preserve"> REF _Ref451178282 \r \h </w:instrText>
      </w:r>
      <w:r>
        <w:rPr>
          <w:szCs w:val="22"/>
          <w:lang w:val="en-GB"/>
        </w:rPr>
      </w:r>
      <w:r>
        <w:rPr>
          <w:szCs w:val="22"/>
          <w:lang w:val="en-GB"/>
        </w:rPr>
        <w:fldChar w:fldCharType="separate"/>
      </w:r>
      <w:r>
        <w:rPr>
          <w:szCs w:val="22"/>
          <w:lang w:val="en-GB"/>
        </w:rPr>
        <w:t>[2]</w:t>
      </w:r>
      <w:r>
        <w:rPr>
          <w:szCs w:val="22"/>
          <w:lang w:val="en-GB"/>
        </w:rPr>
        <w:fldChar w:fldCharType="end"/>
      </w:r>
      <w:r>
        <w:rPr>
          <w:szCs w:val="22"/>
          <w:lang w:val="en-GB"/>
        </w:rPr>
        <w:t>. But for this to work, it is fundamental to allow spatial random access in the video</w:t>
      </w:r>
      <w:r w:rsidR="00196387">
        <w:rPr>
          <w:szCs w:val="22"/>
          <w:lang w:val="en-GB"/>
        </w:rPr>
        <w:t xml:space="preserve"> of each face of the cube</w:t>
      </w:r>
      <w:r>
        <w:rPr>
          <w:szCs w:val="22"/>
          <w:lang w:val="en-GB"/>
        </w:rPr>
        <w:t>. With the HEVC video coding standard, this is can achieved by using the HEVC tiles with a proper configuration of the encoder, e.g. constraining motions vectors to tile boundaries</w:t>
      </w:r>
      <w:r w:rsidR="00196387">
        <w:rPr>
          <w:szCs w:val="22"/>
          <w:lang w:val="en-GB"/>
        </w:rPr>
        <w:t xml:space="preserve">, as shown in </w:t>
      </w:r>
      <w:r w:rsidR="00196387">
        <w:rPr>
          <w:szCs w:val="22"/>
          <w:lang w:val="en-GB"/>
        </w:rPr>
        <w:fldChar w:fldCharType="begin"/>
      </w:r>
      <w:r w:rsidR="00196387">
        <w:rPr>
          <w:szCs w:val="22"/>
          <w:lang w:val="en-GB"/>
        </w:rPr>
        <w:instrText xml:space="preserve"> REF _Ref451178553 \h </w:instrText>
      </w:r>
      <w:r w:rsidR="00196387">
        <w:rPr>
          <w:szCs w:val="22"/>
          <w:lang w:val="en-GB"/>
        </w:rPr>
      </w:r>
      <w:r w:rsidR="00196387">
        <w:rPr>
          <w:szCs w:val="22"/>
          <w:lang w:val="en-GB"/>
        </w:rPr>
        <w:fldChar w:fldCharType="separate"/>
      </w:r>
      <w:r w:rsidR="00196387">
        <w:t xml:space="preserve">Figure </w:t>
      </w:r>
      <w:r w:rsidR="00196387">
        <w:rPr>
          <w:noProof/>
        </w:rPr>
        <w:t>2</w:t>
      </w:r>
      <w:r w:rsidR="00196387">
        <w:rPr>
          <w:szCs w:val="22"/>
          <w:lang w:val="en-GB"/>
        </w:rPr>
        <w:fldChar w:fldCharType="end"/>
      </w:r>
      <w:r w:rsidR="00196387">
        <w:rPr>
          <w:szCs w:val="22"/>
          <w:lang w:val="en-GB"/>
        </w:rPr>
        <w:t>.</w:t>
      </w:r>
    </w:p>
    <w:p w:rsidR="00196387" w:rsidRPr="00BA6703" w:rsidRDefault="00196387" w:rsidP="00BA6703">
      <w:pPr>
        <w:jc w:val="both"/>
        <w:rPr>
          <w:szCs w:val="22"/>
          <w:lang w:val="en-GB"/>
        </w:rPr>
      </w:pPr>
      <w:r>
        <w:rPr>
          <w:szCs w:val="22"/>
          <w:lang w:val="en-GB"/>
        </w:rPr>
        <w:t>Therefore, it appears that considering spatial random access becomes a key comparison criterion while compression efficiency remains important but the unique one.</w:t>
      </w:r>
    </w:p>
    <w:p w:rsidR="00BA6703" w:rsidRDefault="00BA6703" w:rsidP="00BA6703">
      <w:pPr>
        <w:keepNext/>
        <w:jc w:val="both"/>
      </w:pPr>
      <w:r w:rsidRPr="00BA6703">
        <w:rPr>
          <w:noProof/>
          <w:lang w:val="en-GB" w:eastAsia="nl-NL"/>
        </w:rPr>
        <w:lastRenderedPageBreak/>
        <w:pict>
          <v:shape id="Picture 23" o:spid="_x0000_i1025" type="#_x0000_t75" style="width:468pt;height:246.75pt;visibility:visible">
            <v:imagedata r:id="rId11" o:title=""/>
          </v:shape>
        </w:pict>
      </w:r>
    </w:p>
    <w:p w:rsidR="00BA6703" w:rsidRPr="00BA6703" w:rsidRDefault="00BA6703" w:rsidP="00BA6703">
      <w:pPr>
        <w:pStyle w:val="Caption"/>
        <w:jc w:val="center"/>
        <w:rPr>
          <w:szCs w:val="22"/>
          <w:lang w:val="en-GB"/>
        </w:rPr>
      </w:pPr>
      <w:bookmarkStart w:id="1" w:name="_Ref451177724"/>
      <w:r>
        <w:t xml:space="preserve">Figure </w:t>
      </w:r>
      <w:r>
        <w:fldChar w:fldCharType="begin"/>
      </w:r>
      <w:r>
        <w:instrText xml:space="preserve"> SEQ Figure \* ARABIC </w:instrText>
      </w:r>
      <w:r>
        <w:fldChar w:fldCharType="separate"/>
      </w:r>
      <w:r w:rsidR="00196387">
        <w:rPr>
          <w:noProof/>
        </w:rPr>
        <w:t>1</w:t>
      </w:r>
      <w:r>
        <w:fldChar w:fldCharType="end"/>
      </w:r>
      <w:bookmarkEnd w:id="1"/>
      <w:r>
        <w:t xml:space="preserve">- Cubic video representation presented in </w:t>
      </w:r>
      <w:r>
        <w:fldChar w:fldCharType="begin"/>
      </w:r>
      <w:r>
        <w:instrText xml:space="preserve"> REF _Ref451177385 \r \h </w:instrText>
      </w:r>
      <w:r>
        <w:fldChar w:fldCharType="separate"/>
      </w:r>
      <w:r>
        <w:t xml:space="preserve">[1] </w:t>
      </w:r>
      <w:r>
        <w:fldChar w:fldCharType="end"/>
      </w:r>
    </w:p>
    <w:p w:rsidR="00BA6703" w:rsidRDefault="00BA6703" w:rsidP="009234A5">
      <w:pPr>
        <w:jc w:val="both"/>
        <w:rPr>
          <w:szCs w:val="22"/>
          <w:lang w:val="en-GB"/>
        </w:rPr>
      </w:pPr>
    </w:p>
    <w:p w:rsidR="00196387" w:rsidRDefault="00196387" w:rsidP="00196387">
      <w:pPr>
        <w:keepNext/>
        <w:jc w:val="both"/>
      </w:pPr>
      <w:r>
        <w:rPr>
          <w:noProof/>
          <w:lang w:val="nl-NL" w:eastAsia="nl-NL"/>
        </w:rPr>
        <w:pict>
          <v:rect id="_x0000_s1056" style="position:absolute;left:0;text-align:left;margin-left:153pt;margin-top:129.9pt;width:160.5pt;height:122.25pt;z-index:251660800" filled="f" strokecolor="red" strokeweight="2.25pt"/>
        </w:pict>
      </w:r>
      <w:r>
        <w:rPr>
          <w:noProof/>
          <w:lang w:val="nl-NL" w:eastAsia="nl-NL"/>
        </w:rPr>
        <w:pict>
          <v:rect id="_x0000_s1055" style="position:absolute;left:0;text-align:left;margin-left:1.5pt;margin-top:129.9pt;width:152.25pt;height:122.25pt;z-index:251659776" filled="f" strokecolor="red" strokeweight="2.25pt"/>
        </w:pict>
      </w:r>
      <w:r>
        <w:rPr>
          <w:noProof/>
          <w:lang w:val="nl-NL" w:eastAsia="nl-NL"/>
        </w:rPr>
        <w:pict>
          <v:rect id="_x0000_s1057" style="position:absolute;left:0;text-align:left;margin-left:314.25pt;margin-top:129.9pt;width:152.25pt;height:122.25pt;z-index:251661824" filled="f" strokecolor="red" strokeweight="2.25pt"/>
        </w:pict>
      </w:r>
      <w:r>
        <w:rPr>
          <w:noProof/>
          <w:lang w:val="nl-NL" w:eastAsia="nl-NL"/>
        </w:rPr>
        <w:pict>
          <v:rect id="_x0000_s1053" style="position:absolute;left:0;text-align:left;margin-left:153pt;margin-top:6.9pt;width:160.5pt;height:122.25pt;z-index:251657728" filled="f" strokecolor="red" strokeweight="2.25pt"/>
        </w:pict>
      </w:r>
      <w:r>
        <w:rPr>
          <w:noProof/>
          <w:lang w:val="nl-NL" w:eastAsia="nl-NL"/>
        </w:rPr>
        <w:pict>
          <v:rect id="_x0000_s1054" style="position:absolute;left:0;text-align:left;margin-left:314.25pt;margin-top:6.9pt;width:152.25pt;height:122.25pt;z-index:251658752" filled="f" strokecolor="red" strokeweight="2.25pt"/>
        </w:pict>
      </w:r>
      <w:r w:rsidR="009D0221">
        <w:rPr>
          <w:noProof/>
          <w:lang w:val="nl-NL" w:eastAsia="nl-NL"/>
        </w:rPr>
        <w:pict>
          <v:rect id="_x0000_s1052" style="position:absolute;left:0;text-align:left;margin-left:1.5pt;margin-top:6.9pt;width:152.25pt;height:122.25pt;z-index:251656704" filled="f" strokecolor="red" strokeweight="2.25pt"/>
        </w:pict>
      </w:r>
      <w:r w:rsidR="009D0221" w:rsidRPr="00BA6703">
        <w:rPr>
          <w:noProof/>
          <w:lang w:val="en-GB" w:eastAsia="nl-NL"/>
        </w:rPr>
        <w:pict>
          <v:shape id="_x0000_i1026" type="#_x0000_t75" style="width:468pt;height:246.75pt;visibility:visible">
            <v:imagedata r:id="rId11" o:title=""/>
          </v:shape>
        </w:pict>
      </w:r>
    </w:p>
    <w:p w:rsidR="009D0221" w:rsidRPr="00BA6703" w:rsidRDefault="00196387" w:rsidP="00196387">
      <w:pPr>
        <w:pStyle w:val="Caption"/>
        <w:jc w:val="center"/>
        <w:rPr>
          <w:szCs w:val="22"/>
          <w:lang w:val="en-GB"/>
        </w:rPr>
      </w:pPr>
      <w:bookmarkStart w:id="2" w:name="_Ref451178553"/>
      <w:r>
        <w:t xml:space="preserve">Figure </w:t>
      </w:r>
      <w:r>
        <w:fldChar w:fldCharType="begin"/>
      </w:r>
      <w:r>
        <w:instrText xml:space="preserve"> SEQ Figure \* ARABIC </w:instrText>
      </w:r>
      <w:r>
        <w:fldChar w:fldCharType="separate"/>
      </w:r>
      <w:r>
        <w:rPr>
          <w:noProof/>
        </w:rPr>
        <w:t>2</w:t>
      </w:r>
      <w:r>
        <w:fldChar w:fldCharType="end"/>
      </w:r>
      <w:bookmarkEnd w:id="2"/>
      <w:r>
        <w:t xml:space="preserve"> - HEVC tiles for spatial random access of cube faces</w:t>
      </w:r>
    </w:p>
    <w:p w:rsidR="00BA6703" w:rsidRDefault="00BA6703" w:rsidP="00E11923">
      <w:pPr>
        <w:pStyle w:val="Heading1"/>
        <w:rPr>
          <w:lang w:val="en-GB"/>
        </w:rPr>
      </w:pPr>
      <w:r>
        <w:rPr>
          <w:lang w:val="en-GB"/>
        </w:rPr>
        <w:t>Conclusion</w:t>
      </w:r>
    </w:p>
    <w:p w:rsidR="00196387" w:rsidRPr="00196387" w:rsidRDefault="00196387" w:rsidP="00196387">
      <w:pPr>
        <w:rPr>
          <w:lang w:val="en-GB"/>
        </w:rPr>
      </w:pPr>
      <w:r>
        <w:rPr>
          <w:lang w:val="en-GB"/>
        </w:rPr>
        <w:t>This contribution advocates for considering spatial random access for comparing omnidirectional video coding schemes. For Virtual Reality applications, this can mean more bitrate reduction that a more efficient coding scheme for the entire spherical video.</w:t>
      </w:r>
      <w:r w:rsidRPr="00196387">
        <w:rPr>
          <w:lang w:val="en-GB"/>
        </w:rPr>
        <w:t xml:space="preserve"> </w:t>
      </w:r>
      <w:r>
        <w:rPr>
          <w:lang w:val="en-GB"/>
        </w:rPr>
        <w:t>In practice, it is proposed that when cubic formats are considered for comparison they should also be encoded using features similar to the HEVC tiles such that spatial random access is enabled. We believe that this will be a key aspect for mass deployments of VR 360 video streaming.</w:t>
      </w:r>
    </w:p>
    <w:p w:rsidR="001F2594" w:rsidRPr="00BA6703" w:rsidRDefault="001F2594" w:rsidP="00E11923">
      <w:pPr>
        <w:pStyle w:val="Heading1"/>
        <w:rPr>
          <w:lang w:val="en-GB"/>
        </w:rPr>
      </w:pPr>
      <w:r w:rsidRPr="00BA6703">
        <w:rPr>
          <w:lang w:val="en-GB"/>
        </w:rPr>
        <w:t>Patent rights declaration</w:t>
      </w:r>
      <w:r w:rsidR="00B94B06" w:rsidRPr="00BA6703">
        <w:rPr>
          <w:lang w:val="en-GB"/>
        </w:rPr>
        <w:t>(s)</w:t>
      </w:r>
    </w:p>
    <w:p w:rsidR="00342FF4" w:rsidRPr="00BA6703" w:rsidRDefault="00BA6703" w:rsidP="009234A5">
      <w:pPr>
        <w:jc w:val="both"/>
        <w:rPr>
          <w:szCs w:val="22"/>
          <w:lang w:val="en-GB"/>
        </w:rPr>
      </w:pPr>
      <w:r w:rsidRPr="00BA6703">
        <w:rPr>
          <w:b/>
          <w:szCs w:val="22"/>
          <w:lang w:val="en-GB"/>
        </w:rPr>
        <w:t>TNO</w:t>
      </w:r>
      <w:r w:rsidR="001F2594" w:rsidRPr="00BA6703">
        <w:rPr>
          <w:b/>
          <w:szCs w:val="22"/>
          <w:lang w:val="en-GB"/>
        </w:rPr>
        <w:t xml:space="preserve"> may have </w:t>
      </w:r>
      <w:r w:rsidR="0098551D" w:rsidRPr="00BA6703">
        <w:rPr>
          <w:b/>
          <w:szCs w:val="22"/>
          <w:lang w:val="en-GB"/>
        </w:rPr>
        <w:t>current or pending</w:t>
      </w:r>
      <w:r w:rsidR="001F2594" w:rsidRPr="00BA6703">
        <w:rPr>
          <w:b/>
          <w:szCs w:val="22"/>
          <w:lang w:val="en-GB"/>
        </w:rPr>
        <w:t xml:space="preserve"> </w:t>
      </w:r>
      <w:r w:rsidR="0098551D" w:rsidRPr="00BA6703">
        <w:rPr>
          <w:b/>
          <w:szCs w:val="22"/>
          <w:lang w:val="en-GB"/>
        </w:rPr>
        <w:t xml:space="preserve">patent rights </w:t>
      </w:r>
      <w:r w:rsidR="001F2594" w:rsidRPr="00BA6703">
        <w:rPr>
          <w:b/>
          <w:szCs w:val="22"/>
          <w:lang w:val="en-GB"/>
        </w:rPr>
        <w:t xml:space="preserve">relating to the technology described </w:t>
      </w:r>
      <w:r w:rsidR="002F164D" w:rsidRPr="00BA6703">
        <w:rPr>
          <w:b/>
          <w:szCs w:val="22"/>
          <w:lang w:val="en-GB"/>
        </w:rPr>
        <w:t xml:space="preserve">in </w:t>
      </w:r>
      <w:r w:rsidR="001F2594" w:rsidRPr="00BA6703">
        <w:rPr>
          <w:b/>
          <w:szCs w:val="22"/>
          <w:lang w:val="en-GB"/>
        </w:rPr>
        <w:t>this contribution and, conditioned on reciprocity, is prepared to grant licenses under reasonable and non-discriminatory terms as necessary for implementation of the resulting ITU-T Recommendation</w:t>
      </w:r>
      <w:r w:rsidR="002F164D" w:rsidRPr="00BA6703">
        <w:rPr>
          <w:b/>
          <w:szCs w:val="22"/>
          <w:lang w:val="en-GB"/>
        </w:rPr>
        <w:t xml:space="preserve"> | ISO/IEC </w:t>
      </w:r>
      <w:r w:rsidR="00A83253" w:rsidRPr="00BA6703">
        <w:rPr>
          <w:b/>
          <w:szCs w:val="22"/>
          <w:lang w:val="en-GB"/>
        </w:rPr>
        <w:t xml:space="preserve">International </w:t>
      </w:r>
      <w:r w:rsidR="002F164D" w:rsidRPr="00BA6703">
        <w:rPr>
          <w:b/>
          <w:szCs w:val="22"/>
          <w:lang w:val="en-GB"/>
        </w:rPr>
        <w:t>Standard</w:t>
      </w:r>
      <w:r w:rsidR="001F2594" w:rsidRPr="00BA6703">
        <w:rPr>
          <w:b/>
          <w:szCs w:val="22"/>
          <w:lang w:val="en-GB"/>
        </w:rPr>
        <w:t xml:space="preserve"> (per box 2 of the ITU-T/ITU-R/ISO/IEC patent statement and licensing declaration form).</w:t>
      </w:r>
    </w:p>
    <w:p w:rsidR="00BA6703" w:rsidRPr="00BA6703" w:rsidRDefault="00BA6703" w:rsidP="00BA6703">
      <w:pPr>
        <w:pStyle w:val="Heading1"/>
        <w:rPr>
          <w:lang w:val="en-GB"/>
        </w:rPr>
      </w:pPr>
      <w:r w:rsidRPr="00BA6703">
        <w:rPr>
          <w:lang w:val="en-GB"/>
        </w:rPr>
        <w:t>References</w:t>
      </w:r>
    </w:p>
    <w:p w:rsidR="00BA6703" w:rsidRDefault="003D586D" w:rsidP="00BA6703">
      <w:pPr>
        <w:numPr>
          <w:ilvl w:val="0"/>
          <w:numId w:val="12"/>
        </w:numPr>
        <w:rPr>
          <w:lang w:val="en-GB"/>
        </w:rPr>
      </w:pPr>
      <w:bookmarkStart w:id="3" w:name="_Ref450906890"/>
      <w:bookmarkStart w:id="4" w:name="_Ref451177385"/>
      <w:r>
        <w:rPr>
          <w:lang w:val="en-GB"/>
        </w:rPr>
        <w:t>JVET-C0021</w:t>
      </w:r>
      <w:r w:rsidR="00BA6703" w:rsidRPr="00BA6703">
        <w:rPr>
          <w:lang w:val="en-GB"/>
        </w:rPr>
        <w:t xml:space="preserve">, “GoPro test sequences for Virtual Reality video coding”, </w:t>
      </w:r>
      <w:r w:rsidR="00BA6703" w:rsidRPr="00BA6703">
        <w:rPr>
          <w:szCs w:val="22"/>
          <w:lang w:val="en-GB"/>
        </w:rPr>
        <w:t>Adeel Abbas</w:t>
      </w:r>
      <w:r w:rsidR="00BA6703" w:rsidRPr="00BA6703">
        <w:rPr>
          <w:lang w:val="en-GB"/>
        </w:rPr>
        <w:t xml:space="preserve">, Geneva, </w:t>
      </w:r>
      <w:bookmarkEnd w:id="3"/>
      <w:r w:rsidR="00BA6703" w:rsidRPr="00BA6703">
        <w:rPr>
          <w:lang w:val="en-GB"/>
        </w:rPr>
        <w:t>CH, 26–31 May 2016</w:t>
      </w:r>
      <w:bookmarkEnd w:id="4"/>
    </w:p>
    <w:p w:rsidR="009D0221" w:rsidRPr="00BA6703" w:rsidRDefault="009D0221" w:rsidP="009D0221">
      <w:pPr>
        <w:numPr>
          <w:ilvl w:val="0"/>
          <w:numId w:val="12"/>
        </w:numPr>
        <w:rPr>
          <w:lang w:val="en-GB"/>
        </w:rPr>
      </w:pPr>
      <w:bookmarkStart w:id="5" w:name="_Ref451178282"/>
      <w:r>
        <w:rPr>
          <w:lang w:val="en-GB"/>
        </w:rPr>
        <w:t>“</w:t>
      </w:r>
      <w:r w:rsidRPr="009D0221">
        <w:rPr>
          <w:lang w:val="en-GB"/>
        </w:rPr>
        <w:t>Under the hood: Building 360 video</w:t>
      </w:r>
      <w:r>
        <w:rPr>
          <w:lang w:val="en-GB"/>
        </w:rPr>
        <w:t xml:space="preserve">”, source: </w:t>
      </w:r>
      <w:hyperlink r:id="rId12" w:history="1">
        <w:r w:rsidRPr="0071648D">
          <w:rPr>
            <w:rStyle w:val="Hyperlink"/>
            <w:lang w:val="en-GB"/>
          </w:rPr>
          <w:t>https://code.facebook.com/posts/1638767863078802/under-the-hood-building-360-video/</w:t>
        </w:r>
      </w:hyperlink>
      <w:bookmarkEnd w:id="5"/>
      <w:r>
        <w:rPr>
          <w:lang w:val="en-GB"/>
        </w:rPr>
        <w:t xml:space="preserve"> </w:t>
      </w:r>
    </w:p>
    <w:p w:rsidR="007F1F8B" w:rsidRPr="00BA6703" w:rsidRDefault="007F1F8B" w:rsidP="009234A5">
      <w:pPr>
        <w:jc w:val="both"/>
        <w:rPr>
          <w:szCs w:val="22"/>
          <w:lang w:val="en-GB"/>
        </w:rPr>
      </w:pPr>
    </w:p>
    <w:sectPr w:rsidR="007F1F8B" w:rsidRPr="00BA6703"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759" w:rsidRDefault="00CF4759">
      <w:r>
        <w:separator/>
      </w:r>
    </w:p>
  </w:endnote>
  <w:endnote w:type="continuationSeparator" w:id="0">
    <w:p w:rsidR="00CF4759" w:rsidRDefault="00CF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47DFB">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47DFB">
      <w:rPr>
        <w:rStyle w:val="PageNumber"/>
        <w:noProof/>
      </w:rPr>
      <w:t>2016-05-16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759" w:rsidRDefault="00CF4759">
      <w:r>
        <w:separator/>
      </w:r>
    </w:p>
  </w:footnote>
  <w:footnote w:type="continuationSeparator" w:id="0">
    <w:p w:rsidR="00CF4759" w:rsidRDefault="00CF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D29190B"/>
    <w:multiLevelType w:val="hybridMultilevel"/>
    <w:tmpl w:val="BDCAA966"/>
    <w:lvl w:ilvl="0" w:tplc="2826812C">
      <w:start w:val="1"/>
      <w:numFmt w:val="decimal"/>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526E"/>
    <w:rsid w:val="00146152"/>
    <w:rsid w:val="00171371"/>
    <w:rsid w:val="00175A24"/>
    <w:rsid w:val="00187E58"/>
    <w:rsid w:val="00196387"/>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D586D"/>
    <w:rsid w:val="003D6342"/>
    <w:rsid w:val="003E6F90"/>
    <w:rsid w:val="003F5D0F"/>
    <w:rsid w:val="00414101"/>
    <w:rsid w:val="004234F0"/>
    <w:rsid w:val="00433DDB"/>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D16AB"/>
    <w:rsid w:val="005E1AC6"/>
    <w:rsid w:val="005F643D"/>
    <w:rsid w:val="005F6F1B"/>
    <w:rsid w:val="0061126D"/>
    <w:rsid w:val="00624B33"/>
    <w:rsid w:val="0063041A"/>
    <w:rsid w:val="00630AA2"/>
    <w:rsid w:val="00646707"/>
    <w:rsid w:val="00657F7E"/>
    <w:rsid w:val="00662E58"/>
    <w:rsid w:val="00664DCF"/>
    <w:rsid w:val="006C5D39"/>
    <w:rsid w:val="006D6D9B"/>
    <w:rsid w:val="006E2810"/>
    <w:rsid w:val="006E5417"/>
    <w:rsid w:val="006E72BC"/>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7DFB"/>
    <w:rsid w:val="00955F6D"/>
    <w:rsid w:val="0098551D"/>
    <w:rsid w:val="0099518F"/>
    <w:rsid w:val="009A523D"/>
    <w:rsid w:val="009B02A1"/>
    <w:rsid w:val="009D0221"/>
    <w:rsid w:val="009D7CE6"/>
    <w:rsid w:val="009F496B"/>
    <w:rsid w:val="00A01439"/>
    <w:rsid w:val="00A02E61"/>
    <w:rsid w:val="00A05CFF"/>
    <w:rsid w:val="00A13048"/>
    <w:rsid w:val="00A46843"/>
    <w:rsid w:val="00A56B97"/>
    <w:rsid w:val="00A6093D"/>
    <w:rsid w:val="00A767DC"/>
    <w:rsid w:val="00A76A6D"/>
    <w:rsid w:val="00A83253"/>
    <w:rsid w:val="00AA6E84"/>
    <w:rsid w:val="00AD05A8"/>
    <w:rsid w:val="00AE341B"/>
    <w:rsid w:val="00B07CA7"/>
    <w:rsid w:val="00B1279A"/>
    <w:rsid w:val="00B4194A"/>
    <w:rsid w:val="00B5222E"/>
    <w:rsid w:val="00B53179"/>
    <w:rsid w:val="00B600CD"/>
    <w:rsid w:val="00B61C96"/>
    <w:rsid w:val="00B73A2A"/>
    <w:rsid w:val="00B94B06"/>
    <w:rsid w:val="00B94C28"/>
    <w:rsid w:val="00BA6703"/>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4759"/>
    <w:rsid w:val="00CF558F"/>
    <w:rsid w:val="00D010C0"/>
    <w:rsid w:val="00D073E2"/>
    <w:rsid w:val="00D446EC"/>
    <w:rsid w:val="00D51BF0"/>
    <w:rsid w:val="00D55942"/>
    <w:rsid w:val="00D60850"/>
    <w:rsid w:val="00D807BF"/>
    <w:rsid w:val="00D82FCC"/>
    <w:rsid w:val="00DA17FC"/>
    <w:rsid w:val="00DA7887"/>
    <w:rsid w:val="00DB2C26"/>
    <w:rsid w:val="00DD02F4"/>
    <w:rsid w:val="00DD6622"/>
    <w:rsid w:val="00DE1C7C"/>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2488D"/>
    <w:rsid w:val="00F73032"/>
    <w:rsid w:val="00F848FC"/>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FC82F1C-70F4-4EE0-BA80-9CBED0C2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A670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252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de.facebook.com/posts/1638767863078802/under-the-hood-building-360-vide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mmanuel.thomas@tno.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797A6-8816-4D4F-868B-270DC2D5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682</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4425</CharactersWithSpaces>
  <SharedDoc>false</SharedDoc>
  <HLinks>
    <vt:vector size="12" baseType="variant">
      <vt:variant>
        <vt:i4>7733351</vt:i4>
      </vt:variant>
      <vt:variant>
        <vt:i4>27</vt:i4>
      </vt:variant>
      <vt:variant>
        <vt:i4>0</vt:i4>
      </vt:variant>
      <vt:variant>
        <vt:i4>5</vt:i4>
      </vt:variant>
      <vt:variant>
        <vt:lpwstr>https://code.facebook.com/posts/1638767863078802/under-the-hood-building-360-video/</vt:lpwstr>
      </vt:variant>
      <vt:variant>
        <vt:lpwstr/>
      </vt:variant>
      <vt:variant>
        <vt:i4>4980773</vt:i4>
      </vt:variant>
      <vt:variant>
        <vt:i4>0</vt:i4>
      </vt:variant>
      <vt:variant>
        <vt:i4>0</vt:i4>
      </vt:variant>
      <vt:variant>
        <vt:i4>5</vt:i4>
      </vt:variant>
      <vt:variant>
        <vt:lpwstr>mailto:emmanuel.thomas@tno.nl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Thomas, E.D.R. (Emmanuel)</cp:lastModifiedBy>
  <cp:revision>2</cp:revision>
  <cp:lastPrinted>1601-01-01T00:00:00Z</cp:lastPrinted>
  <dcterms:created xsi:type="dcterms:W3CDTF">2016-05-16T14:27:00Z</dcterms:created>
  <dcterms:modified xsi:type="dcterms:W3CDTF">2016-05-16T14:27:00Z</dcterms:modified>
</cp:coreProperties>
</file>