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DF10A0" w:rsidRPr="005B217D" w:rsidTr="000B22DB">
        <w:tc>
          <w:tcPr>
            <w:tcW w:w="6408" w:type="dxa"/>
          </w:tcPr>
          <w:p w:rsidR="00DF10A0" w:rsidRPr="005B217D" w:rsidRDefault="00DF10A0" w:rsidP="000B22DB">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3145573" wp14:editId="5E1EE4C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623BBBD9" wp14:editId="28A262F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78BAEC6D" wp14:editId="360CFDD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Joint Collaborative Team on Video Coding (JCT-VC)</w:t>
            </w:r>
          </w:p>
          <w:p w:rsidR="00DF10A0" w:rsidRPr="005B217D" w:rsidRDefault="00DF10A0" w:rsidP="000B22D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DF10A0" w:rsidRPr="005B217D" w:rsidRDefault="00DF10A0" w:rsidP="000B22DB">
            <w:pPr>
              <w:tabs>
                <w:tab w:val="left" w:pos="7200"/>
              </w:tabs>
              <w:spacing w:before="0"/>
              <w:rPr>
                <w:b/>
                <w:szCs w:val="22"/>
                <w:lang w:val="en-CA"/>
              </w:rPr>
            </w:pPr>
            <w:r>
              <w:rPr>
                <w:szCs w:val="22"/>
                <w:lang w:val="en-CA"/>
              </w:rPr>
              <w:t>13</w:t>
            </w:r>
            <w:r w:rsidRPr="005B217D">
              <w:rPr>
                <w:szCs w:val="22"/>
                <w:lang w:val="en-CA"/>
              </w:rPr>
              <w:t xml:space="preserve">th Meeting: </w:t>
            </w:r>
            <w:r w:rsidRPr="00B4194A">
              <w:rPr>
                <w:szCs w:val="22"/>
                <w:lang w:val="en-CA"/>
              </w:rPr>
              <w:t>Incheon, KR, 18–26 Apr. 2013</w:t>
            </w:r>
          </w:p>
        </w:tc>
        <w:tc>
          <w:tcPr>
            <w:tcW w:w="3168" w:type="dxa"/>
          </w:tcPr>
          <w:p w:rsidR="00DF10A0" w:rsidRPr="005B217D" w:rsidRDefault="00DF10A0" w:rsidP="00AC2C62">
            <w:pPr>
              <w:tabs>
                <w:tab w:val="left" w:pos="7200"/>
              </w:tabs>
              <w:rPr>
                <w:u w:val="single"/>
                <w:lang w:val="en-CA"/>
              </w:rPr>
            </w:pPr>
            <w:r w:rsidRPr="005B217D">
              <w:rPr>
                <w:lang w:val="en-CA"/>
              </w:rPr>
              <w:t>Document: JCTVC-</w:t>
            </w:r>
            <w:r>
              <w:rPr>
                <w:lang w:val="en-CA"/>
              </w:rPr>
              <w:t>M</w:t>
            </w:r>
            <w:r w:rsidR="00AC2C62" w:rsidRPr="00AC2C62">
              <w:rPr>
                <w:lang w:val="en-CA"/>
              </w:rPr>
              <w:t>0259</w:t>
            </w:r>
          </w:p>
        </w:tc>
      </w:tr>
    </w:tbl>
    <w:p w:rsidR="00DF10A0" w:rsidRPr="005B217D" w:rsidRDefault="00DF10A0" w:rsidP="00DF10A0">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DF10A0" w:rsidRPr="005B217D" w:rsidTr="000B22DB">
        <w:tc>
          <w:tcPr>
            <w:tcW w:w="1458" w:type="dxa"/>
          </w:tcPr>
          <w:p w:rsidR="00DF10A0" w:rsidRPr="005B217D" w:rsidRDefault="00DF10A0" w:rsidP="000B22DB">
            <w:pPr>
              <w:spacing w:before="60" w:after="60"/>
              <w:rPr>
                <w:i/>
                <w:szCs w:val="22"/>
                <w:lang w:val="en-CA"/>
              </w:rPr>
            </w:pPr>
            <w:r w:rsidRPr="005B217D">
              <w:rPr>
                <w:i/>
                <w:szCs w:val="22"/>
                <w:lang w:val="en-CA"/>
              </w:rPr>
              <w:t>Title:</w:t>
            </w:r>
          </w:p>
        </w:tc>
        <w:tc>
          <w:tcPr>
            <w:tcW w:w="8118" w:type="dxa"/>
            <w:gridSpan w:val="3"/>
          </w:tcPr>
          <w:p w:rsidR="00DF10A0" w:rsidRPr="005B217D" w:rsidRDefault="00DF10A0" w:rsidP="000B22DB">
            <w:pPr>
              <w:spacing w:before="60" w:after="60"/>
              <w:rPr>
                <w:b/>
                <w:szCs w:val="22"/>
                <w:lang w:val="en-CA"/>
              </w:rPr>
            </w:pPr>
            <w:r>
              <w:rPr>
                <w:b/>
                <w:szCs w:val="22"/>
                <w:lang w:val="en-CA"/>
              </w:rPr>
              <w:t>Encoder Optimization for SHVC: Enhancement Layer Lambda Refinement in RA Configurations</w:t>
            </w:r>
          </w:p>
        </w:tc>
      </w:tr>
      <w:tr w:rsidR="00DF10A0" w:rsidRPr="005B217D" w:rsidTr="000B22DB">
        <w:tc>
          <w:tcPr>
            <w:tcW w:w="1458" w:type="dxa"/>
          </w:tcPr>
          <w:p w:rsidR="00DF10A0" w:rsidRPr="005B217D" w:rsidRDefault="00DF10A0" w:rsidP="000B22DB">
            <w:pPr>
              <w:spacing w:before="60" w:after="60"/>
              <w:rPr>
                <w:i/>
                <w:szCs w:val="22"/>
                <w:lang w:val="en-CA"/>
              </w:rPr>
            </w:pPr>
            <w:r w:rsidRPr="005B217D">
              <w:rPr>
                <w:i/>
                <w:szCs w:val="22"/>
                <w:lang w:val="en-CA"/>
              </w:rPr>
              <w:t>Status:</w:t>
            </w:r>
          </w:p>
        </w:tc>
        <w:tc>
          <w:tcPr>
            <w:tcW w:w="8118" w:type="dxa"/>
            <w:gridSpan w:val="3"/>
          </w:tcPr>
          <w:p w:rsidR="00DF10A0" w:rsidRPr="005B217D" w:rsidRDefault="00DF10A0" w:rsidP="000B22DB">
            <w:pPr>
              <w:spacing w:before="60" w:after="60"/>
              <w:rPr>
                <w:szCs w:val="22"/>
                <w:lang w:val="en-CA"/>
              </w:rPr>
            </w:pPr>
            <w:r w:rsidRPr="005B217D">
              <w:rPr>
                <w:szCs w:val="22"/>
                <w:lang w:val="en-CA"/>
              </w:rPr>
              <w:t>Input Document to JCT-VC</w:t>
            </w:r>
          </w:p>
        </w:tc>
      </w:tr>
      <w:tr w:rsidR="00DF10A0" w:rsidRPr="005B217D" w:rsidTr="000B22DB">
        <w:tc>
          <w:tcPr>
            <w:tcW w:w="1458" w:type="dxa"/>
          </w:tcPr>
          <w:p w:rsidR="00DF10A0" w:rsidRPr="005B217D" w:rsidRDefault="00DF10A0" w:rsidP="000B22DB">
            <w:pPr>
              <w:spacing w:before="60" w:after="60"/>
              <w:rPr>
                <w:i/>
                <w:szCs w:val="22"/>
                <w:lang w:val="en-CA"/>
              </w:rPr>
            </w:pPr>
            <w:r w:rsidRPr="005B217D">
              <w:rPr>
                <w:i/>
                <w:szCs w:val="22"/>
                <w:lang w:val="en-CA"/>
              </w:rPr>
              <w:t>Purpose:</w:t>
            </w:r>
          </w:p>
        </w:tc>
        <w:tc>
          <w:tcPr>
            <w:tcW w:w="8118" w:type="dxa"/>
            <w:gridSpan w:val="3"/>
          </w:tcPr>
          <w:p w:rsidR="00DF10A0" w:rsidRPr="005B217D" w:rsidRDefault="00DF10A0" w:rsidP="000B22DB">
            <w:pPr>
              <w:spacing w:before="60" w:after="60"/>
              <w:rPr>
                <w:szCs w:val="22"/>
                <w:lang w:val="en-CA"/>
              </w:rPr>
            </w:pPr>
            <w:r w:rsidRPr="005B217D">
              <w:rPr>
                <w:szCs w:val="22"/>
                <w:lang w:val="en-CA"/>
              </w:rPr>
              <w:t>Proposal</w:t>
            </w:r>
          </w:p>
        </w:tc>
      </w:tr>
      <w:tr w:rsidR="00DF10A0" w:rsidRPr="005B217D" w:rsidTr="000B22DB">
        <w:tc>
          <w:tcPr>
            <w:tcW w:w="1458" w:type="dxa"/>
          </w:tcPr>
          <w:p w:rsidR="00DF10A0" w:rsidRPr="005B217D" w:rsidRDefault="00DF10A0" w:rsidP="000B22D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DF10A0" w:rsidRDefault="00DF10A0" w:rsidP="000B22DB">
            <w:pPr>
              <w:spacing w:before="60" w:after="60"/>
              <w:rPr>
                <w:szCs w:val="22"/>
                <w:lang w:val="en-CA"/>
              </w:rPr>
            </w:pPr>
            <w:r>
              <w:rPr>
                <w:szCs w:val="22"/>
                <w:lang w:val="en-CA"/>
              </w:rPr>
              <w:t>Xiang Li</w:t>
            </w:r>
          </w:p>
          <w:p w:rsidR="00DF10A0" w:rsidRDefault="00DF10A0" w:rsidP="000B22DB">
            <w:pPr>
              <w:spacing w:before="60" w:after="60"/>
              <w:rPr>
                <w:szCs w:val="22"/>
                <w:lang w:val="en-CA"/>
              </w:rPr>
            </w:pPr>
            <w:r>
              <w:rPr>
                <w:szCs w:val="22"/>
                <w:lang w:val="en-CA"/>
              </w:rPr>
              <w:t>Jianle Chen</w:t>
            </w:r>
          </w:p>
          <w:p w:rsidR="00DF10A0" w:rsidRPr="005B217D" w:rsidRDefault="00DF10A0" w:rsidP="000B22DB">
            <w:pPr>
              <w:spacing w:before="60" w:after="60"/>
              <w:rPr>
                <w:szCs w:val="22"/>
                <w:lang w:val="en-CA"/>
              </w:rPr>
            </w:pPr>
            <w:r>
              <w:rPr>
                <w:szCs w:val="22"/>
                <w:lang w:val="en-CA"/>
              </w:rPr>
              <w:t>Marta Karczewicz</w:t>
            </w:r>
          </w:p>
        </w:tc>
        <w:tc>
          <w:tcPr>
            <w:tcW w:w="900" w:type="dxa"/>
          </w:tcPr>
          <w:p w:rsidR="00DF10A0" w:rsidRPr="005B217D" w:rsidRDefault="00DF10A0" w:rsidP="000B22DB">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DF10A0" w:rsidRDefault="00CC0D39" w:rsidP="000B22DB">
            <w:pPr>
              <w:spacing w:before="60" w:after="60"/>
              <w:rPr>
                <w:rStyle w:val="Hyperlink"/>
                <w:szCs w:val="22"/>
                <w:lang w:val="en-CA"/>
              </w:rPr>
            </w:pPr>
            <w:hyperlink r:id="rId10" w:history="1">
              <w:r w:rsidR="00DF10A0" w:rsidRPr="00DB605D">
                <w:rPr>
                  <w:rStyle w:val="Hyperlink"/>
                  <w:szCs w:val="22"/>
                  <w:lang w:val="en-CA"/>
                </w:rPr>
                <w:t>lxiang@qti.qualcomm.com</w:t>
              </w:r>
            </w:hyperlink>
          </w:p>
          <w:p w:rsidR="00DF10A0" w:rsidRDefault="00CC0D39" w:rsidP="000B22DB">
            <w:pPr>
              <w:spacing w:before="60" w:after="60"/>
              <w:rPr>
                <w:szCs w:val="22"/>
                <w:lang w:val="en-CA"/>
              </w:rPr>
            </w:pPr>
            <w:hyperlink r:id="rId11" w:history="1">
              <w:r w:rsidR="00DF10A0" w:rsidRPr="00DB605D">
                <w:rPr>
                  <w:rStyle w:val="Hyperlink"/>
                  <w:szCs w:val="22"/>
                  <w:lang w:val="en-CA"/>
                </w:rPr>
                <w:t>cjianle@qti.qualcomm.com</w:t>
              </w:r>
            </w:hyperlink>
          </w:p>
          <w:p w:rsidR="00DF10A0" w:rsidRPr="005B217D" w:rsidRDefault="00CC0D39" w:rsidP="000B22DB">
            <w:pPr>
              <w:spacing w:before="60" w:after="60"/>
              <w:rPr>
                <w:szCs w:val="22"/>
                <w:lang w:val="en-CA"/>
              </w:rPr>
            </w:pPr>
            <w:hyperlink r:id="rId12" w:history="1">
              <w:r w:rsidR="00DF10A0" w:rsidRPr="00E560D6">
                <w:rPr>
                  <w:rStyle w:val="Hyperlink"/>
                  <w:szCs w:val="22"/>
                  <w:lang w:val="en-CA"/>
                </w:rPr>
                <w:t>martak@qti.qualcomm.com</w:t>
              </w:r>
            </w:hyperlink>
          </w:p>
        </w:tc>
      </w:tr>
      <w:tr w:rsidR="00DF10A0" w:rsidRPr="005B217D" w:rsidTr="000B22DB">
        <w:tc>
          <w:tcPr>
            <w:tcW w:w="1458" w:type="dxa"/>
          </w:tcPr>
          <w:p w:rsidR="00DF10A0" w:rsidRPr="005B217D" w:rsidRDefault="00DF10A0" w:rsidP="000B22DB">
            <w:pPr>
              <w:spacing w:before="60" w:after="60"/>
              <w:rPr>
                <w:i/>
                <w:szCs w:val="22"/>
                <w:lang w:val="en-CA"/>
              </w:rPr>
            </w:pPr>
            <w:r w:rsidRPr="005B217D">
              <w:rPr>
                <w:i/>
                <w:szCs w:val="22"/>
                <w:lang w:val="en-CA"/>
              </w:rPr>
              <w:t>Source:</w:t>
            </w:r>
          </w:p>
        </w:tc>
        <w:tc>
          <w:tcPr>
            <w:tcW w:w="8118" w:type="dxa"/>
            <w:gridSpan w:val="3"/>
          </w:tcPr>
          <w:p w:rsidR="00DF10A0" w:rsidRPr="005B217D" w:rsidRDefault="00DF10A0" w:rsidP="000B22DB">
            <w:pPr>
              <w:spacing w:before="60" w:after="60"/>
              <w:rPr>
                <w:szCs w:val="22"/>
                <w:lang w:val="en-CA"/>
              </w:rPr>
            </w:pPr>
            <w:r>
              <w:rPr>
                <w:szCs w:val="22"/>
                <w:lang w:val="en-CA"/>
              </w:rPr>
              <w:t>Qualcomm Incorporated</w:t>
            </w:r>
          </w:p>
        </w:tc>
      </w:tr>
    </w:tbl>
    <w:p w:rsidR="00DF10A0" w:rsidRPr="005B217D" w:rsidRDefault="00DF10A0" w:rsidP="00DF10A0">
      <w:pPr>
        <w:tabs>
          <w:tab w:val="left" w:pos="1800"/>
          <w:tab w:val="right" w:pos="9360"/>
        </w:tabs>
        <w:spacing w:before="120" w:after="240"/>
        <w:jc w:val="center"/>
        <w:rPr>
          <w:szCs w:val="22"/>
          <w:lang w:val="en-CA"/>
        </w:rPr>
      </w:pPr>
      <w:r w:rsidRPr="005B217D">
        <w:rPr>
          <w:szCs w:val="22"/>
          <w:u w:val="single"/>
          <w:lang w:val="en-CA"/>
        </w:rPr>
        <w:t>_____________________________</w:t>
      </w:r>
    </w:p>
    <w:p w:rsidR="00DF10A0" w:rsidRDefault="00DF10A0" w:rsidP="00DF10A0">
      <w:pPr>
        <w:pStyle w:val="Heading1"/>
        <w:numPr>
          <w:ilvl w:val="0"/>
          <w:numId w:val="0"/>
        </w:numPr>
        <w:ind w:left="432" w:hanging="432"/>
        <w:rPr>
          <w:lang w:val="en-CA"/>
        </w:rPr>
      </w:pPr>
      <w:r w:rsidRPr="005B217D">
        <w:rPr>
          <w:lang w:val="en-CA"/>
        </w:rPr>
        <w:t>Abstract</w:t>
      </w:r>
    </w:p>
    <w:p w:rsidR="00DF10A0" w:rsidRPr="00A45DEC" w:rsidRDefault="00DF10A0" w:rsidP="00DF10A0">
      <w:pPr>
        <w:jc w:val="both"/>
        <w:rPr>
          <w:lang w:val="en-CA"/>
        </w:rPr>
      </w:pPr>
      <w:r>
        <w:rPr>
          <w:lang w:val="en-CA"/>
        </w:rPr>
        <w:t xml:space="preserve">In this proposal, an enhancement layer encoder optimization method is proposed for SHVC RA configurations. Lagrange multiplier in rate-distortion module of enhancement layer is refined based on temporal level, resolution ratio and QP gap between base and enhancement layer. It is reported that on average 0.8%, 1.1% and 1.2% BD-rate reduction was obtained for Y, U, and V components in both IBL and </w:t>
      </w:r>
      <w:proofErr w:type="spellStart"/>
      <w:r>
        <w:rPr>
          <w:lang w:val="en-CA"/>
        </w:rPr>
        <w:t>RefIdx</w:t>
      </w:r>
      <w:proofErr w:type="spellEnd"/>
      <w:r>
        <w:rPr>
          <w:lang w:val="en-CA"/>
        </w:rPr>
        <w:t xml:space="preserve"> frameworks.  </w:t>
      </w:r>
    </w:p>
    <w:p w:rsidR="00DF10A0" w:rsidRDefault="00DF10A0" w:rsidP="00DF10A0">
      <w:pPr>
        <w:pStyle w:val="Heading1"/>
        <w:rPr>
          <w:lang w:val="en-CA"/>
        </w:rPr>
      </w:pPr>
      <w:r>
        <w:rPr>
          <w:lang w:val="en-CA"/>
        </w:rPr>
        <w:t>Introduction</w:t>
      </w:r>
    </w:p>
    <w:p w:rsidR="00DF10A0" w:rsidRDefault="00DF10A0" w:rsidP="00DF10A0">
      <w:pPr>
        <w:jc w:val="both"/>
        <w:rPr>
          <w:lang w:val="en-CA"/>
        </w:rPr>
      </w:pPr>
      <w:r>
        <w:rPr>
          <w:lang w:val="en-CA"/>
        </w:rPr>
        <w:t xml:space="preserve">Lagrange multiplier </w:t>
      </w:r>
      <m:oMath>
        <m:r>
          <w:rPr>
            <w:rFonts w:ascii="Cambria Math" w:hAnsi="Cambria Math"/>
            <w:lang w:val="en-CA"/>
          </w:rPr>
          <m:t>λ</m:t>
        </m:r>
      </m:oMath>
      <w:r>
        <w:rPr>
          <w:lang w:val="en-CA"/>
        </w:rPr>
        <w:t xml:space="preserve"> is a key parameter in rate-distortion module of video encoder such as HM and JM software. In the two reference software, lambda is determined by quantization step </w:t>
      </w:r>
      <m:oMath>
        <m:r>
          <w:rPr>
            <w:rFonts w:ascii="Cambria Math" w:hAnsi="Cambria Math"/>
            <w:lang w:val="en-CA"/>
          </w:rPr>
          <m:t>Q</m:t>
        </m:r>
      </m:oMath>
      <w:r>
        <w:rPr>
          <w:lang w:val="en-CA"/>
        </w:rPr>
        <w:t xml:space="preserve"> of the block, namely</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7"/>
        <w:gridCol w:w="6703"/>
        <w:gridCol w:w="1436"/>
      </w:tblGrid>
      <w:tr w:rsidR="00DF10A0" w:rsidRPr="001A15CF" w:rsidTr="000B22DB">
        <w:tc>
          <w:tcPr>
            <w:tcW w:w="750" w:type="pct"/>
          </w:tcPr>
          <w:p w:rsidR="00DF10A0" w:rsidRPr="001A15CF" w:rsidRDefault="00DF10A0" w:rsidP="000B22DB">
            <w:pPr>
              <w:spacing w:before="120"/>
              <w:jc w:val="both"/>
              <w:rPr>
                <w:szCs w:val="22"/>
              </w:rPr>
            </w:pPr>
          </w:p>
        </w:tc>
        <w:tc>
          <w:tcPr>
            <w:tcW w:w="3500" w:type="pct"/>
          </w:tcPr>
          <w:p w:rsidR="00DF10A0" w:rsidRPr="001A15CF" w:rsidRDefault="00DF10A0" w:rsidP="000B22DB">
            <w:pPr>
              <w:spacing w:before="120"/>
              <w:ind w:left="360"/>
              <w:jc w:val="center"/>
              <w:rPr>
                <w:szCs w:val="22"/>
              </w:rPr>
            </w:pPr>
            <m:oMathPara>
              <m:oMath>
                <m:r>
                  <w:rPr>
                    <w:rFonts w:ascii="Cambria Math" w:hAnsi="Cambria Math"/>
                    <w:szCs w:val="22"/>
                  </w:rPr>
                  <m:t>λ=c ⋅</m:t>
                </m:r>
                <m:sSup>
                  <m:sSupPr>
                    <m:ctrlPr>
                      <w:rPr>
                        <w:rFonts w:ascii="Cambria Math" w:hAnsi="Cambria Math"/>
                        <w:i/>
                        <w:szCs w:val="22"/>
                      </w:rPr>
                    </m:ctrlPr>
                  </m:sSupPr>
                  <m:e>
                    <m:r>
                      <w:rPr>
                        <w:rFonts w:ascii="Cambria Math" w:hAnsi="Cambria Math"/>
                        <w:szCs w:val="22"/>
                      </w:rPr>
                      <m:t>Q</m:t>
                    </m:r>
                  </m:e>
                  <m:sup>
                    <m:r>
                      <w:rPr>
                        <w:rFonts w:ascii="Cambria Math" w:hAnsi="Cambria Math"/>
                        <w:szCs w:val="22"/>
                      </w:rPr>
                      <m:t>2</m:t>
                    </m:r>
                  </m:sup>
                </m:sSup>
              </m:oMath>
            </m:oMathPara>
          </w:p>
        </w:tc>
        <w:tc>
          <w:tcPr>
            <w:tcW w:w="750" w:type="pct"/>
          </w:tcPr>
          <w:p w:rsidR="00DF10A0" w:rsidRPr="001A15CF" w:rsidRDefault="00DF10A0" w:rsidP="00DF10A0">
            <w:pPr>
              <w:pStyle w:val="ListParagraph"/>
              <w:numPr>
                <w:ilvl w:val="0"/>
                <w:numId w:val="3"/>
              </w:numPr>
              <w:spacing w:before="120" w:after="0" w:line="240" w:lineRule="auto"/>
              <w:jc w:val="right"/>
              <w:rPr>
                <w:rFonts w:ascii="Times New Roman" w:eastAsia="Times New Roman" w:hAnsi="Times New Roman"/>
                <w:lang w:eastAsia="en-US"/>
              </w:rPr>
            </w:pPr>
          </w:p>
        </w:tc>
      </w:tr>
    </w:tbl>
    <w:p w:rsidR="00DF10A0" w:rsidRDefault="00DF10A0" w:rsidP="00DF10A0">
      <w:pPr>
        <w:jc w:val="both"/>
        <w:rPr>
          <w:lang w:val="en-CA"/>
        </w:rPr>
      </w:pPr>
      <w:r>
        <w:rPr>
          <w:lang w:val="en-CA"/>
        </w:rPr>
        <w:t xml:space="preserve">In the reference software JSVM for H.264/AVC SVC extension, </w:t>
      </w:r>
      <m:oMath>
        <m:r>
          <w:rPr>
            <w:rFonts w:ascii="Cambria Math" w:hAnsi="Cambria Math"/>
            <w:lang w:val="en-CA"/>
          </w:rPr>
          <m:t>λ</m:t>
        </m:r>
      </m:oMath>
      <w:r>
        <w:rPr>
          <w:lang w:val="en-CA"/>
        </w:rPr>
        <w:t xml:space="preserve"> of enhancement layer can be determined by not only quantization step </w:t>
      </w:r>
      <m:oMath>
        <m:r>
          <w:rPr>
            <w:rFonts w:ascii="Cambria Math" w:hAnsi="Cambria Math"/>
            <w:lang w:val="en-CA"/>
          </w:rPr>
          <m:t>Q</m:t>
        </m:r>
      </m:oMath>
      <w:r>
        <w:rPr>
          <w:lang w:val="en-CA"/>
        </w:rPr>
        <w:t xml:space="preserve"> of the block, but also the spatial ratio </w:t>
      </w:r>
      <m:oMath>
        <m:r>
          <w:rPr>
            <w:rFonts w:ascii="Cambria Math" w:hAnsi="Cambria Math"/>
            <w:lang w:val="en-CA"/>
          </w:rPr>
          <m:t>β=</m:t>
        </m:r>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h</m:t>
                </m:r>
              </m:e>
              <m:sub>
                <m:r>
                  <w:rPr>
                    <w:rFonts w:ascii="Cambria Math" w:hAnsi="Cambria Math"/>
                    <w:lang w:val="en-CA"/>
                  </w:rPr>
                  <m:t>1</m:t>
                </m:r>
              </m:sub>
            </m:sSub>
            <m:r>
              <w:rPr>
                <w:rFonts w:ascii="Cambria Math" w:hAnsi="Cambria Math"/>
                <w:lang w:val="en-CA"/>
              </w:rPr>
              <m:t>)/(w</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h</m:t>
            </m:r>
          </m:e>
          <m:sub>
            <m:r>
              <w:rPr>
                <w:rFonts w:ascii="Cambria Math" w:hAnsi="Cambria Math"/>
                <w:lang w:val="en-CA"/>
              </w:rPr>
              <m:t>0</m:t>
            </m:r>
          </m:sub>
        </m:sSub>
        <m:r>
          <w:rPr>
            <w:rFonts w:ascii="Cambria Math" w:hAnsi="Cambria Math"/>
            <w:lang w:val="en-CA"/>
          </w:rPr>
          <m:t>)</m:t>
        </m:r>
      </m:oMath>
      <w:r>
        <w:rPr>
          <w:lang w:val="en-CA"/>
        </w:rPr>
        <w:t xml:space="preserve"> and QP gap </w:t>
      </w:r>
      <m:oMath>
        <m:r>
          <m:rPr>
            <m:sty m:val="p"/>
          </m:rPr>
          <w:rPr>
            <w:rFonts w:ascii="Cambria Math" w:hAnsi="Cambria Math"/>
            <w:lang w:val="en-CA"/>
          </w:rPr>
          <m:t>Δ</m:t>
        </m:r>
        <m:r>
          <w:rPr>
            <w:rFonts w:ascii="Cambria Math" w:hAnsi="Cambria Math"/>
            <w:lang w:val="en-CA"/>
          </w:rPr>
          <m:t>QP=Q</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0</m:t>
            </m:r>
          </m:sub>
        </m:sSub>
        <m:r>
          <w:rPr>
            <w:rFonts w:ascii="Cambria Math" w:hAnsi="Cambria Math"/>
            <w:lang w:val="en-CA"/>
          </w:rPr>
          <m:t>-Q</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1</m:t>
            </m:r>
          </m:sub>
        </m:sSub>
      </m:oMath>
      <w:r>
        <w:rPr>
          <w:lang w:val="en-CA"/>
        </w:rPr>
        <w:t xml:space="preserve"> between the two layers </w:t>
      </w:r>
      <w:r>
        <w:rPr>
          <w:lang w:val="en-CA"/>
        </w:rPr>
        <w:fldChar w:fldCharType="begin"/>
      </w:r>
      <w:r>
        <w:rPr>
          <w:lang w:val="en-CA"/>
        </w:rPr>
        <w:instrText xml:space="preserve"> REF _Ref353044922 \r \h </w:instrText>
      </w:r>
      <w:r>
        <w:rPr>
          <w:lang w:val="en-CA"/>
        </w:rPr>
      </w:r>
      <w:r>
        <w:rPr>
          <w:lang w:val="en-CA"/>
        </w:rPr>
        <w:fldChar w:fldCharType="separate"/>
      </w:r>
      <w:r>
        <w:rPr>
          <w:lang w:val="en-CA"/>
        </w:rPr>
        <w:t>[1]</w:t>
      </w:r>
      <w:r>
        <w:rPr>
          <w:lang w:val="en-CA"/>
        </w:rPr>
        <w:fldChar w:fldCharType="end"/>
      </w:r>
      <w:r>
        <w:rPr>
          <w:lang w:val="en-CA"/>
        </w:rPr>
        <w:fldChar w:fldCharType="begin"/>
      </w:r>
      <w:r>
        <w:rPr>
          <w:lang w:val="en-CA"/>
        </w:rPr>
        <w:instrText xml:space="preserve"> REF _Ref353045733 \r \h </w:instrText>
      </w:r>
      <w:r>
        <w:rPr>
          <w:lang w:val="en-CA"/>
        </w:rPr>
      </w:r>
      <w:r>
        <w:rPr>
          <w:lang w:val="en-CA"/>
        </w:rPr>
        <w:fldChar w:fldCharType="separate"/>
      </w:r>
      <w:r>
        <w:rPr>
          <w:lang w:val="en-CA"/>
        </w:rPr>
        <w:t>[2]</w:t>
      </w:r>
      <w:r>
        <w:rPr>
          <w:lang w:val="en-CA"/>
        </w:rPr>
        <w:fldChar w:fldCharType="end"/>
      </w:r>
      <w:r>
        <w:rPr>
          <w:lang w:val="en-CA"/>
        </w:rPr>
        <w:t>, i.e.,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7"/>
        <w:gridCol w:w="6703"/>
        <w:gridCol w:w="1436"/>
      </w:tblGrid>
      <w:tr w:rsidR="00DF10A0" w:rsidRPr="001A15CF" w:rsidTr="000B22DB">
        <w:tc>
          <w:tcPr>
            <w:tcW w:w="750" w:type="pct"/>
            <w:vAlign w:val="center"/>
          </w:tcPr>
          <w:p w:rsidR="00DF10A0" w:rsidRPr="001A15CF" w:rsidRDefault="00DF10A0" w:rsidP="000B22DB">
            <w:pPr>
              <w:spacing w:before="120"/>
              <w:jc w:val="center"/>
              <w:rPr>
                <w:szCs w:val="22"/>
              </w:rPr>
            </w:pPr>
          </w:p>
        </w:tc>
        <w:tc>
          <w:tcPr>
            <w:tcW w:w="3500" w:type="pct"/>
            <w:vAlign w:val="center"/>
          </w:tcPr>
          <w:p w:rsidR="00DF10A0" w:rsidRPr="001A15CF" w:rsidRDefault="00DF10A0" w:rsidP="000B22DB">
            <w:pPr>
              <w:spacing w:before="120"/>
              <w:ind w:left="360"/>
              <w:jc w:val="center"/>
              <w:rPr>
                <w:szCs w:val="22"/>
              </w:rPr>
            </w:pPr>
            <m:oMathPara>
              <m:oMath>
                <m:r>
                  <w:rPr>
                    <w:rFonts w:ascii="Cambria Math" w:hAnsi="Cambria Math"/>
                    <w:szCs w:val="22"/>
                  </w:rPr>
                  <m:t>λ=</m:t>
                </m:r>
                <m:d>
                  <m:dPr>
                    <m:ctrlPr>
                      <w:rPr>
                        <w:rFonts w:ascii="Cambria Math" w:hAnsi="Cambria Math"/>
                        <w:i/>
                        <w:szCs w:val="22"/>
                      </w:rPr>
                    </m:ctrlPr>
                  </m:dPr>
                  <m:e>
                    <m:r>
                      <w:rPr>
                        <w:rFonts w:ascii="Cambria Math" w:hAnsi="Cambria Math"/>
                        <w:szCs w:val="22"/>
                      </w:rPr>
                      <m:t>c ⋅</m:t>
                    </m:r>
                    <m:sSup>
                      <m:sSupPr>
                        <m:ctrlPr>
                          <w:rPr>
                            <w:rFonts w:ascii="Cambria Math" w:hAnsi="Cambria Math"/>
                            <w:i/>
                            <w:szCs w:val="22"/>
                          </w:rPr>
                        </m:ctrlPr>
                      </m:sSupPr>
                      <m:e>
                        <m:r>
                          <w:rPr>
                            <w:rFonts w:ascii="Cambria Math" w:hAnsi="Cambria Math"/>
                            <w:szCs w:val="22"/>
                          </w:rPr>
                          <m:t>Q</m:t>
                        </m:r>
                      </m:e>
                      <m:sup>
                        <m:r>
                          <w:rPr>
                            <w:rFonts w:ascii="Cambria Math" w:hAnsi="Cambria Math"/>
                            <w:szCs w:val="22"/>
                          </w:rPr>
                          <m:t>2</m:t>
                        </m:r>
                      </m:sup>
                    </m:sSup>
                  </m:e>
                </m:d>
                <m:r>
                  <w:rPr>
                    <w:rFonts w:ascii="Cambria Math" w:hAnsi="Cambria Math"/>
                    <w:szCs w:val="22"/>
                  </w:rPr>
                  <m:t>⋅</m:t>
                </m:r>
                <m:f>
                  <m:fPr>
                    <m:ctrlPr>
                      <w:rPr>
                        <w:rFonts w:ascii="Cambria Math" w:hAnsi="Cambria Math"/>
                        <w:i/>
                        <w:szCs w:val="22"/>
                      </w:rPr>
                    </m:ctrlPr>
                  </m:fPr>
                  <m:num>
                    <m:r>
                      <w:rPr>
                        <w:rFonts w:ascii="Cambria Math" w:hAnsi="Cambria Math"/>
                        <w:szCs w:val="22"/>
                      </w:rPr>
                      <m:t>β⋅</m:t>
                    </m:r>
                    <m:sSup>
                      <m:sSupPr>
                        <m:ctrlPr>
                          <w:rPr>
                            <w:rFonts w:ascii="Cambria Math" w:hAnsi="Cambria Math"/>
                            <w:i/>
                            <w:szCs w:val="22"/>
                          </w:rPr>
                        </m:ctrlPr>
                      </m:sSupPr>
                      <m:e>
                        <m:r>
                          <w:rPr>
                            <w:rFonts w:ascii="Cambria Math" w:hAnsi="Cambria Math"/>
                            <w:szCs w:val="22"/>
                          </w:rPr>
                          <m:t>2</m:t>
                        </m:r>
                      </m:e>
                      <m:sup>
                        <m:r>
                          <m:rPr>
                            <m:sty m:val="p"/>
                          </m:rPr>
                          <w:rPr>
                            <w:rFonts w:ascii="Cambria Math" w:hAnsi="Cambria Math"/>
                            <w:szCs w:val="22"/>
                          </w:rPr>
                          <m:t>Δ</m:t>
                        </m:r>
                        <m:r>
                          <w:rPr>
                            <w:rFonts w:ascii="Cambria Math" w:hAnsi="Cambria Math"/>
                            <w:szCs w:val="22"/>
                          </w:rPr>
                          <m:t>QP/6</m:t>
                        </m:r>
                      </m:sup>
                    </m:sSup>
                  </m:num>
                  <m:den>
                    <m:r>
                      <w:rPr>
                        <w:rFonts w:ascii="Cambria Math" w:hAnsi="Cambria Math"/>
                        <w:szCs w:val="22"/>
                      </w:rPr>
                      <m:t>β⋅</m:t>
                    </m:r>
                    <m:sSup>
                      <m:sSupPr>
                        <m:ctrlPr>
                          <w:rPr>
                            <w:rFonts w:ascii="Cambria Math" w:hAnsi="Cambria Math"/>
                            <w:i/>
                            <w:szCs w:val="22"/>
                          </w:rPr>
                        </m:ctrlPr>
                      </m:sSupPr>
                      <m:e>
                        <m:r>
                          <w:rPr>
                            <w:rFonts w:ascii="Cambria Math" w:hAnsi="Cambria Math"/>
                            <w:szCs w:val="22"/>
                          </w:rPr>
                          <m:t>2</m:t>
                        </m:r>
                      </m:e>
                      <m:sup>
                        <m:f>
                          <m:fPr>
                            <m:ctrlPr>
                              <w:rPr>
                                <w:rFonts w:ascii="Cambria Math" w:hAnsi="Cambria Math"/>
                                <w:i/>
                                <w:szCs w:val="22"/>
                              </w:rPr>
                            </m:ctrlPr>
                          </m:fPr>
                          <m:num>
                            <m:r>
                              <m:rPr>
                                <m:sty m:val="p"/>
                              </m:rPr>
                              <w:rPr>
                                <w:rFonts w:ascii="Cambria Math" w:hAnsi="Cambria Math"/>
                                <w:szCs w:val="22"/>
                              </w:rPr>
                              <m:t>Δ</m:t>
                            </m:r>
                            <m:r>
                              <w:rPr>
                                <w:rFonts w:ascii="Cambria Math" w:hAnsi="Cambria Math"/>
                                <w:szCs w:val="22"/>
                              </w:rPr>
                              <m:t>QP</m:t>
                            </m:r>
                          </m:num>
                          <m:den>
                            <m:r>
                              <w:rPr>
                                <w:rFonts w:ascii="Cambria Math" w:hAnsi="Cambria Math"/>
                                <w:szCs w:val="22"/>
                              </w:rPr>
                              <m:t>6</m:t>
                            </m:r>
                          </m:den>
                        </m:f>
                      </m:sup>
                    </m:sSup>
                    <m:r>
                      <w:rPr>
                        <w:rFonts w:ascii="Cambria Math" w:hAnsi="Cambria Math"/>
                        <w:szCs w:val="22"/>
                      </w:rPr>
                      <m:t>+1</m:t>
                    </m:r>
                  </m:den>
                </m:f>
              </m:oMath>
            </m:oMathPara>
          </w:p>
        </w:tc>
        <w:tc>
          <w:tcPr>
            <w:tcW w:w="750" w:type="pct"/>
            <w:vAlign w:val="center"/>
          </w:tcPr>
          <w:p w:rsidR="00DF10A0" w:rsidRPr="001A15CF" w:rsidRDefault="00DF10A0" w:rsidP="00DF10A0">
            <w:pPr>
              <w:pStyle w:val="ListParagraph"/>
              <w:numPr>
                <w:ilvl w:val="0"/>
                <w:numId w:val="3"/>
              </w:numPr>
              <w:spacing w:before="120" w:after="0" w:line="240" w:lineRule="auto"/>
              <w:jc w:val="center"/>
              <w:rPr>
                <w:rFonts w:ascii="Times New Roman" w:eastAsia="Times New Roman" w:hAnsi="Times New Roman"/>
                <w:lang w:eastAsia="en-US"/>
              </w:rPr>
            </w:pPr>
          </w:p>
        </w:tc>
      </w:tr>
    </w:tbl>
    <w:p w:rsidR="00DF10A0" w:rsidRPr="00B677ED" w:rsidRDefault="00DF10A0" w:rsidP="00DF10A0">
      <w:pPr>
        <w:jc w:val="both"/>
        <w:rPr>
          <w:lang w:val="en-CA"/>
        </w:rPr>
      </w:pPr>
      <w:proofErr w:type="gramStart"/>
      <w:r>
        <w:rPr>
          <w:lang w:val="en-CA"/>
        </w:rPr>
        <w:t xml:space="preserve">where </w:t>
      </w:r>
      <w:proofErr w:type="gramEnd"/>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oMath>
      <w:r>
        <w:rPr>
          <w:lang w:val="en-CA"/>
        </w:rPr>
        <w:t xml:space="preserve">, </w:t>
      </w:r>
      <m:oMath>
        <m:sSub>
          <m:sSubPr>
            <m:ctrlPr>
              <w:rPr>
                <w:rFonts w:ascii="Cambria Math" w:hAnsi="Cambria Math"/>
                <w:i/>
                <w:lang w:val="en-CA"/>
              </w:rPr>
            </m:ctrlPr>
          </m:sSubPr>
          <m:e>
            <m:r>
              <w:rPr>
                <w:rFonts w:ascii="Cambria Math" w:hAnsi="Cambria Math"/>
                <w:lang w:val="en-CA"/>
              </w:rPr>
              <m:t>h</m:t>
            </m:r>
          </m:e>
          <m:sub>
            <m:r>
              <w:rPr>
                <w:rFonts w:ascii="Cambria Math" w:hAnsi="Cambria Math"/>
                <w:lang w:val="en-CA"/>
              </w:rPr>
              <m:t>0</m:t>
            </m:r>
          </m:sub>
        </m:sSub>
      </m:oMath>
      <w:r>
        <w:rPr>
          <w:lang w:val="en-CA"/>
        </w:rPr>
        <w:t xml:space="preserve">, </w:t>
      </w:r>
      <m:oMath>
        <m:r>
          <w:rPr>
            <w:rFonts w:ascii="Cambria Math" w:hAnsi="Cambria Math"/>
            <w:lang w:val="en-CA"/>
          </w:rPr>
          <m:t>Q</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0</m:t>
            </m:r>
          </m:sub>
        </m:sSub>
      </m:oMath>
      <w:r>
        <w:rPr>
          <w:lang w:val="en-CA"/>
        </w:rPr>
        <w:t xml:space="preser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Pr>
          <w:lang w:val="en-CA"/>
        </w:rPr>
        <w:t xml:space="preserve">, </w:t>
      </w:r>
      <m:oMath>
        <m:sSub>
          <m:sSubPr>
            <m:ctrlPr>
              <w:rPr>
                <w:rFonts w:ascii="Cambria Math" w:hAnsi="Cambria Math"/>
                <w:i/>
                <w:lang w:val="en-CA"/>
              </w:rPr>
            </m:ctrlPr>
          </m:sSubPr>
          <m:e>
            <m:r>
              <w:rPr>
                <w:rFonts w:ascii="Cambria Math" w:hAnsi="Cambria Math"/>
                <w:lang w:val="en-CA"/>
              </w:rPr>
              <m:t>h</m:t>
            </m:r>
          </m:e>
          <m:sub>
            <m:r>
              <w:rPr>
                <w:rFonts w:ascii="Cambria Math" w:hAnsi="Cambria Math"/>
                <w:lang w:val="en-CA"/>
              </w:rPr>
              <m:t>1</m:t>
            </m:r>
          </m:sub>
        </m:sSub>
      </m:oMath>
      <w:r>
        <w:rPr>
          <w:lang w:val="en-CA"/>
        </w:rPr>
        <w:t xml:space="preserve">, and </w:t>
      </w:r>
      <m:oMath>
        <m:r>
          <w:rPr>
            <w:rFonts w:ascii="Cambria Math" w:hAnsi="Cambria Math"/>
            <w:lang w:val="en-CA"/>
          </w:rPr>
          <m:t>Q</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1</m:t>
            </m:r>
          </m:sub>
        </m:sSub>
      </m:oMath>
      <w:r>
        <w:rPr>
          <w:lang w:val="en-CA"/>
        </w:rPr>
        <w:t>represent width, height, and quantization parameter of base and enhancement layer, respectively.</w:t>
      </w:r>
    </w:p>
    <w:p w:rsidR="00DF10A0" w:rsidRPr="00152655" w:rsidRDefault="00DF10A0" w:rsidP="00DF10A0">
      <w:pPr>
        <w:pStyle w:val="Caption"/>
        <w:framePr w:w="9346" w:vSpace="144" w:wrap="notBeside" w:hAnchor="margin" w:xAlign="center" w:yAlign="top" w:anchorLock="1"/>
        <w:suppressOverlap/>
        <w:jc w:val="center"/>
      </w:pPr>
    </w:p>
    <w:p w:rsidR="00DF10A0" w:rsidRDefault="00DF10A0" w:rsidP="00DF10A0">
      <w:pPr>
        <w:pStyle w:val="Heading1"/>
        <w:rPr>
          <w:lang w:val="en-CA"/>
        </w:rPr>
      </w:pPr>
      <w:r>
        <w:rPr>
          <w:lang w:val="en-CA"/>
        </w:rPr>
        <w:t>Proposed method</w:t>
      </w:r>
    </w:p>
    <w:p w:rsidR="00DF10A0" w:rsidRDefault="00DF10A0" w:rsidP="00DF10A0">
      <w:pPr>
        <w:jc w:val="both"/>
        <w:rPr>
          <w:lang w:val="en-CA"/>
        </w:rPr>
      </w:pPr>
      <w:r>
        <w:rPr>
          <w:lang w:val="en-CA"/>
        </w:rPr>
        <w:t xml:space="preserve">When applying (2) to SHM-1.0, the bitrate of enhancement layer will be increased a lot due to a </w:t>
      </w:r>
      <w:proofErr w:type="gramStart"/>
      <w:r>
        <w:rPr>
          <w:lang w:val="en-CA"/>
        </w:rPr>
        <w:t xml:space="preserve">smaller </w:t>
      </w:r>
      <w:proofErr w:type="gramEnd"/>
      <m:oMath>
        <m:r>
          <w:rPr>
            <w:rFonts w:ascii="Cambria Math" w:hAnsi="Cambria Math"/>
            <w:szCs w:val="22"/>
          </w:rPr>
          <m:t>λ</m:t>
        </m:r>
      </m:oMath>
      <w:r>
        <w:rPr>
          <w:lang w:val="en-CA"/>
        </w:rPr>
        <w:t xml:space="preserve">. As a trade-off, a temporal level dependent </w:t>
      </w:r>
      <m:oMath>
        <m:r>
          <m:rPr>
            <m:sty m:val="p"/>
          </m:rPr>
          <w:rPr>
            <w:rFonts w:ascii="Cambria Math" w:hAnsi="Cambria Math"/>
            <w:lang w:val="en-CA"/>
          </w:rPr>
          <m:t>λ</m:t>
        </m:r>
      </m:oMath>
      <w:r>
        <w:rPr>
          <w:lang w:val="en-CA"/>
        </w:rPr>
        <w:t xml:space="preserve"> refinement method is proposed for RA configurations (with GOP size no less than 8) as follows, where </w:t>
      </w:r>
      <m:oMath>
        <m:sSubSup>
          <m:sSubSupPr>
            <m:ctrlPr>
              <w:rPr>
                <w:rFonts w:ascii="Cambria Math" w:hAnsi="Cambria Math"/>
                <w:i/>
                <w:szCs w:val="22"/>
              </w:rPr>
            </m:ctrlPr>
          </m:sSubSupPr>
          <m:e>
            <m:r>
              <w:rPr>
                <w:rFonts w:ascii="Cambria Math" w:hAnsi="Cambria Math"/>
                <w:szCs w:val="22"/>
              </w:rPr>
              <m:t>λ</m:t>
            </m:r>
          </m:e>
          <m:sub>
            <m:r>
              <w:rPr>
                <w:rFonts w:ascii="Cambria Math" w:hAnsi="Cambria Math"/>
                <w:szCs w:val="22"/>
              </w:rPr>
              <m:t>L</m:t>
            </m:r>
          </m:sub>
          <m:sup>
            <m:r>
              <w:rPr>
                <w:rFonts w:ascii="Cambria Math" w:hAnsi="Cambria Math"/>
                <w:szCs w:val="22"/>
              </w:rPr>
              <m:t>'</m:t>
            </m:r>
          </m:sup>
        </m:sSubSup>
      </m:oMath>
      <w:r>
        <w:rPr>
          <w:szCs w:val="22"/>
        </w:rPr>
        <w:t xml:space="preserve"> and </w:t>
      </w:r>
      <m:oMath>
        <m:sSubSup>
          <m:sSubSupPr>
            <m:ctrlPr>
              <w:rPr>
                <w:rFonts w:ascii="Cambria Math" w:hAnsi="Cambria Math"/>
                <w:i/>
                <w:szCs w:val="22"/>
              </w:rPr>
            </m:ctrlPr>
          </m:sSubSupPr>
          <m:e>
            <m:r>
              <w:rPr>
                <w:rFonts w:ascii="Cambria Math" w:hAnsi="Cambria Math"/>
                <w:szCs w:val="22"/>
              </w:rPr>
              <m:t>λ</m:t>
            </m:r>
          </m:e>
          <m:sub>
            <m:r>
              <w:rPr>
                <w:rFonts w:ascii="Cambria Math" w:hAnsi="Cambria Math"/>
                <w:szCs w:val="22"/>
              </w:rPr>
              <m:t>C</m:t>
            </m:r>
          </m:sub>
          <m:sup>
            <m:r>
              <w:rPr>
                <w:rFonts w:ascii="Cambria Math" w:hAnsi="Cambria Math"/>
                <w:szCs w:val="22"/>
              </w:rPr>
              <m:t>'</m:t>
            </m:r>
          </m:sup>
        </m:sSubSup>
      </m:oMath>
      <w:r>
        <w:rPr>
          <w:szCs w:val="22"/>
        </w:rPr>
        <w:t xml:space="preserve"> represent the luma and chroma Lagrange multiplier after the refinement, </w:t>
      </w:r>
      <m:oMath>
        <m:sSub>
          <m:sSubPr>
            <m:ctrlPr>
              <w:rPr>
                <w:rFonts w:ascii="Cambria Math" w:hAnsi="Cambria Math"/>
                <w:i/>
                <w:szCs w:val="22"/>
              </w:rPr>
            </m:ctrlPr>
          </m:sSubPr>
          <m:e>
            <m:r>
              <w:rPr>
                <w:rFonts w:ascii="Cambria Math" w:hAnsi="Cambria Math"/>
                <w:szCs w:val="22"/>
              </w:rPr>
              <m:t>λ</m:t>
            </m:r>
          </m:e>
          <m:sub>
            <m:r>
              <w:rPr>
                <w:rFonts w:ascii="Cambria Math" w:hAnsi="Cambria Math"/>
                <w:szCs w:val="22"/>
              </w:rPr>
              <m:t>L</m:t>
            </m:r>
          </m:sub>
        </m:sSub>
      </m:oMath>
      <w:r>
        <w:rPr>
          <w:szCs w:val="22"/>
        </w:rPr>
        <w:t xml:space="preserve"> denotes the luma Lagrange multiplier before the refinement, </w:t>
      </w:r>
      <m:oMath>
        <m:r>
          <w:rPr>
            <w:rFonts w:ascii="Cambria Math" w:hAnsi="Cambria Math"/>
            <w:szCs w:val="22"/>
          </w:rPr>
          <m:t>w</m:t>
        </m:r>
      </m:oMath>
      <w:r>
        <w:rPr>
          <w:szCs w:val="22"/>
        </w:rPr>
        <w:t xml:space="preserve"> is the weighting factor for chroma Lagrange multiplier derivation in SHM-1.0.</w:t>
      </w:r>
    </w:p>
    <w:p w:rsidR="00DF10A0" w:rsidRPr="00FF781F" w:rsidRDefault="00DF10A0" w:rsidP="00DF10A0">
      <w:pPr>
        <w:pStyle w:val="ListParagraph"/>
        <w:numPr>
          <w:ilvl w:val="0"/>
          <w:numId w:val="5"/>
        </w:numPr>
        <w:jc w:val="both"/>
        <w:rPr>
          <w:lang w:val="en-CA"/>
        </w:rPr>
      </w:pPr>
      <w:r w:rsidRPr="00FF781F">
        <w:rPr>
          <w:lang w:val="en-CA"/>
        </w:rPr>
        <w:t>For enhancement inter pictures at temporal level 0</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7"/>
        <w:gridCol w:w="6703"/>
        <w:gridCol w:w="1436"/>
      </w:tblGrid>
      <w:tr w:rsidR="00DF10A0" w:rsidRPr="001A15CF" w:rsidTr="000B22DB">
        <w:tc>
          <w:tcPr>
            <w:tcW w:w="750" w:type="pct"/>
          </w:tcPr>
          <w:p w:rsidR="00DF10A0" w:rsidRPr="001A15CF" w:rsidRDefault="00DF10A0" w:rsidP="000B22DB">
            <w:pPr>
              <w:spacing w:before="120"/>
              <w:jc w:val="both"/>
              <w:rPr>
                <w:szCs w:val="22"/>
              </w:rPr>
            </w:pPr>
          </w:p>
        </w:tc>
        <w:tc>
          <w:tcPr>
            <w:tcW w:w="3500" w:type="pct"/>
          </w:tcPr>
          <w:p w:rsidR="00DF10A0" w:rsidRPr="00A558A7" w:rsidRDefault="00CC0D39" w:rsidP="000B22DB">
            <w:pPr>
              <w:spacing w:before="120"/>
              <w:ind w:left="360"/>
              <w:jc w:val="center"/>
              <w:rPr>
                <w:szCs w:val="22"/>
              </w:rPr>
            </w:pPr>
            <m:oMathPara>
              <m:oMath>
                <m:sSubSup>
                  <m:sSubSupPr>
                    <m:ctrlPr>
                      <w:rPr>
                        <w:rFonts w:ascii="Cambria Math" w:hAnsi="Cambria Math"/>
                        <w:i/>
                        <w:szCs w:val="22"/>
                      </w:rPr>
                    </m:ctrlPr>
                  </m:sSubSupPr>
                  <m:e>
                    <m:r>
                      <w:rPr>
                        <w:rFonts w:ascii="Cambria Math" w:hAnsi="Cambria Math"/>
                        <w:szCs w:val="22"/>
                      </w:rPr>
                      <m:t>λ</m:t>
                    </m:r>
                  </m:e>
                  <m:sub>
                    <m:r>
                      <w:rPr>
                        <w:rFonts w:ascii="Cambria Math" w:hAnsi="Cambria Math"/>
                        <w:szCs w:val="22"/>
                      </w:rPr>
                      <m:t>L</m:t>
                    </m:r>
                  </m:sub>
                  <m:sup>
                    <m:r>
                      <w:rPr>
                        <w:rFonts w:ascii="Cambria Math" w:hAnsi="Cambria Math"/>
                        <w:szCs w:val="22"/>
                      </w:rPr>
                      <m:t>'</m:t>
                    </m:r>
                  </m:sup>
                </m:sSubSup>
                <m:r>
                  <w:rPr>
                    <w:rFonts w:ascii="Cambria Math" w:hAnsi="Cambria Math"/>
                    <w:szCs w:val="22"/>
                  </w:rPr>
                  <m:t>=</m:t>
                </m:r>
                <m:sSub>
                  <m:sSubPr>
                    <m:ctrlPr>
                      <w:rPr>
                        <w:rFonts w:ascii="Cambria Math" w:hAnsi="Cambria Math"/>
                        <w:i/>
                        <w:szCs w:val="22"/>
                      </w:rPr>
                    </m:ctrlPr>
                  </m:sSubPr>
                  <m:e>
                    <m:r>
                      <w:rPr>
                        <w:rFonts w:ascii="Cambria Math" w:hAnsi="Cambria Math"/>
                        <w:szCs w:val="22"/>
                      </w:rPr>
                      <m:t>λ</m:t>
                    </m:r>
                  </m:e>
                  <m:sub>
                    <m:r>
                      <w:rPr>
                        <w:rFonts w:ascii="Cambria Math" w:hAnsi="Cambria Math"/>
                        <w:szCs w:val="22"/>
                      </w:rPr>
                      <m:t>L</m:t>
                    </m:r>
                  </m:sub>
                </m:sSub>
                <m:r>
                  <w:rPr>
                    <w:rFonts w:ascii="Cambria Math" w:hAnsi="Cambria Math"/>
                    <w:szCs w:val="22"/>
                  </w:rPr>
                  <m:t>⋅1.1</m:t>
                </m:r>
              </m:oMath>
            </m:oMathPara>
          </w:p>
        </w:tc>
        <w:tc>
          <w:tcPr>
            <w:tcW w:w="750" w:type="pct"/>
          </w:tcPr>
          <w:p w:rsidR="00DF10A0" w:rsidRPr="001A15CF" w:rsidRDefault="00DF10A0" w:rsidP="00DF10A0">
            <w:pPr>
              <w:pStyle w:val="ListParagraph"/>
              <w:numPr>
                <w:ilvl w:val="0"/>
                <w:numId w:val="3"/>
              </w:numPr>
              <w:spacing w:before="120" w:after="0" w:line="240" w:lineRule="auto"/>
              <w:jc w:val="right"/>
              <w:rPr>
                <w:rFonts w:ascii="Times New Roman" w:eastAsia="Times New Roman" w:hAnsi="Times New Roman"/>
                <w:lang w:eastAsia="en-US"/>
              </w:rPr>
            </w:pPr>
          </w:p>
        </w:tc>
      </w:tr>
      <w:tr w:rsidR="00DF10A0" w:rsidRPr="001A15CF" w:rsidTr="000B22DB">
        <w:tc>
          <w:tcPr>
            <w:tcW w:w="750" w:type="pct"/>
          </w:tcPr>
          <w:p w:rsidR="00DF10A0" w:rsidRPr="001A15CF" w:rsidRDefault="00DF10A0" w:rsidP="000B22DB">
            <w:pPr>
              <w:spacing w:before="120"/>
              <w:jc w:val="both"/>
              <w:rPr>
                <w:szCs w:val="22"/>
              </w:rPr>
            </w:pPr>
          </w:p>
        </w:tc>
        <w:tc>
          <w:tcPr>
            <w:tcW w:w="3500" w:type="pct"/>
          </w:tcPr>
          <w:p w:rsidR="00DF10A0" w:rsidRPr="00A558A7" w:rsidRDefault="00CC0D39" w:rsidP="000B22DB">
            <w:pPr>
              <w:spacing w:before="120"/>
              <w:ind w:left="360"/>
              <w:jc w:val="center"/>
              <w:rPr>
                <w:szCs w:val="22"/>
              </w:rPr>
            </w:pPr>
            <m:oMathPara>
              <m:oMath>
                <m:sSubSup>
                  <m:sSubSupPr>
                    <m:ctrlPr>
                      <w:rPr>
                        <w:rFonts w:ascii="Cambria Math" w:hAnsi="Cambria Math"/>
                        <w:i/>
                        <w:szCs w:val="22"/>
                      </w:rPr>
                    </m:ctrlPr>
                  </m:sSubSupPr>
                  <m:e>
                    <m:r>
                      <w:rPr>
                        <w:rFonts w:ascii="Cambria Math" w:hAnsi="Cambria Math"/>
                        <w:szCs w:val="22"/>
                      </w:rPr>
                      <m:t>λ</m:t>
                    </m:r>
                  </m:e>
                  <m:sub>
                    <m:r>
                      <w:rPr>
                        <w:rFonts w:ascii="Cambria Math" w:hAnsi="Cambria Math"/>
                        <w:szCs w:val="22"/>
                      </w:rPr>
                      <m:t>C</m:t>
                    </m:r>
                  </m:sub>
                  <m:sup>
                    <m:r>
                      <w:rPr>
                        <w:rFonts w:ascii="Cambria Math" w:hAnsi="Cambria Math"/>
                        <w:szCs w:val="22"/>
                      </w:rPr>
                      <m:t>'</m:t>
                    </m:r>
                  </m:sup>
                </m:sSubSup>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λ</m:t>
                        </m:r>
                      </m:e>
                      <m:sup>
                        <m:r>
                          <w:rPr>
                            <w:rFonts w:ascii="Cambria Math" w:hAnsi="Cambria Math"/>
                            <w:szCs w:val="22"/>
                          </w:rPr>
                          <m:t>'</m:t>
                        </m:r>
                      </m:sup>
                    </m:sSup>
                  </m:e>
                  <m:sub>
                    <m:r>
                      <w:rPr>
                        <w:rFonts w:ascii="Cambria Math" w:hAnsi="Cambria Math"/>
                        <w:szCs w:val="22"/>
                      </w:rPr>
                      <m:t>L</m:t>
                    </m:r>
                  </m:sub>
                </m:sSub>
                <m:r>
                  <w:rPr>
                    <w:rFonts w:ascii="Cambria Math" w:hAnsi="Cambria Math"/>
                    <w:szCs w:val="22"/>
                  </w:rPr>
                  <m:t>/(1.15⋅w)</m:t>
                </m:r>
              </m:oMath>
            </m:oMathPara>
          </w:p>
        </w:tc>
        <w:tc>
          <w:tcPr>
            <w:tcW w:w="750" w:type="pct"/>
          </w:tcPr>
          <w:p w:rsidR="00DF10A0" w:rsidRPr="001A15CF" w:rsidRDefault="00DF10A0" w:rsidP="00DF10A0">
            <w:pPr>
              <w:pStyle w:val="ListParagraph"/>
              <w:numPr>
                <w:ilvl w:val="0"/>
                <w:numId w:val="3"/>
              </w:numPr>
              <w:spacing w:before="120" w:after="0" w:line="240" w:lineRule="auto"/>
              <w:jc w:val="right"/>
              <w:rPr>
                <w:rFonts w:ascii="Times New Roman" w:eastAsia="Times New Roman" w:hAnsi="Times New Roman"/>
                <w:lang w:eastAsia="en-US"/>
              </w:rPr>
            </w:pPr>
          </w:p>
        </w:tc>
      </w:tr>
    </w:tbl>
    <w:p w:rsidR="00DF10A0" w:rsidRDefault="00DF10A0" w:rsidP="00DF10A0">
      <w:pPr>
        <w:pStyle w:val="ListParagraph"/>
        <w:numPr>
          <w:ilvl w:val="0"/>
          <w:numId w:val="5"/>
        </w:numPr>
        <w:jc w:val="both"/>
        <w:rPr>
          <w:lang w:val="en-CA"/>
        </w:rPr>
      </w:pPr>
      <w:r>
        <w:rPr>
          <w:lang w:val="en-CA"/>
        </w:rPr>
        <w:lastRenderedPageBreak/>
        <w:t>For enhancement pictures at highest temporal level (e.g. temporal level 3 when GOP size is 8)</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7"/>
        <w:gridCol w:w="6703"/>
        <w:gridCol w:w="1436"/>
      </w:tblGrid>
      <w:tr w:rsidR="00DF10A0" w:rsidRPr="001A15CF" w:rsidTr="000B22DB">
        <w:tc>
          <w:tcPr>
            <w:tcW w:w="750" w:type="pct"/>
          </w:tcPr>
          <w:p w:rsidR="00DF10A0" w:rsidRPr="001A15CF" w:rsidRDefault="00DF10A0" w:rsidP="000B22DB">
            <w:pPr>
              <w:spacing w:before="120"/>
              <w:jc w:val="both"/>
              <w:rPr>
                <w:szCs w:val="22"/>
              </w:rPr>
            </w:pPr>
          </w:p>
        </w:tc>
        <w:tc>
          <w:tcPr>
            <w:tcW w:w="3500" w:type="pct"/>
          </w:tcPr>
          <w:p w:rsidR="00DF10A0" w:rsidRPr="00A558A7" w:rsidRDefault="00CC0D39" w:rsidP="000B22DB">
            <w:pPr>
              <w:spacing w:before="120"/>
              <w:ind w:left="360"/>
              <w:jc w:val="center"/>
              <w:rPr>
                <w:szCs w:val="22"/>
              </w:rPr>
            </w:pPr>
            <m:oMathPara>
              <m:oMath>
                <m:sSubSup>
                  <m:sSubSupPr>
                    <m:ctrlPr>
                      <w:rPr>
                        <w:rFonts w:ascii="Cambria Math" w:hAnsi="Cambria Math"/>
                        <w:i/>
                        <w:szCs w:val="22"/>
                      </w:rPr>
                    </m:ctrlPr>
                  </m:sSubSupPr>
                  <m:e>
                    <m:r>
                      <w:rPr>
                        <w:rFonts w:ascii="Cambria Math" w:hAnsi="Cambria Math"/>
                        <w:szCs w:val="22"/>
                      </w:rPr>
                      <m:t>λ</m:t>
                    </m:r>
                  </m:e>
                  <m:sub>
                    <m:r>
                      <w:rPr>
                        <w:rFonts w:ascii="Cambria Math" w:hAnsi="Cambria Math"/>
                        <w:szCs w:val="22"/>
                      </w:rPr>
                      <m:t>L</m:t>
                    </m:r>
                  </m:sub>
                  <m:sup>
                    <m:r>
                      <w:rPr>
                        <w:rFonts w:ascii="Cambria Math" w:hAnsi="Cambria Math"/>
                        <w:szCs w:val="22"/>
                      </w:rPr>
                      <m:t>'</m:t>
                    </m:r>
                  </m:sup>
                </m:sSubSup>
                <m:r>
                  <w:rPr>
                    <w:rFonts w:ascii="Cambria Math" w:hAnsi="Cambria Math"/>
                    <w:szCs w:val="22"/>
                  </w:rPr>
                  <m:t>=</m:t>
                </m:r>
                <m:sSub>
                  <m:sSubPr>
                    <m:ctrlPr>
                      <w:rPr>
                        <w:rFonts w:ascii="Cambria Math" w:hAnsi="Cambria Math"/>
                        <w:i/>
                        <w:szCs w:val="22"/>
                      </w:rPr>
                    </m:ctrlPr>
                  </m:sSubPr>
                  <m:e>
                    <m:r>
                      <w:rPr>
                        <w:rFonts w:ascii="Cambria Math" w:hAnsi="Cambria Math"/>
                        <w:szCs w:val="22"/>
                      </w:rPr>
                      <m:t>λ</m:t>
                    </m:r>
                  </m:e>
                  <m:sub>
                    <m:r>
                      <w:rPr>
                        <w:rFonts w:ascii="Cambria Math" w:hAnsi="Cambria Math"/>
                        <w:szCs w:val="22"/>
                      </w:rPr>
                      <m:t>L</m:t>
                    </m:r>
                  </m:sub>
                </m:sSub>
                <m:r>
                  <w:rPr>
                    <w:rFonts w:ascii="Cambria Math" w:hAnsi="Cambria Math"/>
                    <w:szCs w:val="22"/>
                  </w:rPr>
                  <m:t>⋅</m:t>
                </m:r>
                <m:f>
                  <m:fPr>
                    <m:ctrlPr>
                      <w:rPr>
                        <w:rFonts w:ascii="Cambria Math" w:hAnsi="Cambria Math"/>
                        <w:i/>
                        <w:szCs w:val="22"/>
                      </w:rPr>
                    </m:ctrlPr>
                  </m:fPr>
                  <m:num>
                    <m:r>
                      <w:rPr>
                        <w:rFonts w:ascii="Cambria Math" w:hAnsi="Cambria Math"/>
                        <w:szCs w:val="22"/>
                      </w:rPr>
                      <m:t>β⋅</m:t>
                    </m:r>
                    <m:sSup>
                      <m:sSupPr>
                        <m:ctrlPr>
                          <w:rPr>
                            <w:rFonts w:ascii="Cambria Math" w:hAnsi="Cambria Math"/>
                            <w:i/>
                            <w:szCs w:val="22"/>
                          </w:rPr>
                        </m:ctrlPr>
                      </m:sSupPr>
                      <m:e>
                        <m:r>
                          <w:rPr>
                            <w:rFonts w:ascii="Cambria Math" w:hAnsi="Cambria Math"/>
                            <w:szCs w:val="22"/>
                          </w:rPr>
                          <m:t>2</m:t>
                        </m:r>
                      </m:e>
                      <m:sup>
                        <m:r>
                          <m:rPr>
                            <m:sty m:val="p"/>
                          </m:rPr>
                          <w:rPr>
                            <w:rFonts w:ascii="Cambria Math" w:hAnsi="Cambria Math"/>
                            <w:szCs w:val="22"/>
                          </w:rPr>
                          <m:t>Δ</m:t>
                        </m:r>
                        <m:r>
                          <w:rPr>
                            <w:rFonts w:ascii="Cambria Math" w:hAnsi="Cambria Math"/>
                            <w:szCs w:val="22"/>
                          </w:rPr>
                          <m:t>QP/6</m:t>
                        </m:r>
                      </m:sup>
                    </m:sSup>
                  </m:num>
                  <m:den>
                    <m:r>
                      <w:rPr>
                        <w:rFonts w:ascii="Cambria Math" w:hAnsi="Cambria Math"/>
                        <w:szCs w:val="22"/>
                      </w:rPr>
                      <m:t>β⋅</m:t>
                    </m:r>
                    <m:sSup>
                      <m:sSupPr>
                        <m:ctrlPr>
                          <w:rPr>
                            <w:rFonts w:ascii="Cambria Math" w:hAnsi="Cambria Math"/>
                            <w:i/>
                            <w:szCs w:val="22"/>
                          </w:rPr>
                        </m:ctrlPr>
                      </m:sSupPr>
                      <m:e>
                        <m:r>
                          <w:rPr>
                            <w:rFonts w:ascii="Cambria Math" w:hAnsi="Cambria Math"/>
                            <w:szCs w:val="22"/>
                          </w:rPr>
                          <m:t>2</m:t>
                        </m:r>
                      </m:e>
                      <m:sup>
                        <m:f>
                          <m:fPr>
                            <m:ctrlPr>
                              <w:rPr>
                                <w:rFonts w:ascii="Cambria Math" w:hAnsi="Cambria Math"/>
                                <w:i/>
                                <w:szCs w:val="22"/>
                              </w:rPr>
                            </m:ctrlPr>
                          </m:fPr>
                          <m:num>
                            <m:r>
                              <m:rPr>
                                <m:sty m:val="p"/>
                              </m:rPr>
                              <w:rPr>
                                <w:rFonts w:ascii="Cambria Math" w:hAnsi="Cambria Math"/>
                                <w:szCs w:val="22"/>
                              </w:rPr>
                              <m:t>Δ</m:t>
                            </m:r>
                            <m:r>
                              <w:rPr>
                                <w:rFonts w:ascii="Cambria Math" w:hAnsi="Cambria Math"/>
                                <w:szCs w:val="22"/>
                              </w:rPr>
                              <m:t>QP</m:t>
                            </m:r>
                          </m:num>
                          <m:den>
                            <m:r>
                              <w:rPr>
                                <w:rFonts w:ascii="Cambria Math" w:hAnsi="Cambria Math"/>
                                <w:szCs w:val="22"/>
                              </w:rPr>
                              <m:t>6</m:t>
                            </m:r>
                          </m:den>
                        </m:f>
                      </m:sup>
                    </m:sSup>
                    <m:r>
                      <w:rPr>
                        <w:rFonts w:ascii="Cambria Math" w:hAnsi="Cambria Math"/>
                        <w:szCs w:val="22"/>
                      </w:rPr>
                      <m:t>+1</m:t>
                    </m:r>
                  </m:den>
                </m:f>
              </m:oMath>
            </m:oMathPara>
          </w:p>
        </w:tc>
        <w:tc>
          <w:tcPr>
            <w:tcW w:w="750" w:type="pct"/>
          </w:tcPr>
          <w:p w:rsidR="00DF10A0" w:rsidRPr="001A15CF" w:rsidRDefault="00DF10A0" w:rsidP="00DF10A0">
            <w:pPr>
              <w:pStyle w:val="ListParagraph"/>
              <w:numPr>
                <w:ilvl w:val="0"/>
                <w:numId w:val="3"/>
              </w:numPr>
              <w:spacing w:before="120" w:after="0" w:line="240" w:lineRule="auto"/>
              <w:jc w:val="right"/>
              <w:rPr>
                <w:rFonts w:ascii="Times New Roman" w:eastAsia="Times New Roman" w:hAnsi="Times New Roman"/>
                <w:lang w:eastAsia="en-US"/>
              </w:rPr>
            </w:pPr>
          </w:p>
        </w:tc>
      </w:tr>
      <w:tr w:rsidR="00DF10A0" w:rsidRPr="001A15CF" w:rsidTr="000B22DB">
        <w:tc>
          <w:tcPr>
            <w:tcW w:w="750" w:type="pct"/>
          </w:tcPr>
          <w:p w:rsidR="00DF10A0" w:rsidRPr="001A15CF" w:rsidRDefault="00DF10A0" w:rsidP="000B22DB">
            <w:pPr>
              <w:spacing w:before="120"/>
              <w:jc w:val="both"/>
              <w:rPr>
                <w:szCs w:val="22"/>
              </w:rPr>
            </w:pPr>
          </w:p>
        </w:tc>
        <w:tc>
          <w:tcPr>
            <w:tcW w:w="3500" w:type="pct"/>
          </w:tcPr>
          <w:p w:rsidR="00DF10A0" w:rsidRPr="00A558A7" w:rsidRDefault="00CC0D39" w:rsidP="000B22DB">
            <w:pPr>
              <w:spacing w:before="120"/>
              <w:ind w:left="360"/>
              <w:jc w:val="center"/>
              <w:rPr>
                <w:szCs w:val="22"/>
              </w:rPr>
            </w:pPr>
            <m:oMathPara>
              <m:oMath>
                <m:sSubSup>
                  <m:sSubSupPr>
                    <m:ctrlPr>
                      <w:rPr>
                        <w:rFonts w:ascii="Cambria Math" w:hAnsi="Cambria Math"/>
                        <w:i/>
                        <w:szCs w:val="22"/>
                      </w:rPr>
                    </m:ctrlPr>
                  </m:sSubSupPr>
                  <m:e>
                    <m:r>
                      <w:rPr>
                        <w:rFonts w:ascii="Cambria Math" w:hAnsi="Cambria Math"/>
                        <w:szCs w:val="22"/>
                      </w:rPr>
                      <m:t>λ</m:t>
                    </m:r>
                  </m:e>
                  <m:sub>
                    <m:r>
                      <w:rPr>
                        <w:rFonts w:ascii="Cambria Math" w:hAnsi="Cambria Math"/>
                        <w:szCs w:val="22"/>
                      </w:rPr>
                      <m:t>C</m:t>
                    </m:r>
                  </m:sub>
                  <m:sup>
                    <m:r>
                      <w:rPr>
                        <w:rFonts w:ascii="Cambria Math" w:hAnsi="Cambria Math"/>
                        <w:szCs w:val="22"/>
                      </w:rPr>
                      <m:t>'</m:t>
                    </m:r>
                  </m:sup>
                </m:sSubSup>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λ</m:t>
                        </m:r>
                      </m:e>
                      <m:sup>
                        <m:r>
                          <w:rPr>
                            <w:rFonts w:ascii="Cambria Math" w:hAnsi="Cambria Math"/>
                            <w:szCs w:val="22"/>
                          </w:rPr>
                          <m:t>'</m:t>
                        </m:r>
                      </m:sup>
                    </m:sSup>
                  </m:e>
                  <m:sub>
                    <m:r>
                      <w:rPr>
                        <w:rFonts w:ascii="Cambria Math" w:hAnsi="Cambria Math"/>
                        <w:szCs w:val="22"/>
                      </w:rPr>
                      <m:t>L</m:t>
                    </m:r>
                  </m:sub>
                </m:sSub>
                <m:r>
                  <w:rPr>
                    <w:rFonts w:ascii="Cambria Math" w:hAnsi="Cambria Math"/>
                    <w:szCs w:val="22"/>
                  </w:rPr>
                  <m:t>/w</m:t>
                </m:r>
              </m:oMath>
            </m:oMathPara>
          </w:p>
        </w:tc>
        <w:tc>
          <w:tcPr>
            <w:tcW w:w="750" w:type="pct"/>
          </w:tcPr>
          <w:p w:rsidR="00DF10A0" w:rsidRPr="001A15CF" w:rsidRDefault="00DF10A0" w:rsidP="00DF10A0">
            <w:pPr>
              <w:pStyle w:val="ListParagraph"/>
              <w:numPr>
                <w:ilvl w:val="0"/>
                <w:numId w:val="3"/>
              </w:numPr>
              <w:spacing w:before="120" w:after="0" w:line="240" w:lineRule="auto"/>
              <w:jc w:val="right"/>
              <w:rPr>
                <w:rFonts w:ascii="Times New Roman" w:eastAsia="Times New Roman" w:hAnsi="Times New Roman"/>
                <w:lang w:eastAsia="en-US"/>
              </w:rPr>
            </w:pPr>
          </w:p>
        </w:tc>
      </w:tr>
    </w:tbl>
    <w:p w:rsidR="00DF10A0" w:rsidRDefault="00DF10A0" w:rsidP="00DF10A0">
      <w:pPr>
        <w:pStyle w:val="ListParagraph"/>
        <w:numPr>
          <w:ilvl w:val="0"/>
          <w:numId w:val="4"/>
        </w:numPr>
        <w:jc w:val="both"/>
        <w:rPr>
          <w:lang w:val="en-CA"/>
        </w:rPr>
      </w:pPr>
      <w:r>
        <w:rPr>
          <w:lang w:val="en-CA"/>
        </w:rPr>
        <w:t xml:space="preserve">For other enhancement pictures,  </w:t>
      </w:r>
      <m:oMath>
        <m:r>
          <w:rPr>
            <w:rFonts w:ascii="Cambria Math" w:hAnsi="Cambria Math"/>
          </w:rPr>
          <m:t>λ</m:t>
        </m:r>
      </m:oMath>
      <w:r>
        <w:t xml:space="preserve"> derivation is unchanged. </w:t>
      </w:r>
    </w:p>
    <w:p w:rsidR="00DF10A0" w:rsidRDefault="00DF10A0" w:rsidP="00DF10A0">
      <w:pPr>
        <w:jc w:val="both"/>
        <w:rPr>
          <w:szCs w:val="22"/>
        </w:rPr>
      </w:pPr>
      <w:r w:rsidRPr="00FF781F">
        <w:rPr>
          <w:szCs w:val="22"/>
        </w:rPr>
        <w:t>As previously mentioned</w:t>
      </w:r>
      <w:r>
        <w:rPr>
          <w:szCs w:val="22"/>
        </w:rPr>
        <w:t>, when applying (5) and (6) to the highest temporal level, the bitrate of these frames are increased. To partially compensate the increase of bitrate, (3) and (4) are applied to temporal level 0 to suppress the bitrate a bit.</w:t>
      </w:r>
    </w:p>
    <w:p w:rsidR="00DF10A0" w:rsidRDefault="00DF10A0" w:rsidP="00DF10A0">
      <w:pPr>
        <w:jc w:val="both"/>
        <w:rPr>
          <w:szCs w:val="22"/>
        </w:rPr>
      </w:pPr>
      <w:r>
        <w:rPr>
          <w:szCs w:val="22"/>
        </w:rPr>
        <w:t>It is asserted that the proposed method is quite simple. The patch over SHM-1.0 is less than 80 lines.</w:t>
      </w:r>
    </w:p>
    <w:p w:rsidR="00DF10A0" w:rsidRPr="00FF781F" w:rsidRDefault="00DF10A0" w:rsidP="00DF10A0">
      <w:pPr>
        <w:jc w:val="both"/>
        <w:rPr>
          <w:szCs w:val="22"/>
        </w:rPr>
      </w:pPr>
    </w:p>
    <w:p w:rsidR="00DF10A0" w:rsidRDefault="00DF10A0" w:rsidP="00DF10A0">
      <w:pPr>
        <w:pStyle w:val="Heading1"/>
        <w:rPr>
          <w:lang w:val="en-CA"/>
        </w:rPr>
      </w:pPr>
      <w:r>
        <w:rPr>
          <w:lang w:val="en-CA"/>
        </w:rPr>
        <w:t>Simulation results</w:t>
      </w:r>
    </w:p>
    <w:p w:rsidR="00DF10A0" w:rsidRDefault="00DF10A0" w:rsidP="00DF10A0">
      <w:pPr>
        <w:jc w:val="both"/>
        <w:rPr>
          <w:lang w:val="en-CA"/>
        </w:rPr>
      </w:pPr>
      <w:r>
        <w:rPr>
          <w:lang w:val="en-CA"/>
        </w:rPr>
        <w:t xml:space="preserve">The proposed method is experimentally verified with RA configurations under the SHVC common test conditions defined in </w:t>
      </w:r>
      <w:r>
        <w:rPr>
          <w:lang w:val="en-CA"/>
        </w:rPr>
        <w:fldChar w:fldCharType="begin"/>
      </w:r>
      <w:r>
        <w:rPr>
          <w:lang w:val="en-CA"/>
        </w:rPr>
        <w:instrText xml:space="preserve"> REF _Ref353050133 \r \h </w:instrText>
      </w:r>
      <w:r>
        <w:rPr>
          <w:lang w:val="en-CA"/>
        </w:rPr>
      </w:r>
      <w:r>
        <w:rPr>
          <w:lang w:val="en-CA"/>
        </w:rPr>
        <w:fldChar w:fldCharType="separate"/>
      </w:r>
      <w:r>
        <w:rPr>
          <w:lang w:val="en-CA"/>
        </w:rPr>
        <w:t>[3]</w:t>
      </w:r>
      <w:r>
        <w:rPr>
          <w:lang w:val="en-CA"/>
        </w:rPr>
        <w:fldChar w:fldCharType="end"/>
      </w:r>
      <w:r>
        <w:rPr>
          <w:lang w:val="en-CA"/>
        </w:rPr>
        <w:t xml:space="preserve">. As shown in </w:t>
      </w:r>
      <w:r>
        <w:rPr>
          <w:lang w:val="en-CA"/>
        </w:rPr>
        <w:fldChar w:fldCharType="begin"/>
      </w:r>
      <w:r>
        <w:rPr>
          <w:lang w:val="en-CA"/>
        </w:rPr>
        <w:instrText xml:space="preserve"> REF _Ref353027127 \h </w:instrText>
      </w:r>
      <w:r>
        <w:rPr>
          <w:lang w:val="en-CA"/>
        </w:rPr>
      </w:r>
      <w:r>
        <w:rPr>
          <w:lang w:val="en-CA"/>
        </w:rPr>
        <w:fldChar w:fldCharType="separate"/>
      </w:r>
      <w:r>
        <w:t xml:space="preserve">Table </w:t>
      </w:r>
      <w:r>
        <w:rPr>
          <w:noProof/>
        </w:rPr>
        <w:t>1</w:t>
      </w:r>
      <w:r>
        <w:rPr>
          <w:lang w:val="en-CA"/>
        </w:rPr>
        <w:fldChar w:fldCharType="end"/>
      </w:r>
      <w:r>
        <w:rPr>
          <w:lang w:val="en-CA"/>
        </w:rPr>
        <w:t xml:space="preserve">, compared to SHM-1.0 IBL anchor, 0.6%, 0.8%, and 1.1% </w:t>
      </w:r>
      <w:proofErr w:type="spellStart"/>
      <w:r>
        <w:rPr>
          <w:lang w:val="en-CA"/>
        </w:rPr>
        <w:t>luma</w:t>
      </w:r>
      <w:proofErr w:type="spellEnd"/>
      <w:r>
        <w:rPr>
          <w:lang w:val="en-CA"/>
        </w:rPr>
        <w:t xml:space="preserve"> BD-rate reduction was for RA-2x, RA-1.5x, and RA-SNR, respectively.</w:t>
      </w:r>
    </w:p>
    <w:p w:rsidR="00DF10A0" w:rsidRDefault="00DF10A0" w:rsidP="00DF10A0">
      <w:pPr>
        <w:jc w:val="both"/>
        <w:rPr>
          <w:lang w:val="en-CA"/>
        </w:rPr>
      </w:pPr>
      <w:r>
        <w:rPr>
          <w:lang w:val="en-CA"/>
        </w:rPr>
        <w:fldChar w:fldCharType="begin"/>
      </w:r>
      <w:r>
        <w:rPr>
          <w:lang w:val="en-CA"/>
        </w:rPr>
        <w:instrText xml:space="preserve"> REF _Ref353027144 \h </w:instrText>
      </w:r>
      <w:r>
        <w:rPr>
          <w:lang w:val="en-CA"/>
        </w:rPr>
      </w:r>
      <w:r>
        <w:rPr>
          <w:lang w:val="en-CA"/>
        </w:rPr>
        <w:fldChar w:fldCharType="separate"/>
      </w:r>
      <w:r>
        <w:t xml:space="preserve">Table </w:t>
      </w:r>
      <w:r>
        <w:rPr>
          <w:noProof/>
        </w:rPr>
        <w:t>2</w:t>
      </w:r>
      <w:r>
        <w:rPr>
          <w:lang w:val="en-CA"/>
        </w:rPr>
        <w:fldChar w:fldCharType="end"/>
      </w:r>
      <w:r>
        <w:rPr>
          <w:lang w:val="en-CA"/>
        </w:rPr>
        <w:t xml:space="preserve"> shows that compared quite similar gain is obtained over SHM-1.0 </w:t>
      </w:r>
      <w:proofErr w:type="spellStart"/>
      <w:r>
        <w:rPr>
          <w:lang w:val="en-CA"/>
        </w:rPr>
        <w:t>RefIdx</w:t>
      </w:r>
      <w:proofErr w:type="spellEnd"/>
      <w:r>
        <w:rPr>
          <w:lang w:val="en-CA"/>
        </w:rPr>
        <w:t xml:space="preserve"> anchor. </w:t>
      </w:r>
    </w:p>
    <w:p w:rsidR="00DF10A0" w:rsidRDefault="00DF10A0" w:rsidP="00DF10A0">
      <w:pPr>
        <w:pStyle w:val="Caption"/>
        <w:keepNext/>
        <w:jc w:val="center"/>
      </w:pPr>
      <w:bookmarkStart w:id="0" w:name="_Ref353027127"/>
      <w:r>
        <w:t xml:space="preserve">Table </w:t>
      </w:r>
      <w:r w:rsidR="00CC0D39">
        <w:fldChar w:fldCharType="begin"/>
      </w:r>
      <w:r w:rsidR="00CC0D39">
        <w:instrText xml:space="preserve"> SEQ Table \* ARABIC </w:instrText>
      </w:r>
      <w:r w:rsidR="00CC0D39">
        <w:fldChar w:fldCharType="separate"/>
      </w:r>
      <w:r>
        <w:rPr>
          <w:noProof/>
        </w:rPr>
        <w:t>1</w:t>
      </w:r>
      <w:r w:rsidR="00CC0D39">
        <w:rPr>
          <w:noProof/>
        </w:rPr>
        <w:fldChar w:fldCharType="end"/>
      </w:r>
      <w:bookmarkEnd w:id="0"/>
      <w:r>
        <w:t xml:space="preserve"> Compared to SHM-1.0 IBL anchor</w:t>
      </w:r>
    </w:p>
    <w:p w:rsidR="00DF10A0" w:rsidRDefault="00DF10A0" w:rsidP="00DF10A0">
      <w:pPr>
        <w:rPr>
          <w:lang w:val="en-CA"/>
        </w:rPr>
      </w:pPr>
      <w:r>
        <w:rPr>
          <w:noProof/>
          <w:lang w:eastAsia="zh-CN"/>
        </w:rPr>
        <w:drawing>
          <wp:inline distT="0" distB="0" distL="0" distR="0" wp14:anchorId="72805CF1" wp14:editId="417A73E0">
            <wp:extent cx="5943600" cy="1099854"/>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099854"/>
                    </a:xfrm>
                    <a:prstGeom prst="rect">
                      <a:avLst/>
                    </a:prstGeom>
                    <a:noFill/>
                    <a:ln>
                      <a:noFill/>
                    </a:ln>
                  </pic:spPr>
                </pic:pic>
              </a:graphicData>
            </a:graphic>
          </wp:inline>
        </w:drawing>
      </w:r>
    </w:p>
    <w:p w:rsidR="00DF10A0" w:rsidRDefault="00DF10A0" w:rsidP="00DF10A0">
      <w:pPr>
        <w:rPr>
          <w:lang w:val="en-CA"/>
        </w:rPr>
      </w:pPr>
    </w:p>
    <w:p w:rsidR="00DF10A0" w:rsidRDefault="00DF10A0" w:rsidP="00DF10A0">
      <w:pPr>
        <w:pStyle w:val="Caption"/>
        <w:keepNext/>
        <w:jc w:val="center"/>
      </w:pPr>
      <w:bookmarkStart w:id="1" w:name="_Ref353027144"/>
      <w:r>
        <w:t xml:space="preserve">Table </w:t>
      </w:r>
      <w:r w:rsidR="00CC0D39">
        <w:fldChar w:fldCharType="begin"/>
      </w:r>
      <w:r w:rsidR="00CC0D39">
        <w:instrText xml:space="preserve"> SEQ Table \* ARABIC </w:instrText>
      </w:r>
      <w:r w:rsidR="00CC0D39">
        <w:fldChar w:fldCharType="separate"/>
      </w:r>
      <w:r>
        <w:rPr>
          <w:noProof/>
        </w:rPr>
        <w:t>2</w:t>
      </w:r>
      <w:r w:rsidR="00CC0D39">
        <w:rPr>
          <w:noProof/>
        </w:rPr>
        <w:fldChar w:fldCharType="end"/>
      </w:r>
      <w:bookmarkEnd w:id="1"/>
      <w:r>
        <w:t xml:space="preserve"> Compared to SHM-1.0 </w:t>
      </w:r>
      <w:proofErr w:type="spellStart"/>
      <w:r>
        <w:t>RefIdx</w:t>
      </w:r>
      <w:proofErr w:type="spellEnd"/>
      <w:r>
        <w:t xml:space="preserve"> anchor</w:t>
      </w:r>
    </w:p>
    <w:p w:rsidR="00DF10A0" w:rsidRPr="00B7770B" w:rsidRDefault="00DF10A0" w:rsidP="00DF10A0">
      <w:pPr>
        <w:rPr>
          <w:lang w:val="en-CA"/>
        </w:rPr>
      </w:pPr>
      <w:r>
        <w:rPr>
          <w:noProof/>
          <w:lang w:eastAsia="zh-CN"/>
        </w:rPr>
        <w:drawing>
          <wp:inline distT="0" distB="0" distL="0" distR="0" wp14:anchorId="0D249F3E" wp14:editId="50FDCBCA">
            <wp:extent cx="5943600" cy="1099854"/>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099854"/>
                    </a:xfrm>
                    <a:prstGeom prst="rect">
                      <a:avLst/>
                    </a:prstGeom>
                    <a:noFill/>
                    <a:ln>
                      <a:noFill/>
                    </a:ln>
                  </pic:spPr>
                </pic:pic>
              </a:graphicData>
            </a:graphic>
          </wp:inline>
        </w:drawing>
      </w:r>
    </w:p>
    <w:p w:rsidR="00DF10A0" w:rsidRDefault="00DF10A0" w:rsidP="00DF10A0">
      <w:pPr>
        <w:pStyle w:val="Heading1"/>
        <w:rPr>
          <w:lang w:val="en-CA"/>
        </w:rPr>
      </w:pPr>
      <w:r>
        <w:rPr>
          <w:lang w:val="en-CA"/>
        </w:rPr>
        <w:t>Conclusions</w:t>
      </w:r>
    </w:p>
    <w:p w:rsidR="00DF10A0" w:rsidRPr="00D62C1F" w:rsidRDefault="00DF10A0" w:rsidP="00DF10A0">
      <w:pPr>
        <w:jc w:val="both"/>
        <w:rPr>
          <w:lang w:val="en-CA"/>
        </w:rPr>
      </w:pPr>
      <w:r>
        <w:rPr>
          <w:lang w:val="en-CA"/>
        </w:rPr>
        <w:t>An enhancement layer encoder optimization method is proposed for SHM-1.0 RA configurations. The proposed method is simple yet efficient. It is proposed to adopt it into SHM software and enable it in SHVC common test conditions.</w:t>
      </w:r>
    </w:p>
    <w:p w:rsidR="00DF10A0" w:rsidRPr="005B217D" w:rsidRDefault="00DF10A0" w:rsidP="00DF10A0">
      <w:pPr>
        <w:pStyle w:val="Heading1"/>
        <w:rPr>
          <w:lang w:val="en-CA"/>
        </w:rPr>
      </w:pPr>
      <w:r w:rsidRPr="005B217D">
        <w:rPr>
          <w:lang w:val="en-CA"/>
        </w:rPr>
        <w:t>Patent rights declaration(s)</w:t>
      </w:r>
      <w:bookmarkStart w:id="2" w:name="_GoBack"/>
      <w:bookmarkEnd w:id="2"/>
    </w:p>
    <w:p w:rsidR="00DF10A0" w:rsidRPr="005B217D" w:rsidRDefault="00DF10A0" w:rsidP="00DF10A0">
      <w:pPr>
        <w:jc w:val="both"/>
        <w:rPr>
          <w:szCs w:val="22"/>
          <w:lang w:val="en-CA"/>
        </w:rPr>
      </w:pPr>
      <w:r w:rsidRPr="00161F3E">
        <w:rPr>
          <w:b/>
          <w:szCs w:val="22"/>
          <w:lang w:val="en-CA"/>
        </w:rPr>
        <w:t>Qualcomm Incorporated does not have any current or pending patent rights relating to the technology described in this contribution.</w:t>
      </w:r>
    </w:p>
    <w:p w:rsidR="00DF10A0" w:rsidRPr="005B217D" w:rsidRDefault="00DF10A0" w:rsidP="00DF10A0">
      <w:pPr>
        <w:jc w:val="both"/>
        <w:rPr>
          <w:szCs w:val="22"/>
          <w:lang w:val="en-CA"/>
        </w:rPr>
      </w:pPr>
    </w:p>
    <w:p w:rsidR="00DF10A0" w:rsidRPr="003E19FC" w:rsidRDefault="00DF10A0" w:rsidP="00DF10A0">
      <w:pPr>
        <w:tabs>
          <w:tab w:val="clear" w:pos="360"/>
          <w:tab w:val="left" w:pos="0"/>
        </w:tabs>
        <w:jc w:val="both"/>
        <w:rPr>
          <w:rFonts w:cs="Arial"/>
          <w:b/>
          <w:bCs/>
          <w:kern w:val="32"/>
          <w:sz w:val="32"/>
          <w:szCs w:val="32"/>
          <w:lang w:val="en-CA"/>
        </w:rPr>
      </w:pPr>
      <w:r w:rsidRPr="003E19FC">
        <w:rPr>
          <w:rFonts w:cs="Arial"/>
          <w:b/>
          <w:bCs/>
          <w:kern w:val="32"/>
          <w:sz w:val="32"/>
          <w:szCs w:val="32"/>
          <w:lang w:val="en-CA"/>
        </w:rPr>
        <w:t>Reference</w:t>
      </w:r>
    </w:p>
    <w:p w:rsidR="00DF10A0" w:rsidRPr="00F419A1" w:rsidRDefault="00DF10A0" w:rsidP="00DF10A0">
      <w:pPr>
        <w:numPr>
          <w:ilvl w:val="0"/>
          <w:numId w:val="2"/>
        </w:numPr>
        <w:tabs>
          <w:tab w:val="clear" w:pos="720"/>
        </w:tabs>
        <w:ind w:left="360"/>
        <w:jc w:val="both"/>
        <w:rPr>
          <w:szCs w:val="22"/>
          <w:lang w:val="en-CA"/>
        </w:rPr>
      </w:pPr>
      <w:bookmarkStart w:id="3" w:name="_Ref353044922"/>
      <w:bookmarkStart w:id="4" w:name="_Ref353044918"/>
      <w:bookmarkStart w:id="5" w:name="_Ref353026320"/>
      <w:r w:rsidRPr="00F419A1">
        <w:rPr>
          <w:szCs w:val="22"/>
          <w:lang w:val="en-CA"/>
        </w:rPr>
        <w:lastRenderedPageBreak/>
        <w:t xml:space="preserve">X. Li, P. </w:t>
      </w:r>
      <w:proofErr w:type="spellStart"/>
      <w:r w:rsidRPr="00F419A1">
        <w:rPr>
          <w:szCs w:val="22"/>
          <w:lang w:val="en-CA"/>
        </w:rPr>
        <w:t>Amon</w:t>
      </w:r>
      <w:proofErr w:type="spellEnd"/>
      <w:r w:rsidRPr="00F419A1">
        <w:rPr>
          <w:szCs w:val="22"/>
          <w:lang w:val="en-CA"/>
        </w:rPr>
        <w:t xml:space="preserve">, A. Hutter, A. Kaup, </w:t>
      </w:r>
      <w:bookmarkStart w:id="6" w:name="OLE_LINK3"/>
      <w:bookmarkStart w:id="7" w:name="OLE_LINK4"/>
      <w:r w:rsidRPr="00F419A1">
        <w:rPr>
          <w:szCs w:val="22"/>
          <w:lang w:val="en-CA"/>
        </w:rPr>
        <w:t>"</w:t>
      </w:r>
      <w:bookmarkEnd w:id="6"/>
      <w:bookmarkEnd w:id="7"/>
      <w:r w:rsidRPr="00F419A1">
        <w:rPr>
          <w:szCs w:val="22"/>
          <w:lang w:val="en-CA"/>
        </w:rPr>
        <w:t xml:space="preserve">Lagrange Multiplier Selection for Rate-Distortion Optimization in SVC", Joint Video Team of ISO/IEC MPEG &amp; ITU-T VCEG, Doc. JVT-AD021, Geneva, </w:t>
      </w:r>
      <w:bookmarkStart w:id="8" w:name="OLE_LINK5"/>
      <w:bookmarkStart w:id="9" w:name="OLE_LINK6"/>
      <w:r w:rsidRPr="00F419A1">
        <w:rPr>
          <w:szCs w:val="22"/>
          <w:lang w:val="en-CA"/>
        </w:rPr>
        <w:t>Switzerland, Jan. 29 - Feb. 3, 2009</w:t>
      </w:r>
      <w:bookmarkEnd w:id="8"/>
      <w:bookmarkEnd w:id="9"/>
      <w:r w:rsidRPr="00F419A1">
        <w:rPr>
          <w:szCs w:val="22"/>
          <w:lang w:val="en-CA"/>
        </w:rPr>
        <w:t>.</w:t>
      </w:r>
      <w:bookmarkEnd w:id="3"/>
    </w:p>
    <w:p w:rsidR="00DF10A0" w:rsidRPr="00F419A1" w:rsidRDefault="00DF10A0" w:rsidP="00DF10A0">
      <w:pPr>
        <w:numPr>
          <w:ilvl w:val="0"/>
          <w:numId w:val="2"/>
        </w:numPr>
        <w:tabs>
          <w:tab w:val="clear" w:pos="720"/>
        </w:tabs>
        <w:ind w:left="360"/>
        <w:jc w:val="both"/>
        <w:rPr>
          <w:szCs w:val="22"/>
          <w:lang w:val="en-CA"/>
        </w:rPr>
      </w:pPr>
      <w:bookmarkStart w:id="10" w:name="_Ref353045733"/>
      <w:r w:rsidRPr="00F419A1">
        <w:rPr>
          <w:szCs w:val="22"/>
          <w:lang w:val="en-CA"/>
        </w:rPr>
        <w:t xml:space="preserve">X. Li, P. </w:t>
      </w:r>
      <w:proofErr w:type="spellStart"/>
      <w:r w:rsidRPr="00F419A1">
        <w:rPr>
          <w:szCs w:val="22"/>
          <w:lang w:val="en-CA"/>
        </w:rPr>
        <w:t>Amon</w:t>
      </w:r>
      <w:proofErr w:type="spellEnd"/>
      <w:r w:rsidRPr="00F419A1">
        <w:rPr>
          <w:szCs w:val="22"/>
          <w:lang w:val="en-CA"/>
        </w:rPr>
        <w:t xml:space="preserve">, A. Hutter, A. Kaup, "Lagrange Multiplier Selection for Rate-Distortion Optimization in SVC", Picture Coding Symposium (PCS 2009), Chicago, US, </w:t>
      </w:r>
      <w:proofErr w:type="gramStart"/>
      <w:r w:rsidRPr="00F419A1">
        <w:rPr>
          <w:szCs w:val="22"/>
          <w:lang w:val="en-CA"/>
        </w:rPr>
        <w:t>May</w:t>
      </w:r>
      <w:proofErr w:type="gramEnd"/>
      <w:r w:rsidRPr="00F419A1">
        <w:rPr>
          <w:szCs w:val="22"/>
          <w:lang w:val="en-CA"/>
        </w:rPr>
        <w:t xml:space="preserve"> 2009.</w:t>
      </w:r>
      <w:bookmarkEnd w:id="4"/>
      <w:bookmarkEnd w:id="10"/>
    </w:p>
    <w:p w:rsidR="00DF10A0" w:rsidRPr="00F419A1" w:rsidRDefault="00DF10A0" w:rsidP="00DF10A0">
      <w:pPr>
        <w:numPr>
          <w:ilvl w:val="0"/>
          <w:numId w:val="2"/>
        </w:numPr>
        <w:tabs>
          <w:tab w:val="clear" w:pos="720"/>
        </w:tabs>
        <w:ind w:left="360"/>
        <w:jc w:val="both"/>
        <w:rPr>
          <w:szCs w:val="22"/>
          <w:lang w:val="en-CA"/>
        </w:rPr>
      </w:pPr>
      <w:bookmarkStart w:id="11" w:name="_Ref353050133"/>
      <w:r w:rsidRPr="00F419A1">
        <w:rPr>
          <w:szCs w:val="22"/>
          <w:lang w:val="en-CA"/>
        </w:rPr>
        <w:t xml:space="preserve">X. Li, J. Boyce, P. </w:t>
      </w:r>
      <w:proofErr w:type="spellStart"/>
      <w:r w:rsidRPr="00F419A1">
        <w:rPr>
          <w:szCs w:val="22"/>
          <w:lang w:val="en-CA"/>
        </w:rPr>
        <w:t>Onno</w:t>
      </w:r>
      <w:proofErr w:type="spellEnd"/>
      <w:r w:rsidRPr="00F419A1">
        <w:rPr>
          <w:szCs w:val="22"/>
          <w:lang w:val="en-CA"/>
        </w:rPr>
        <w:t xml:space="preserve">, Y. </w:t>
      </w:r>
      <w:proofErr w:type="spellStart"/>
      <w:r w:rsidRPr="00F419A1">
        <w:rPr>
          <w:szCs w:val="22"/>
          <w:lang w:val="en-CA"/>
        </w:rPr>
        <w:t>Ye</w:t>
      </w:r>
      <w:proofErr w:type="spellEnd"/>
      <w:r w:rsidRPr="00F419A1">
        <w:rPr>
          <w:szCs w:val="22"/>
          <w:lang w:val="en-CA"/>
        </w:rPr>
        <w:t>, “Common SHM test conditions and software reference configurations,” JCTVC-L1009, Geneva, Switzerland, Jan. 2013.</w:t>
      </w:r>
      <w:bookmarkEnd w:id="5"/>
      <w:bookmarkEnd w:id="11"/>
      <w:r w:rsidRPr="00F419A1">
        <w:rPr>
          <w:szCs w:val="22"/>
          <w:lang w:val="en-CA"/>
        </w:rPr>
        <w:t xml:space="preserve"> </w:t>
      </w:r>
    </w:p>
    <w:p w:rsidR="00DF10A0" w:rsidRPr="005B217D" w:rsidRDefault="00DF10A0" w:rsidP="00DF10A0">
      <w:pPr>
        <w:jc w:val="both"/>
        <w:rPr>
          <w:szCs w:val="22"/>
          <w:lang w:val="en-CA"/>
        </w:rPr>
      </w:pPr>
    </w:p>
    <w:p w:rsidR="00546DB5" w:rsidRPr="00DF10A0" w:rsidRDefault="00546DB5">
      <w:pPr>
        <w:rPr>
          <w:lang w:val="en-CA"/>
        </w:rPr>
      </w:pPr>
    </w:p>
    <w:sectPr w:rsidR="00546DB5" w:rsidRPr="00DF10A0"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D39" w:rsidRDefault="00CC0D39">
      <w:pPr>
        <w:spacing w:before="0"/>
      </w:pPr>
      <w:r>
        <w:separator/>
      </w:r>
    </w:p>
  </w:endnote>
  <w:endnote w:type="continuationSeparator" w:id="0">
    <w:p w:rsidR="00CC0D39" w:rsidRDefault="00CC0D3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FF9" w:rsidRDefault="00DF10A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161F3E">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161F3E">
      <w:rPr>
        <w:rStyle w:val="PageNumber"/>
        <w:noProof/>
      </w:rPr>
      <w:t>2013-04-08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D39" w:rsidRDefault="00CC0D39">
      <w:pPr>
        <w:spacing w:before="0"/>
      </w:pPr>
      <w:r>
        <w:separator/>
      </w:r>
    </w:p>
  </w:footnote>
  <w:footnote w:type="continuationSeparator" w:id="0">
    <w:p w:rsidR="00CC0D39" w:rsidRDefault="00CC0D39">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nsid w:val="38E01A7C"/>
    <w:multiLevelType w:val="hybridMultilevel"/>
    <w:tmpl w:val="9BFC8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FA4942"/>
    <w:multiLevelType w:val="hybridMultilevel"/>
    <w:tmpl w:val="613E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E95DF6"/>
    <w:multiLevelType w:val="hybridMultilevel"/>
    <w:tmpl w:val="B3928190"/>
    <w:lvl w:ilvl="0" w:tplc="91920094">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0AA215E"/>
    <w:multiLevelType w:val="hybridMultilevel"/>
    <w:tmpl w:val="0B806A6C"/>
    <w:lvl w:ilvl="0" w:tplc="4D6690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0A0"/>
    <w:rsid w:val="00161F3E"/>
    <w:rsid w:val="002370A9"/>
    <w:rsid w:val="00546DB5"/>
    <w:rsid w:val="00AC2C62"/>
    <w:rsid w:val="00CC0D39"/>
    <w:rsid w:val="00DF1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0A0"/>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eastAsia="Times New Roman" w:hAnsi="Times New Roman" w:cs="Times New Roman"/>
      <w:szCs w:val="20"/>
      <w:lang w:eastAsia="en-US"/>
    </w:rPr>
  </w:style>
  <w:style w:type="paragraph" w:styleId="Heading1">
    <w:name w:val="heading 1"/>
    <w:basedOn w:val="Normal"/>
    <w:next w:val="Normal"/>
    <w:link w:val="Heading1Char"/>
    <w:qFormat/>
    <w:rsid w:val="00DF10A0"/>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DF10A0"/>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DF10A0"/>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DF10A0"/>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qFormat/>
    <w:rsid w:val="00DF10A0"/>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DF10A0"/>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DF10A0"/>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DF10A0"/>
    <w:pPr>
      <w:keepNext/>
      <w:numPr>
        <w:ilvl w:val="7"/>
        <w:numId w:val="1"/>
      </w:numPr>
      <w:tabs>
        <w:tab w:val="left" w:pos="1800"/>
      </w:tabs>
      <w:spacing w:before="240" w:after="60"/>
      <w:ind w:left="1800" w:hanging="180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10A0"/>
    <w:rPr>
      <w:rFonts w:ascii="Times New Roman" w:eastAsia="Times New Roman" w:hAnsi="Times New Roman" w:cs="Arial"/>
      <w:b/>
      <w:bCs/>
      <w:kern w:val="32"/>
      <w:sz w:val="32"/>
      <w:szCs w:val="32"/>
      <w:lang w:eastAsia="en-US"/>
    </w:rPr>
  </w:style>
  <w:style w:type="character" w:customStyle="1" w:styleId="Heading2Char">
    <w:name w:val="Heading 2 Char"/>
    <w:basedOn w:val="DefaultParagraphFont"/>
    <w:link w:val="Heading2"/>
    <w:rsid w:val="00DF10A0"/>
    <w:rPr>
      <w:rFonts w:ascii="Times New Roman" w:eastAsia="Times New Roman" w:hAnsi="Times New Roman" w:cs="Times New Roman"/>
      <w:b/>
      <w:bCs/>
      <w:i/>
      <w:iCs/>
      <w:sz w:val="28"/>
      <w:szCs w:val="28"/>
      <w:lang w:eastAsia="en-US"/>
    </w:rPr>
  </w:style>
  <w:style w:type="character" w:customStyle="1" w:styleId="Heading3Char">
    <w:name w:val="Heading 3 Char"/>
    <w:basedOn w:val="DefaultParagraphFont"/>
    <w:link w:val="Heading3"/>
    <w:rsid w:val="00DF10A0"/>
    <w:rPr>
      <w:rFonts w:ascii="Times New Roman" w:eastAsia="Times New Roman" w:hAnsi="Times New Roman" w:cs="Times New Roman"/>
      <w:b/>
      <w:bCs/>
      <w:sz w:val="26"/>
      <w:szCs w:val="26"/>
      <w:lang w:eastAsia="en-US"/>
    </w:rPr>
  </w:style>
  <w:style w:type="character" w:customStyle="1" w:styleId="Heading4Char">
    <w:name w:val="Heading 4 Char"/>
    <w:basedOn w:val="DefaultParagraphFont"/>
    <w:link w:val="Heading4"/>
    <w:rsid w:val="00DF10A0"/>
    <w:rPr>
      <w:rFonts w:ascii="Times New Roman" w:eastAsia="Times New Roman" w:hAnsi="Times New Roman" w:cs="Times New Roman"/>
      <w:b/>
      <w:bCs/>
      <w:sz w:val="28"/>
      <w:szCs w:val="28"/>
      <w:lang w:eastAsia="en-US"/>
    </w:rPr>
  </w:style>
  <w:style w:type="character" w:customStyle="1" w:styleId="Heading5Char">
    <w:name w:val="Heading 5 Char"/>
    <w:basedOn w:val="DefaultParagraphFont"/>
    <w:link w:val="Heading5"/>
    <w:rsid w:val="00DF10A0"/>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DF10A0"/>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DF10A0"/>
    <w:rPr>
      <w:rFonts w:ascii="Times New Roman" w:eastAsia="Times New Roman" w:hAnsi="Times New Roman" w:cs="Times New Roman"/>
      <w:sz w:val="24"/>
      <w:szCs w:val="24"/>
      <w:lang w:eastAsia="en-US"/>
    </w:rPr>
  </w:style>
  <w:style w:type="character" w:customStyle="1" w:styleId="Heading8Char">
    <w:name w:val="Heading 8 Char"/>
    <w:basedOn w:val="DefaultParagraphFont"/>
    <w:link w:val="Heading8"/>
    <w:rsid w:val="00DF10A0"/>
    <w:rPr>
      <w:rFonts w:ascii="Times New Roman" w:eastAsia="Times New Roman" w:hAnsi="Times New Roman" w:cs="Times New Roman"/>
      <w:i/>
      <w:iCs/>
      <w:sz w:val="24"/>
      <w:szCs w:val="24"/>
      <w:lang w:eastAsia="en-US"/>
    </w:rPr>
  </w:style>
  <w:style w:type="paragraph" w:styleId="Footer">
    <w:name w:val="footer"/>
    <w:basedOn w:val="Normal"/>
    <w:link w:val="FooterChar"/>
    <w:rsid w:val="00DF10A0"/>
    <w:pPr>
      <w:tabs>
        <w:tab w:val="center" w:pos="4320"/>
        <w:tab w:val="right" w:pos="8640"/>
      </w:tabs>
    </w:pPr>
  </w:style>
  <w:style w:type="character" w:customStyle="1" w:styleId="FooterChar">
    <w:name w:val="Footer Char"/>
    <w:basedOn w:val="DefaultParagraphFont"/>
    <w:link w:val="Footer"/>
    <w:rsid w:val="00DF10A0"/>
    <w:rPr>
      <w:rFonts w:ascii="Times New Roman" w:eastAsia="Times New Roman" w:hAnsi="Times New Roman" w:cs="Times New Roman"/>
      <w:szCs w:val="20"/>
      <w:lang w:eastAsia="en-US"/>
    </w:rPr>
  </w:style>
  <w:style w:type="character" w:styleId="PageNumber">
    <w:name w:val="page number"/>
    <w:basedOn w:val="DefaultParagraphFont"/>
    <w:rsid w:val="00DF10A0"/>
  </w:style>
  <w:style w:type="character" w:styleId="Hyperlink">
    <w:name w:val="Hyperlink"/>
    <w:rsid w:val="00DF10A0"/>
    <w:rPr>
      <w:color w:val="0000FF"/>
      <w:u w:val="single"/>
    </w:rPr>
  </w:style>
  <w:style w:type="paragraph" w:styleId="ListParagraph">
    <w:name w:val="List Paragraph"/>
    <w:basedOn w:val="Normal"/>
    <w:uiPriority w:val="34"/>
    <w:qFormat/>
    <w:rsid w:val="00DF10A0"/>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宋体" w:hAnsi="Calibri"/>
      <w:szCs w:val="22"/>
      <w:lang w:eastAsia="zh-CN"/>
    </w:rPr>
  </w:style>
  <w:style w:type="paragraph" w:styleId="Caption">
    <w:name w:val="caption"/>
    <w:basedOn w:val="Normal"/>
    <w:next w:val="Normal"/>
    <w:unhideWhenUsed/>
    <w:qFormat/>
    <w:rsid w:val="00DF10A0"/>
    <w:rPr>
      <w:b/>
      <w:bCs/>
      <w:sz w:val="20"/>
    </w:rPr>
  </w:style>
  <w:style w:type="table" w:styleId="TableGrid">
    <w:name w:val="Table Grid"/>
    <w:basedOn w:val="TableNormal"/>
    <w:uiPriority w:val="59"/>
    <w:rsid w:val="00DF10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F10A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10A0"/>
    <w:rPr>
      <w:rFonts w:ascii="Tahoma" w:eastAsia="Times New Roman"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0A0"/>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eastAsia="Times New Roman" w:hAnsi="Times New Roman" w:cs="Times New Roman"/>
      <w:szCs w:val="20"/>
      <w:lang w:eastAsia="en-US"/>
    </w:rPr>
  </w:style>
  <w:style w:type="paragraph" w:styleId="Heading1">
    <w:name w:val="heading 1"/>
    <w:basedOn w:val="Normal"/>
    <w:next w:val="Normal"/>
    <w:link w:val="Heading1Char"/>
    <w:qFormat/>
    <w:rsid w:val="00DF10A0"/>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DF10A0"/>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DF10A0"/>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DF10A0"/>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qFormat/>
    <w:rsid w:val="00DF10A0"/>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DF10A0"/>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DF10A0"/>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DF10A0"/>
    <w:pPr>
      <w:keepNext/>
      <w:numPr>
        <w:ilvl w:val="7"/>
        <w:numId w:val="1"/>
      </w:numPr>
      <w:tabs>
        <w:tab w:val="left" w:pos="1800"/>
      </w:tabs>
      <w:spacing w:before="240" w:after="60"/>
      <w:ind w:left="1800" w:hanging="180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10A0"/>
    <w:rPr>
      <w:rFonts w:ascii="Times New Roman" w:eastAsia="Times New Roman" w:hAnsi="Times New Roman" w:cs="Arial"/>
      <w:b/>
      <w:bCs/>
      <w:kern w:val="32"/>
      <w:sz w:val="32"/>
      <w:szCs w:val="32"/>
      <w:lang w:eastAsia="en-US"/>
    </w:rPr>
  </w:style>
  <w:style w:type="character" w:customStyle="1" w:styleId="Heading2Char">
    <w:name w:val="Heading 2 Char"/>
    <w:basedOn w:val="DefaultParagraphFont"/>
    <w:link w:val="Heading2"/>
    <w:rsid w:val="00DF10A0"/>
    <w:rPr>
      <w:rFonts w:ascii="Times New Roman" w:eastAsia="Times New Roman" w:hAnsi="Times New Roman" w:cs="Times New Roman"/>
      <w:b/>
      <w:bCs/>
      <w:i/>
      <w:iCs/>
      <w:sz w:val="28"/>
      <w:szCs w:val="28"/>
      <w:lang w:eastAsia="en-US"/>
    </w:rPr>
  </w:style>
  <w:style w:type="character" w:customStyle="1" w:styleId="Heading3Char">
    <w:name w:val="Heading 3 Char"/>
    <w:basedOn w:val="DefaultParagraphFont"/>
    <w:link w:val="Heading3"/>
    <w:rsid w:val="00DF10A0"/>
    <w:rPr>
      <w:rFonts w:ascii="Times New Roman" w:eastAsia="Times New Roman" w:hAnsi="Times New Roman" w:cs="Times New Roman"/>
      <w:b/>
      <w:bCs/>
      <w:sz w:val="26"/>
      <w:szCs w:val="26"/>
      <w:lang w:eastAsia="en-US"/>
    </w:rPr>
  </w:style>
  <w:style w:type="character" w:customStyle="1" w:styleId="Heading4Char">
    <w:name w:val="Heading 4 Char"/>
    <w:basedOn w:val="DefaultParagraphFont"/>
    <w:link w:val="Heading4"/>
    <w:rsid w:val="00DF10A0"/>
    <w:rPr>
      <w:rFonts w:ascii="Times New Roman" w:eastAsia="Times New Roman" w:hAnsi="Times New Roman" w:cs="Times New Roman"/>
      <w:b/>
      <w:bCs/>
      <w:sz w:val="28"/>
      <w:szCs w:val="28"/>
      <w:lang w:eastAsia="en-US"/>
    </w:rPr>
  </w:style>
  <w:style w:type="character" w:customStyle="1" w:styleId="Heading5Char">
    <w:name w:val="Heading 5 Char"/>
    <w:basedOn w:val="DefaultParagraphFont"/>
    <w:link w:val="Heading5"/>
    <w:rsid w:val="00DF10A0"/>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DF10A0"/>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DF10A0"/>
    <w:rPr>
      <w:rFonts w:ascii="Times New Roman" w:eastAsia="Times New Roman" w:hAnsi="Times New Roman" w:cs="Times New Roman"/>
      <w:sz w:val="24"/>
      <w:szCs w:val="24"/>
      <w:lang w:eastAsia="en-US"/>
    </w:rPr>
  </w:style>
  <w:style w:type="character" w:customStyle="1" w:styleId="Heading8Char">
    <w:name w:val="Heading 8 Char"/>
    <w:basedOn w:val="DefaultParagraphFont"/>
    <w:link w:val="Heading8"/>
    <w:rsid w:val="00DF10A0"/>
    <w:rPr>
      <w:rFonts w:ascii="Times New Roman" w:eastAsia="Times New Roman" w:hAnsi="Times New Roman" w:cs="Times New Roman"/>
      <w:i/>
      <w:iCs/>
      <w:sz w:val="24"/>
      <w:szCs w:val="24"/>
      <w:lang w:eastAsia="en-US"/>
    </w:rPr>
  </w:style>
  <w:style w:type="paragraph" w:styleId="Footer">
    <w:name w:val="footer"/>
    <w:basedOn w:val="Normal"/>
    <w:link w:val="FooterChar"/>
    <w:rsid w:val="00DF10A0"/>
    <w:pPr>
      <w:tabs>
        <w:tab w:val="center" w:pos="4320"/>
        <w:tab w:val="right" w:pos="8640"/>
      </w:tabs>
    </w:pPr>
  </w:style>
  <w:style w:type="character" w:customStyle="1" w:styleId="FooterChar">
    <w:name w:val="Footer Char"/>
    <w:basedOn w:val="DefaultParagraphFont"/>
    <w:link w:val="Footer"/>
    <w:rsid w:val="00DF10A0"/>
    <w:rPr>
      <w:rFonts w:ascii="Times New Roman" w:eastAsia="Times New Roman" w:hAnsi="Times New Roman" w:cs="Times New Roman"/>
      <w:szCs w:val="20"/>
      <w:lang w:eastAsia="en-US"/>
    </w:rPr>
  </w:style>
  <w:style w:type="character" w:styleId="PageNumber">
    <w:name w:val="page number"/>
    <w:basedOn w:val="DefaultParagraphFont"/>
    <w:rsid w:val="00DF10A0"/>
  </w:style>
  <w:style w:type="character" w:styleId="Hyperlink">
    <w:name w:val="Hyperlink"/>
    <w:rsid w:val="00DF10A0"/>
    <w:rPr>
      <w:color w:val="0000FF"/>
      <w:u w:val="single"/>
    </w:rPr>
  </w:style>
  <w:style w:type="paragraph" w:styleId="ListParagraph">
    <w:name w:val="List Paragraph"/>
    <w:basedOn w:val="Normal"/>
    <w:uiPriority w:val="34"/>
    <w:qFormat/>
    <w:rsid w:val="00DF10A0"/>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宋体" w:hAnsi="Calibri"/>
      <w:szCs w:val="22"/>
      <w:lang w:eastAsia="zh-CN"/>
    </w:rPr>
  </w:style>
  <w:style w:type="paragraph" w:styleId="Caption">
    <w:name w:val="caption"/>
    <w:basedOn w:val="Normal"/>
    <w:next w:val="Normal"/>
    <w:unhideWhenUsed/>
    <w:qFormat/>
    <w:rsid w:val="00DF10A0"/>
    <w:rPr>
      <w:b/>
      <w:bCs/>
      <w:sz w:val="20"/>
    </w:rPr>
  </w:style>
  <w:style w:type="table" w:styleId="TableGrid">
    <w:name w:val="Table Grid"/>
    <w:basedOn w:val="TableNormal"/>
    <w:uiPriority w:val="59"/>
    <w:rsid w:val="00DF10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F10A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10A0"/>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jianle@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xiang@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Xiang Li</dc:creator>
  <cp:lastModifiedBy>Xiang Li</cp:lastModifiedBy>
  <cp:revision>3</cp:revision>
  <dcterms:created xsi:type="dcterms:W3CDTF">2013-04-08T22:48:00Z</dcterms:created>
  <dcterms:modified xsi:type="dcterms:W3CDTF">2013-04-08T23:02:00Z</dcterms:modified>
</cp:coreProperties>
</file>