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230D98" w:rsidP="00230D98">
            <w:pPr>
              <w:spacing w:before="0"/>
              <w:jc w:val="right"/>
              <w:rPr>
                <w:b/>
                <w:bCs/>
                <w:sz w:val="40"/>
              </w:rPr>
            </w:pPr>
            <w:bookmarkStart w:id="2" w:name="docnumber"/>
            <w:r w:rsidRPr="00230D98">
              <w:rPr>
                <w:b/>
                <w:bCs/>
                <w:sz w:val="40"/>
              </w:rPr>
              <w:t>AVD</w:t>
            </w:r>
            <w:r w:rsidR="006C499C" w:rsidRPr="00230D98">
              <w:rPr>
                <w:b/>
                <w:bCs/>
                <w:sz w:val="40"/>
              </w:rPr>
              <w:t>-</w:t>
            </w:r>
            <w:bookmarkEnd w:id="2"/>
            <w:r w:rsidRPr="00230D98">
              <w:rPr>
                <w:b/>
                <w:bCs/>
                <w:sz w:val="40"/>
              </w:rPr>
              <w:t>4524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230D98" w:rsidP="006C499C">
            <w:r>
              <w:t>2</w:t>
            </w:r>
            <w:r w:rsidR="00926138">
              <w:t>/16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230D98"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230D98" w:rsidP="006C499C">
            <w:pPr>
              <w:spacing w:after="120"/>
            </w:pPr>
            <w:r>
              <w:t>Common NAT/FW Procedures for H.300-series packet-based multimedia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30D98" w:rsidP="006C499C">
            <w:pPr>
              <w:spacing w:after="120"/>
            </w:pPr>
            <w:r>
              <w:t>Proposal</w:t>
            </w:r>
          </w:p>
        </w:tc>
      </w:tr>
      <w:bookmarkEnd w:id="1"/>
      <w:bookmarkEnd w:id="9"/>
    </w:tbl>
    <w:p w:rsidR="006C499C" w:rsidRPr="00A14FB6" w:rsidRDefault="006C499C" w:rsidP="006C499C"/>
    <w:p w:rsidR="006C499C" w:rsidRDefault="006C499C" w:rsidP="006C499C">
      <w:pPr>
        <w:pStyle w:val="Headingb"/>
      </w:pPr>
      <w:r w:rsidRPr="00A14FB6">
        <w:t>Summary</w:t>
      </w:r>
    </w:p>
    <w:p w:rsidR="00A83FFA" w:rsidRDefault="00A83FFA" w:rsidP="00230D98">
      <w:r>
        <w:t>This contribution is to define a common simple NAT/FW bind test procedure for H.300</w:t>
      </w:r>
      <w:r w:rsidR="00606F4F">
        <w:t xml:space="preserve">-series packet-based multimedia </w:t>
      </w:r>
      <w:r>
        <w:t>systems to be used as input to formulate appropriate H.32x protocol NAT traversal strategies.</w:t>
      </w:r>
      <w:r w:rsidR="00606F4F">
        <w:t xml:space="preserve"> It may also be used to open pinholes in NAT/FW for media.</w:t>
      </w:r>
    </w:p>
    <w:p w:rsidR="00A83FFA" w:rsidRPr="00230D98" w:rsidRDefault="00A83FFA" w:rsidP="00230D98"/>
    <w:p w:rsidR="006C499C" w:rsidRPr="0075438F" w:rsidRDefault="006C499C" w:rsidP="00A30442">
      <w:pPr>
        <w:rPr>
          <w:b/>
        </w:rPr>
      </w:pPr>
      <w:r w:rsidRPr="0075438F">
        <w:rPr>
          <w:b/>
        </w:rPr>
        <w:t>Introduction</w:t>
      </w:r>
    </w:p>
    <w:p w:rsidR="00530250" w:rsidRDefault="0075438F" w:rsidP="0075438F">
      <w:r>
        <w:t>In H.323 systems, classic STUN (RFC 3489) used in conjunction with H.460.23 provides an excellent method to detect the behaviour of a NAT/FW device. The behaviour can then be used as input into NAT Strategy calculations</w:t>
      </w:r>
      <w:r w:rsidR="00530250">
        <w:t xml:space="preserve"> as defined in H.460.24.</w:t>
      </w:r>
      <w:r w:rsidR="0074697C">
        <w:t xml:space="preserve"> </w:t>
      </w:r>
    </w:p>
    <w:p w:rsidR="00530250" w:rsidRDefault="00530250" w:rsidP="0075438F">
      <w:r>
        <w:t>H.460.24 Annex B has been shown to be a very</w:t>
      </w:r>
      <w:r w:rsidRPr="00530250">
        <w:t xml:space="preserve"> omnivorous</w:t>
      </w:r>
      <w:r>
        <w:t xml:space="preserve"> </w:t>
      </w:r>
      <w:r w:rsidR="0074697C">
        <w:t xml:space="preserve">in </w:t>
      </w:r>
      <w:r>
        <w:t>a</w:t>
      </w:r>
      <w:r w:rsidR="0074697C">
        <w:t>chieving</w:t>
      </w:r>
      <w:r>
        <w:t xml:space="preserve"> direct IP connectivity between devices that reside behind </w:t>
      </w:r>
      <w:r w:rsidR="00A83FFA">
        <w:t>different</w:t>
      </w:r>
      <w:r>
        <w:t xml:space="preserve"> NAT/FW device</w:t>
      </w:r>
      <w:r w:rsidR="00A83FFA">
        <w:t>s</w:t>
      </w:r>
      <w:r>
        <w:t xml:space="preserve">. Once both devices have been tested and detected as being suitable, the method uses an ordered </w:t>
      </w:r>
      <w:r w:rsidR="00A83FFA">
        <w:t xml:space="preserve">controlled </w:t>
      </w:r>
      <w:r>
        <w:t xml:space="preserve">progression of </w:t>
      </w:r>
      <w:r w:rsidR="00A83FFA">
        <w:t>UDP messages</w:t>
      </w:r>
      <w:r>
        <w:t xml:space="preserve"> to yield direct media connectivity.</w:t>
      </w:r>
    </w:p>
    <w:p w:rsidR="001D3083" w:rsidRDefault="001D3083" w:rsidP="001D3083">
      <w:r>
        <w:t>NAT/FW traversal can be a very complex topic. With the movement towards simplifying signalling and media flow establishment procedures</w:t>
      </w:r>
      <w:r w:rsidR="006A3BC3">
        <w:t xml:space="preserve"> NAT/FW procedures should not be overlooked</w:t>
      </w:r>
      <w:r>
        <w:t>.</w:t>
      </w:r>
    </w:p>
    <w:p w:rsidR="001D3083" w:rsidRDefault="001D3083" w:rsidP="0075438F"/>
    <w:p w:rsidR="006C499C" w:rsidRPr="0075438F" w:rsidRDefault="006C499C" w:rsidP="00A30442">
      <w:pPr>
        <w:rPr>
          <w:b/>
          <w:lang w:eastAsia="ja-JP"/>
        </w:rPr>
      </w:pPr>
      <w:r w:rsidRPr="0075438F">
        <w:rPr>
          <w:b/>
          <w:lang w:eastAsia="ja-JP"/>
        </w:rPr>
        <w:t>Discussion</w:t>
      </w:r>
    </w:p>
    <w:p w:rsidR="00530250" w:rsidRDefault="001D3083" w:rsidP="00A30442">
      <w:r>
        <w:t>By simplifying RFC 3489 and using the</w:t>
      </w:r>
      <w:r w:rsidR="006A3BC3">
        <w:t xml:space="preserve"> core</w:t>
      </w:r>
      <w:r>
        <w:t xml:space="preserve"> logic of</w:t>
      </w:r>
      <w:r w:rsidR="006A3BC3">
        <w:t xml:space="preserve"> </w:t>
      </w:r>
      <w:r>
        <w:t>H.460.24 A</w:t>
      </w:r>
      <w:r w:rsidR="006A3BC3">
        <w:t>nnex B a very simple NAT/FW solution is possible. This would involve a simple NAT bind</w:t>
      </w:r>
      <w:r w:rsidR="0094230F">
        <w:t>ing</w:t>
      </w:r>
      <w:r w:rsidR="006A3BC3">
        <w:t xml:space="preserve"> test procedure and protocol specific NAT strategy implementation procedure.</w:t>
      </w:r>
    </w:p>
    <w:p w:rsidR="001D3083" w:rsidRDefault="001D3083" w:rsidP="00A30442"/>
    <w:p w:rsidR="006C499C" w:rsidRPr="0075438F" w:rsidRDefault="006C499C" w:rsidP="00A30442">
      <w:pPr>
        <w:rPr>
          <w:b/>
          <w:lang w:eastAsia="ja-JP"/>
        </w:rPr>
      </w:pPr>
      <w:r w:rsidRPr="0075438F">
        <w:rPr>
          <w:b/>
          <w:lang w:eastAsia="ja-JP"/>
        </w:rPr>
        <w:t>Conclusion</w:t>
      </w:r>
    </w:p>
    <w:p w:rsidR="00A30442" w:rsidRDefault="006A3BC3">
      <w:r>
        <w:t>Attached is a proposal draft for a new work item for a media binding test procedures.</w:t>
      </w:r>
    </w:p>
    <w:p w:rsidR="00A30442" w:rsidRDefault="00A30442"/>
    <w:p w:rsidR="00A30442" w:rsidRDefault="00A30442">
      <w:pPr>
        <w:tabs>
          <w:tab w:val="clear" w:pos="794"/>
          <w:tab w:val="clear" w:pos="1191"/>
          <w:tab w:val="clear" w:pos="1588"/>
          <w:tab w:val="clear" w:pos="1985"/>
        </w:tabs>
        <w:overflowPunct/>
        <w:autoSpaceDE/>
        <w:autoSpaceDN/>
        <w:adjustRightInd/>
        <w:spacing w:before="0"/>
        <w:textAlignment w:val="auto"/>
        <w:rPr>
          <w:highlight w:val="yellow"/>
        </w:rPr>
      </w:pPr>
      <w:r>
        <w:rPr>
          <w:highlight w:val="yellow"/>
        </w:rPr>
        <w:br w:type="page"/>
      </w:r>
    </w:p>
    <w:p w:rsidR="00A30442" w:rsidRPr="00DB2F03" w:rsidRDefault="00A30442" w:rsidP="00A30442">
      <w:pPr>
        <w:keepNext/>
        <w:keepLines/>
        <w:spacing w:before="360"/>
        <w:jc w:val="center"/>
        <w:rPr>
          <w:rFonts w:eastAsia="Times New Roman"/>
          <w:b/>
          <w:sz w:val="28"/>
          <w:lang w:eastAsia="zh-CN"/>
        </w:rPr>
      </w:pPr>
      <w:r>
        <w:rPr>
          <w:rFonts w:eastAsia="Times New Roman"/>
          <w:b/>
          <w:sz w:val="28"/>
          <w:lang w:eastAsia="zh-CN"/>
        </w:rPr>
        <w:lastRenderedPageBreak/>
        <w:t xml:space="preserve">Media binding </w:t>
      </w:r>
      <w:r w:rsidR="00823069">
        <w:rPr>
          <w:rFonts w:eastAsia="Times New Roman"/>
          <w:b/>
          <w:sz w:val="28"/>
          <w:lang w:eastAsia="zh-CN"/>
        </w:rPr>
        <w:t xml:space="preserve">test </w:t>
      </w:r>
      <w:r>
        <w:rPr>
          <w:rFonts w:eastAsia="Times New Roman"/>
          <w:b/>
          <w:sz w:val="28"/>
          <w:lang w:eastAsia="zh-CN"/>
        </w:rPr>
        <w:t xml:space="preserve">procedures in </w:t>
      </w:r>
      <w:r w:rsidRPr="00A30442">
        <w:rPr>
          <w:rFonts w:eastAsia="Times New Roman"/>
          <w:b/>
          <w:sz w:val="28"/>
          <w:lang w:eastAsia="zh-CN"/>
        </w:rPr>
        <w:t>H.300-series packet-based multimedia systems</w:t>
      </w:r>
    </w:p>
    <w:p w:rsidR="00A30442" w:rsidRPr="00553CF8" w:rsidRDefault="00A30442" w:rsidP="00A30442">
      <w:pPr>
        <w:pStyle w:val="Heading1"/>
      </w:pPr>
      <w:bookmarkStart w:id="10" w:name="_Toc412373351"/>
      <w:bookmarkStart w:id="11" w:name="_Toc412457290"/>
      <w:bookmarkStart w:id="12" w:name="_Toc412457983"/>
      <w:bookmarkStart w:id="13" w:name="_Toc416449262"/>
      <w:bookmarkStart w:id="14" w:name="_Toc416449505"/>
      <w:bookmarkStart w:id="15" w:name="_Toc416449713"/>
      <w:bookmarkStart w:id="16" w:name="_Toc416450881"/>
      <w:bookmarkStart w:id="17" w:name="_Toc416451031"/>
      <w:bookmarkStart w:id="18" w:name="_Toc416451229"/>
      <w:bookmarkStart w:id="19" w:name="_Toc416451564"/>
      <w:bookmarkStart w:id="20" w:name="_Toc422728997"/>
      <w:bookmarkStart w:id="21" w:name="_Toc422909874"/>
      <w:bookmarkStart w:id="22" w:name="_Toc422910129"/>
      <w:bookmarkStart w:id="23" w:name="_Toc422910269"/>
      <w:bookmarkStart w:id="24" w:name="_Toc423493751"/>
      <w:bookmarkStart w:id="25" w:name="_Toc516560350"/>
      <w:bookmarkStart w:id="26" w:name="_Toc530812479"/>
      <w:bookmarkStart w:id="27" w:name="_Toc530816055"/>
      <w:bookmarkStart w:id="28" w:name="_Toc530975828"/>
      <w:bookmarkStart w:id="29" w:name="_Toc152071564"/>
      <w:bookmarkStart w:id="30" w:name="_Toc153180002"/>
      <w:bookmarkStart w:id="31" w:name="_Toc162937081"/>
      <w:bookmarkStart w:id="32" w:name="_Toc176852131"/>
      <w:bookmarkStart w:id="33" w:name="_Toc178733416"/>
      <w:r w:rsidRPr="00553CF8">
        <w: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53CF8">
        <w:t>cope</w:t>
      </w:r>
      <w:bookmarkEnd w:id="29"/>
      <w:bookmarkEnd w:id="30"/>
      <w:bookmarkEnd w:id="31"/>
      <w:bookmarkEnd w:id="32"/>
      <w:bookmarkEnd w:id="33"/>
    </w:p>
    <w:p w:rsidR="00A30442" w:rsidRPr="00A14FB6" w:rsidRDefault="0094230F">
      <w:r>
        <w:t>This procedure may be used t</w:t>
      </w:r>
      <w:r w:rsidR="00601CC4">
        <w:t>o test</w:t>
      </w:r>
      <w:r w:rsidR="00774CAD">
        <w:t xml:space="preserve"> the </w:t>
      </w:r>
      <w:r>
        <w:t xml:space="preserve">binding </w:t>
      </w:r>
      <w:r w:rsidR="00601CC4">
        <w:t>behaviour</w:t>
      </w:r>
      <w:r w:rsidR="00274A77">
        <w:t xml:space="preserve"> </w:t>
      </w:r>
      <w:r w:rsidR="00601CC4">
        <w:t>of a NAT/FW device.</w:t>
      </w:r>
      <w:r w:rsidR="00823069">
        <w:t xml:space="preserve"> The results of which may be used as input to formulate NAT/FW traversal strategies.</w:t>
      </w:r>
      <w:r w:rsidR="000B34E9">
        <w:t xml:space="preserve"> The procedure may also be used, where instructed, to open pinholes in the NAT/FW device for the purpose of establishing media flows.</w:t>
      </w:r>
    </w:p>
    <w:p w:rsidR="00A30442" w:rsidRPr="00DB2F03" w:rsidRDefault="00A30442" w:rsidP="00A30442">
      <w:pPr>
        <w:pStyle w:val="Heading1"/>
      </w:pPr>
      <w:bookmarkStart w:id="34" w:name="_Toc530812480"/>
      <w:bookmarkStart w:id="35" w:name="_Toc530816056"/>
      <w:bookmarkStart w:id="36" w:name="_Toc530975829"/>
      <w:bookmarkStart w:id="37" w:name="_Toc152071565"/>
      <w:bookmarkStart w:id="38" w:name="_Toc153180003"/>
      <w:bookmarkStart w:id="39" w:name="_Toc162937082"/>
      <w:bookmarkStart w:id="40" w:name="_Toc176852132"/>
      <w:bookmarkStart w:id="41" w:name="_Toc178733417"/>
      <w:r w:rsidRPr="00DB2F03">
        <w:t>References</w:t>
      </w:r>
      <w:bookmarkEnd w:id="34"/>
      <w:bookmarkEnd w:id="35"/>
      <w:bookmarkEnd w:id="36"/>
      <w:bookmarkEnd w:id="37"/>
      <w:bookmarkEnd w:id="38"/>
      <w:bookmarkEnd w:id="39"/>
      <w:bookmarkEnd w:id="40"/>
      <w:bookmarkEnd w:id="41"/>
    </w:p>
    <w:p w:rsidR="00A30442" w:rsidRPr="00CA55F8" w:rsidRDefault="00A30442" w:rsidP="00CA55F8">
      <w:pPr>
        <w:jc w:val="both"/>
        <w:rPr>
          <w:rFonts w:eastAsia="Times New Roman"/>
          <w:lang w:val="en-US"/>
        </w:rPr>
      </w:pPr>
      <w:r w:rsidRPr="00DB2F03">
        <w:rPr>
          <w:rFonts w:eastAsia="Times New Roman"/>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A55F8" w:rsidRDefault="00CA55F8" w:rsidP="00CA55F8">
      <w:r>
        <w:t>[IETF RFC 3489]</w:t>
      </w:r>
      <w:r>
        <w:tab/>
        <w:t>IETF RFC 3489 (2003), STUN – Simple Traversal of User Datagram Protocol (UDP) Through Network Address Translators (NATs).</w:t>
      </w:r>
    </w:p>
    <w:p w:rsidR="00A30442" w:rsidRDefault="00A30442" w:rsidP="00CA55F8"/>
    <w:p w:rsidR="00CA55F8" w:rsidRDefault="00CA55F8" w:rsidP="00CA55F8">
      <w:pPr>
        <w:pStyle w:val="Heading1"/>
      </w:pPr>
      <w:bookmarkStart w:id="42" w:name="_Toc176852134"/>
      <w:bookmarkStart w:id="43" w:name="_Toc178733418"/>
      <w:bookmarkStart w:id="44" w:name="_Toc412373354"/>
      <w:bookmarkStart w:id="45" w:name="_Toc412457293"/>
      <w:bookmarkStart w:id="46" w:name="_Toc412457986"/>
      <w:bookmarkStart w:id="47" w:name="_Toc416449269"/>
      <w:bookmarkStart w:id="48" w:name="_Toc416449510"/>
      <w:bookmarkStart w:id="49" w:name="_Toc416449718"/>
      <w:bookmarkStart w:id="50" w:name="_Toc416450886"/>
      <w:bookmarkStart w:id="51" w:name="_Toc416451034"/>
      <w:bookmarkStart w:id="52" w:name="_Toc416451232"/>
      <w:bookmarkStart w:id="53" w:name="_Toc416451567"/>
      <w:bookmarkStart w:id="54" w:name="_Toc422729000"/>
      <w:bookmarkStart w:id="55" w:name="_Toc422909877"/>
      <w:bookmarkStart w:id="56" w:name="_Toc422910132"/>
      <w:bookmarkStart w:id="57" w:name="_Toc422910272"/>
      <w:bookmarkStart w:id="58" w:name="_Toc423493754"/>
      <w:bookmarkStart w:id="59" w:name="_Toc516560352"/>
      <w:bookmarkStart w:id="60" w:name="_Toc530812481"/>
      <w:bookmarkStart w:id="61" w:name="_Toc530816057"/>
      <w:bookmarkStart w:id="62" w:name="_Toc530975830"/>
      <w:bookmarkStart w:id="63" w:name="_Toc152071567"/>
      <w:bookmarkStart w:id="64" w:name="_Toc153180005"/>
      <w:bookmarkStart w:id="65" w:name="_Toc162937084"/>
      <w:r w:rsidRPr="00DB2F03">
        <w:t>Definitions</w:t>
      </w:r>
      <w:bookmarkEnd w:id="42"/>
      <w:bookmarkEnd w:id="43"/>
    </w:p>
    <w:p w:rsidR="00CA55F8" w:rsidRDefault="00CA55F8" w:rsidP="00CA55F8">
      <w:pPr>
        <w:pStyle w:val="Heading2"/>
      </w:pPr>
      <w:r>
        <w:t>Terms defined elsewhere</w:t>
      </w:r>
    </w:p>
    <w:p w:rsidR="00CA55F8" w:rsidRPr="006C0481" w:rsidRDefault="00CA55F8" w:rsidP="00CA55F8">
      <w:r w:rsidRPr="0078001F">
        <w:t>This Recommendation uses the following terms defined elsewhere</w:t>
      </w:r>
      <w:r>
        <w:t>:</w:t>
      </w:r>
    </w:p>
    <w:p w:rsidR="00CA55F8" w:rsidRPr="00CA55F8" w:rsidRDefault="00CA55F8" w:rsidP="00CA55F8">
      <w:pPr>
        <w:pStyle w:val="Heading2"/>
      </w:pPr>
      <w:r>
        <w:t>Terms defined in this Recommendation</w:t>
      </w:r>
    </w:p>
    <w:p w:rsidR="00CA55F8" w:rsidRPr="006C0481" w:rsidRDefault="00CA55F8" w:rsidP="00CA55F8">
      <w:r w:rsidRPr="00E854CC">
        <w:t>This Recommendation defines the following terms:</w:t>
      </w:r>
    </w:p>
    <w:p w:rsidR="00CA55F8" w:rsidRPr="00CA55F8" w:rsidRDefault="00CA55F8" w:rsidP="00CA55F8">
      <w:r>
        <w:rPr>
          <w:b/>
        </w:rPr>
        <w:t xml:space="preserve">3.2.1 </w:t>
      </w:r>
      <w:r w:rsidRPr="00CA55F8">
        <w:rPr>
          <w:b/>
        </w:rPr>
        <w:t xml:space="preserve">Cone Binding: </w:t>
      </w:r>
      <w:r>
        <w:t>The behaviour of a NAT/FW device where a packet sent from the same IP and port on the inside of the NAT</w:t>
      </w:r>
      <w:r w:rsidR="000B34E9">
        <w:t>/FW</w:t>
      </w:r>
      <w:r>
        <w:t xml:space="preserve"> to </w:t>
      </w:r>
      <w:r w:rsidR="002138BA">
        <w:t>two or more different IP and Port on the outside of the NAT/FW device uses the same IP and Port (binding) on the outside of the NAT/FW device.</w:t>
      </w:r>
    </w:p>
    <w:p w:rsidR="002138BA" w:rsidRPr="00CA55F8" w:rsidRDefault="00CA55F8" w:rsidP="002138BA">
      <w:r w:rsidRPr="00CA55F8">
        <w:rPr>
          <w:b/>
        </w:rPr>
        <w:t xml:space="preserve">3.2.2 Symmetric Binding: </w:t>
      </w:r>
      <w:r w:rsidR="002138BA">
        <w:t>The behaviour of a NAT/FW device where a pa</w:t>
      </w:r>
      <w:r w:rsidR="000B34E9">
        <w:t>cket sent from the same IP and P</w:t>
      </w:r>
      <w:r w:rsidR="002138BA">
        <w:t>ort on the inside of the NAT</w:t>
      </w:r>
      <w:r w:rsidR="000B34E9">
        <w:t>/FW</w:t>
      </w:r>
      <w:r w:rsidR="002138BA">
        <w:t xml:space="preserve"> to two or more different IP and Port on the outside of the NAT/FW device uses different IP and Port (binding) on the outside of the NAT/FW device.</w:t>
      </w:r>
    </w:p>
    <w:p w:rsidR="00CA55F8" w:rsidRPr="00823069" w:rsidRDefault="00823069" w:rsidP="00CA55F8">
      <w:r w:rsidRPr="00823069">
        <w:rPr>
          <w:b/>
        </w:rPr>
        <w:t xml:space="preserve">3.2.3 Bind </w:t>
      </w:r>
      <w:r w:rsidR="00B42FE5">
        <w:rPr>
          <w:b/>
        </w:rPr>
        <w:t xml:space="preserve">Test </w:t>
      </w:r>
      <w:r w:rsidRPr="00823069">
        <w:rPr>
          <w:b/>
        </w:rPr>
        <w:t>Server:</w:t>
      </w:r>
      <w:r>
        <w:rPr>
          <w:b/>
        </w:rPr>
        <w:t xml:space="preserve"> </w:t>
      </w:r>
      <w:r>
        <w:t>A server on the public internet to assist in bind testing.</w:t>
      </w:r>
    </w:p>
    <w:p w:rsidR="00CA55F8" w:rsidRPr="00DB2F03" w:rsidRDefault="00CA55F8" w:rsidP="00CA55F8">
      <w:pPr>
        <w:pStyle w:val="Heading1"/>
      </w:pPr>
      <w:bookmarkStart w:id="66" w:name="_Toc176852135"/>
      <w:bookmarkStart w:id="67" w:name="_Toc178733419"/>
      <w:r w:rsidRPr="00DB2F03">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DB2F03">
        <w:t xml:space="preserve"> and acronyms</w:t>
      </w:r>
      <w:bookmarkEnd w:id="66"/>
      <w:bookmarkEnd w:id="67"/>
    </w:p>
    <w:p w:rsidR="00CA55F8" w:rsidRDefault="00CA55F8" w:rsidP="00CA55F8">
      <w:pPr>
        <w:keepNext/>
        <w:keepLines/>
        <w:jc w:val="both"/>
        <w:rPr>
          <w:rFonts w:eastAsia="Times New Roman"/>
        </w:rPr>
      </w:pPr>
      <w:r w:rsidRPr="00DB2F03">
        <w:rPr>
          <w:rFonts w:eastAsia="Times New Roman"/>
        </w:rPr>
        <w:t>This Recommendation uses the following abbreviations and acronyms:</w:t>
      </w:r>
    </w:p>
    <w:p w:rsidR="003F29C8" w:rsidRPr="00DB2F03" w:rsidRDefault="003F29C8" w:rsidP="00CA55F8">
      <w:pPr>
        <w:keepNext/>
        <w:keepLines/>
        <w:jc w:val="both"/>
        <w:rPr>
          <w:rFonts w:eastAsia="Times New Roman"/>
        </w:rPr>
      </w:pPr>
      <w:r>
        <w:rPr>
          <w:rFonts w:eastAsia="Times New Roman"/>
        </w:rPr>
        <w:t>BTS            Bind Test Server</w:t>
      </w:r>
    </w:p>
    <w:p w:rsidR="00CA55F8" w:rsidRPr="008B0636" w:rsidRDefault="00CA55F8" w:rsidP="00CA55F8">
      <w:pPr>
        <w:tabs>
          <w:tab w:val="clear" w:pos="794"/>
        </w:tabs>
      </w:pPr>
      <w:r w:rsidRPr="008B0636">
        <w:t>FW</w:t>
      </w:r>
      <w:r w:rsidRPr="008B0636">
        <w:tab/>
        <w:t>Firewall</w:t>
      </w:r>
    </w:p>
    <w:p w:rsidR="00CA55F8" w:rsidRDefault="00CA55F8" w:rsidP="00CA55F8">
      <w:pPr>
        <w:tabs>
          <w:tab w:val="clear" w:pos="794"/>
        </w:tabs>
      </w:pPr>
      <w:r w:rsidRPr="008B0636">
        <w:t>NAT</w:t>
      </w:r>
      <w:r w:rsidRPr="008B0636">
        <w:tab/>
        <w:t>Network Address Translator</w:t>
      </w:r>
    </w:p>
    <w:p w:rsidR="00CA55F8" w:rsidRDefault="00CA55F8" w:rsidP="00CA55F8">
      <w:pPr>
        <w:tabs>
          <w:tab w:val="clear" w:pos="794"/>
        </w:tabs>
      </w:pPr>
      <w:r>
        <w:t>RTCP</w:t>
      </w:r>
      <w:r>
        <w:tab/>
        <w:t>Real</w:t>
      </w:r>
      <w:r>
        <w:noBreakHyphen/>
        <w:t>time Transport Control Protocol</w:t>
      </w:r>
    </w:p>
    <w:p w:rsidR="00CA55F8" w:rsidRDefault="00CA55F8" w:rsidP="00CA55F8">
      <w:pPr>
        <w:tabs>
          <w:tab w:val="clear" w:pos="794"/>
        </w:tabs>
      </w:pPr>
      <w:r>
        <w:t>RTP</w:t>
      </w:r>
      <w:r>
        <w:tab/>
        <w:t>Real</w:t>
      </w:r>
      <w:r>
        <w:noBreakHyphen/>
        <w:t>time Transport Protocol</w:t>
      </w:r>
    </w:p>
    <w:p w:rsidR="00CA55F8" w:rsidRDefault="00CA55F8" w:rsidP="00CA55F8">
      <w:pPr>
        <w:tabs>
          <w:tab w:val="clear" w:pos="794"/>
        </w:tabs>
      </w:pPr>
      <w:r w:rsidRPr="008B0636">
        <w:lastRenderedPageBreak/>
        <w:t>STUN</w:t>
      </w:r>
      <w:r w:rsidRPr="008B0636">
        <w:tab/>
        <w:t>Simple Traversal of User datagram protoc</w:t>
      </w:r>
      <w:r>
        <w:t>ol</w:t>
      </w:r>
      <w:r w:rsidRPr="008B0636">
        <w:t xml:space="preserve"> through Network address translators</w:t>
      </w:r>
    </w:p>
    <w:p w:rsidR="00CA55F8" w:rsidRPr="008B0636" w:rsidRDefault="00CA55F8" w:rsidP="00CA55F8">
      <w:pPr>
        <w:tabs>
          <w:tab w:val="clear" w:pos="794"/>
        </w:tabs>
      </w:pPr>
      <w:r>
        <w:t>UDP</w:t>
      </w:r>
      <w:r>
        <w:tab/>
        <w:t>User Datagram Protocol</w:t>
      </w:r>
    </w:p>
    <w:p w:rsidR="00CA55F8" w:rsidRDefault="00CA55F8" w:rsidP="00CA55F8"/>
    <w:p w:rsidR="002138BA" w:rsidRDefault="002138BA" w:rsidP="002138BA">
      <w:pPr>
        <w:pStyle w:val="Heading1"/>
      </w:pPr>
      <w:r>
        <w:t>Overview</w:t>
      </w:r>
    </w:p>
    <w:p w:rsidR="00373C21" w:rsidRPr="00373C21" w:rsidRDefault="00373C21" w:rsidP="00373C21">
      <w:r>
        <w:t xml:space="preserve">This recommendation implements a small subset of RFC3489 for the purpose of determining general NAT/FW behaviour for the purpose of implementing </w:t>
      </w:r>
      <w:r w:rsidR="003F29C8">
        <w:t xml:space="preserve">appropriate </w:t>
      </w:r>
      <w:r>
        <w:t xml:space="preserve">protocol specific NAT </w:t>
      </w:r>
      <w:r w:rsidR="00C15783">
        <w:t xml:space="preserve">traversal </w:t>
      </w:r>
      <w:r>
        <w:t>strategies.</w:t>
      </w:r>
    </w:p>
    <w:p w:rsidR="002138BA" w:rsidRDefault="00823069" w:rsidP="002138BA">
      <w:r>
        <w:t xml:space="preserve">Not every </w:t>
      </w:r>
      <w:r w:rsidR="00601CC4">
        <w:t>N</w:t>
      </w:r>
      <w:r>
        <w:t xml:space="preserve">AT/FW device behaves </w:t>
      </w:r>
      <w:r w:rsidR="00BE56D7">
        <w:t xml:space="preserve">in </w:t>
      </w:r>
      <w:r>
        <w:t>the same way</w:t>
      </w:r>
      <w:r w:rsidR="00601CC4">
        <w:t xml:space="preserve"> when sending packets from the inside of the NAT/FW to the outside. RFC 3489 </w:t>
      </w:r>
      <w:r w:rsidR="00BE56D7">
        <w:t>clause 5 specifies</w:t>
      </w:r>
      <w:r w:rsidR="00601CC4">
        <w:t xml:space="preserve"> </w:t>
      </w:r>
      <w:r w:rsidR="00BE56D7">
        <w:t>a number</w:t>
      </w:r>
      <w:r w:rsidR="00601CC4">
        <w:t xml:space="preserve"> </w:t>
      </w:r>
      <w:r>
        <w:t>of NAT/Firewall</w:t>
      </w:r>
      <w:r w:rsidR="00BE56D7">
        <w:t xml:space="preserve"> </w:t>
      </w:r>
      <w:r w:rsidR="00601CC4">
        <w:t>behaviour</w:t>
      </w:r>
      <w:r>
        <w:t xml:space="preserve"> variants</w:t>
      </w:r>
      <w:r w:rsidR="00601CC4">
        <w:t>.</w:t>
      </w:r>
      <w:r w:rsidR="00BE56D7">
        <w:t xml:space="preserve"> These variants can be grouped into 2 broad categories</w:t>
      </w:r>
      <w:r w:rsidR="00D35329">
        <w:t xml:space="preserve"> based on their binding behaviour</w:t>
      </w:r>
      <w:r w:rsidR="00BE56D7">
        <w:t>.</w:t>
      </w:r>
      <w:r w:rsidR="00D35329">
        <w:t xml:space="preserve"> Table 1 details the variants and their binding behaviour.</w:t>
      </w:r>
    </w:p>
    <w:p w:rsidR="00D35329" w:rsidRPr="006A6FE2" w:rsidRDefault="00D35329" w:rsidP="00D35329">
      <w:pPr>
        <w:pStyle w:val="TableNotitle"/>
      </w:pPr>
      <w:r w:rsidRPr="006A6FE2">
        <w:t xml:space="preserve">Table 1 </w:t>
      </w:r>
      <w:r w:rsidRPr="006A6FE2">
        <w:sym w:font="Symbol" w:char="F02D"/>
      </w:r>
      <w:r w:rsidRPr="006A6FE2">
        <w:t> </w:t>
      </w:r>
      <w:r>
        <w:t>Mapping RFC3489 variants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42"/>
        <w:gridCol w:w="2268"/>
      </w:tblGrid>
      <w:tr w:rsidR="00D35329" w:rsidRPr="006A6FE2" w:rsidTr="000B34E9">
        <w:trPr>
          <w:tblHeader/>
          <w:jc w:val="center"/>
        </w:trPr>
        <w:tc>
          <w:tcPr>
            <w:tcW w:w="2142" w:type="dxa"/>
            <w:tcBorders>
              <w:top w:val="single" w:sz="12" w:space="0" w:color="auto"/>
              <w:bottom w:val="single" w:sz="12" w:space="0" w:color="auto"/>
            </w:tcBorders>
            <w:shd w:val="clear" w:color="auto" w:fill="auto"/>
            <w:hideMark/>
          </w:tcPr>
          <w:p w:rsidR="00D35329" w:rsidRPr="006A6FE2" w:rsidRDefault="00D35329" w:rsidP="000B34E9">
            <w:pPr>
              <w:pStyle w:val="Tablehead"/>
            </w:pPr>
            <w:r>
              <w:t>RFC3489 Variant</w:t>
            </w:r>
          </w:p>
        </w:tc>
        <w:tc>
          <w:tcPr>
            <w:tcW w:w="2268" w:type="dxa"/>
            <w:tcBorders>
              <w:top w:val="single" w:sz="12" w:space="0" w:color="auto"/>
              <w:bottom w:val="single" w:sz="12" w:space="0" w:color="auto"/>
            </w:tcBorders>
            <w:shd w:val="clear" w:color="auto" w:fill="auto"/>
            <w:hideMark/>
          </w:tcPr>
          <w:p w:rsidR="00D35329" w:rsidRPr="006A6FE2" w:rsidRDefault="00D35329" w:rsidP="000B34E9">
            <w:pPr>
              <w:pStyle w:val="Tablehead"/>
            </w:pPr>
            <w:r>
              <w:t>Binding behaviour</w:t>
            </w:r>
          </w:p>
        </w:tc>
      </w:tr>
      <w:tr w:rsidR="00D35329" w:rsidRPr="006A6FE2" w:rsidTr="000B34E9">
        <w:trPr>
          <w:jc w:val="center"/>
        </w:trPr>
        <w:tc>
          <w:tcPr>
            <w:tcW w:w="2142" w:type="dxa"/>
            <w:tcBorders>
              <w:top w:val="single" w:sz="12" w:space="0" w:color="auto"/>
            </w:tcBorders>
            <w:shd w:val="clear" w:color="auto" w:fill="auto"/>
            <w:hideMark/>
          </w:tcPr>
          <w:p w:rsidR="00D35329" w:rsidRPr="006A6FE2" w:rsidRDefault="00D35329" w:rsidP="000B34E9">
            <w:pPr>
              <w:pStyle w:val="Tabletext"/>
            </w:pPr>
            <w:r>
              <w:t>Full Cone</w:t>
            </w:r>
          </w:p>
        </w:tc>
        <w:tc>
          <w:tcPr>
            <w:tcW w:w="2268" w:type="dxa"/>
            <w:vMerge w:val="restart"/>
            <w:tcBorders>
              <w:top w:val="single" w:sz="12" w:space="0" w:color="auto"/>
            </w:tcBorders>
            <w:shd w:val="clear" w:color="auto" w:fill="auto"/>
            <w:vAlign w:val="center"/>
            <w:hideMark/>
          </w:tcPr>
          <w:p w:rsidR="00D35329" w:rsidRPr="00A8269C" w:rsidRDefault="00D35329" w:rsidP="000B34E9">
            <w:pPr>
              <w:pStyle w:val="Tabletext"/>
              <w:jc w:val="center"/>
            </w:pPr>
            <w:r>
              <w:t>Cone</w:t>
            </w:r>
          </w:p>
        </w:tc>
      </w:tr>
      <w:tr w:rsidR="00D35329" w:rsidRPr="006A6FE2" w:rsidTr="000B34E9">
        <w:trPr>
          <w:jc w:val="center"/>
        </w:trPr>
        <w:tc>
          <w:tcPr>
            <w:tcW w:w="2142" w:type="dxa"/>
            <w:shd w:val="clear" w:color="auto" w:fill="auto"/>
            <w:hideMark/>
          </w:tcPr>
          <w:p w:rsidR="00D35329" w:rsidRPr="006A6FE2" w:rsidRDefault="00D35329" w:rsidP="000B34E9">
            <w:pPr>
              <w:pStyle w:val="Tabletext"/>
            </w:pPr>
            <w:r>
              <w:t>Restricted Cone</w:t>
            </w:r>
          </w:p>
        </w:tc>
        <w:tc>
          <w:tcPr>
            <w:tcW w:w="2268" w:type="dxa"/>
            <w:vMerge/>
            <w:shd w:val="clear" w:color="auto" w:fill="auto"/>
            <w:hideMark/>
          </w:tcPr>
          <w:p w:rsidR="00D35329" w:rsidRPr="00A8269C" w:rsidRDefault="00D35329" w:rsidP="000B34E9">
            <w:pPr>
              <w:pStyle w:val="Tabletext"/>
              <w:jc w:val="center"/>
            </w:pPr>
          </w:p>
        </w:tc>
      </w:tr>
      <w:tr w:rsidR="00D35329" w:rsidRPr="006A6FE2" w:rsidTr="000B34E9">
        <w:trPr>
          <w:jc w:val="center"/>
        </w:trPr>
        <w:tc>
          <w:tcPr>
            <w:tcW w:w="2142" w:type="dxa"/>
            <w:shd w:val="clear" w:color="auto" w:fill="auto"/>
          </w:tcPr>
          <w:p w:rsidR="00D35329" w:rsidRDefault="00D35329" w:rsidP="000B34E9">
            <w:pPr>
              <w:pStyle w:val="Tabletext"/>
            </w:pPr>
            <w:r>
              <w:t>Port Restricted Cone</w:t>
            </w:r>
          </w:p>
        </w:tc>
        <w:tc>
          <w:tcPr>
            <w:tcW w:w="2268" w:type="dxa"/>
            <w:vMerge/>
            <w:shd w:val="clear" w:color="auto" w:fill="auto"/>
          </w:tcPr>
          <w:p w:rsidR="00D35329" w:rsidRPr="00A8269C" w:rsidRDefault="00D35329" w:rsidP="000B34E9">
            <w:pPr>
              <w:pStyle w:val="Tabletext"/>
              <w:jc w:val="center"/>
            </w:pPr>
          </w:p>
        </w:tc>
      </w:tr>
      <w:tr w:rsidR="00D35329" w:rsidRPr="006A6FE2" w:rsidTr="000B34E9">
        <w:trPr>
          <w:jc w:val="center"/>
        </w:trPr>
        <w:tc>
          <w:tcPr>
            <w:tcW w:w="2142" w:type="dxa"/>
            <w:shd w:val="clear" w:color="auto" w:fill="auto"/>
          </w:tcPr>
          <w:p w:rsidR="00D35329" w:rsidRDefault="00D35329" w:rsidP="000B34E9">
            <w:pPr>
              <w:pStyle w:val="Tabletext"/>
            </w:pPr>
            <w:r>
              <w:t xml:space="preserve">Symmetric </w:t>
            </w:r>
          </w:p>
        </w:tc>
        <w:tc>
          <w:tcPr>
            <w:tcW w:w="2268" w:type="dxa"/>
            <w:vMerge w:val="restart"/>
            <w:shd w:val="clear" w:color="auto" w:fill="auto"/>
            <w:vAlign w:val="center"/>
          </w:tcPr>
          <w:p w:rsidR="00D35329" w:rsidRPr="00A8269C" w:rsidRDefault="00D35329" w:rsidP="000B34E9">
            <w:pPr>
              <w:pStyle w:val="Tabletext"/>
              <w:jc w:val="center"/>
            </w:pPr>
            <w:r>
              <w:t>Symmetric</w:t>
            </w:r>
          </w:p>
        </w:tc>
      </w:tr>
      <w:tr w:rsidR="00D35329" w:rsidRPr="006A6FE2" w:rsidTr="000B34E9">
        <w:trPr>
          <w:jc w:val="center"/>
        </w:trPr>
        <w:tc>
          <w:tcPr>
            <w:tcW w:w="2142" w:type="dxa"/>
            <w:shd w:val="clear" w:color="auto" w:fill="auto"/>
          </w:tcPr>
          <w:p w:rsidR="00D35329" w:rsidRDefault="00D35329" w:rsidP="000B34E9">
            <w:pPr>
              <w:pStyle w:val="Tabletext"/>
            </w:pPr>
            <w:r>
              <w:t>Symmetric Firewall</w:t>
            </w:r>
          </w:p>
        </w:tc>
        <w:tc>
          <w:tcPr>
            <w:tcW w:w="2268" w:type="dxa"/>
            <w:vMerge/>
            <w:shd w:val="clear" w:color="auto" w:fill="auto"/>
          </w:tcPr>
          <w:p w:rsidR="00D35329" w:rsidRPr="00A8269C" w:rsidRDefault="00D35329" w:rsidP="000B34E9">
            <w:pPr>
              <w:pStyle w:val="Tabletext"/>
              <w:jc w:val="center"/>
            </w:pPr>
          </w:p>
        </w:tc>
      </w:tr>
    </w:tbl>
    <w:p w:rsidR="00D35329" w:rsidRDefault="00D35329" w:rsidP="00823069">
      <w:pPr>
        <w:pStyle w:val="Heading2"/>
        <w:numPr>
          <w:ilvl w:val="0"/>
          <w:numId w:val="0"/>
        </w:numPr>
      </w:pPr>
    </w:p>
    <w:p w:rsidR="00BE56D7" w:rsidRDefault="00BE56D7" w:rsidP="00BE56D7">
      <w:pPr>
        <w:pStyle w:val="Heading2"/>
      </w:pPr>
      <w:r>
        <w:t>Cone Binding</w:t>
      </w:r>
    </w:p>
    <w:p w:rsidR="00774CAD" w:rsidRDefault="00BE56D7" w:rsidP="00BE56D7">
      <w:r>
        <w:t>When s</w:t>
      </w:r>
      <w:r w:rsidR="00C15783">
        <w:t>ending packets from a single IP address and p</w:t>
      </w:r>
      <w:r>
        <w:t>ort behind the NAT/FW to two or more IP/Port outside the NAT/FW the same IP/Port on the outside of the NAT/FW device is used.</w:t>
      </w:r>
    </w:p>
    <w:p w:rsidR="00774CAD" w:rsidRDefault="00774CAD" w:rsidP="00BE56D7">
      <w:r>
        <w:t>There are 3 main</w:t>
      </w:r>
      <w:r w:rsidR="005D55C0">
        <w:t xml:space="preserve"> binding security variations:</w:t>
      </w:r>
    </w:p>
    <w:p w:rsidR="00774CAD" w:rsidRDefault="00774CAD" w:rsidP="00774CAD">
      <w:pPr>
        <w:pStyle w:val="Heading3"/>
      </w:pPr>
      <w:r>
        <w:t>Full Cone</w:t>
      </w:r>
    </w:p>
    <w:p w:rsidR="005D55C0" w:rsidRPr="005D55C0" w:rsidRDefault="00C15783" w:rsidP="005D55C0">
      <w:r>
        <w:t>A packet from any IP address and p</w:t>
      </w:r>
      <w:r w:rsidR="005D55C0">
        <w:t xml:space="preserve">ort on the outside of the NAT/FW will be accepted on an open binding. </w:t>
      </w:r>
    </w:p>
    <w:p w:rsidR="00774CAD" w:rsidRDefault="00774CAD" w:rsidP="00774CAD">
      <w:pPr>
        <w:pStyle w:val="Heading3"/>
      </w:pPr>
      <w:r>
        <w:t>Restricted Cone</w:t>
      </w:r>
    </w:p>
    <w:p w:rsidR="005D55C0" w:rsidRPr="005D55C0" w:rsidRDefault="005D55C0" w:rsidP="005D55C0">
      <w:r>
        <w:t>A packet will only be accepted from outside of the NAT/FW on an open binding if a packet has first been sent using that binding to the detected source IP address.</w:t>
      </w:r>
    </w:p>
    <w:p w:rsidR="00774CAD" w:rsidRPr="00774CAD" w:rsidRDefault="00774CAD" w:rsidP="00774CAD">
      <w:pPr>
        <w:pStyle w:val="Heading3"/>
      </w:pPr>
      <w:r>
        <w:t>Port Restricted Cone</w:t>
      </w:r>
    </w:p>
    <w:p w:rsidR="00BE56D7" w:rsidRPr="00BE56D7" w:rsidRDefault="005D55C0" w:rsidP="00BE56D7">
      <w:r>
        <w:t>A packet will only be accepted from outside of the NAT/FW on an open binding if a packet has first been sent using that binding to the detected source IP address and port.</w:t>
      </w:r>
    </w:p>
    <w:p w:rsidR="00BE56D7" w:rsidRDefault="00BE56D7" w:rsidP="00BE56D7">
      <w:pPr>
        <w:pStyle w:val="Heading2"/>
      </w:pPr>
      <w:r>
        <w:t>Symmetric Binding</w:t>
      </w:r>
    </w:p>
    <w:p w:rsidR="00BE56D7" w:rsidRPr="00BE56D7" w:rsidRDefault="00BE56D7" w:rsidP="00BE56D7">
      <w:r>
        <w:t>When sending packets from a single IP/Port behind the NAT/FW to two or more IP/Port outside the NAT/FW, different IP/Port on the outside of the NAT/FW device is used.</w:t>
      </w:r>
      <w:r w:rsidR="005D55C0">
        <w:t xml:space="preserve"> All bindings are unique and media must originate and terminate on the same IP/Port on both </w:t>
      </w:r>
      <w:r w:rsidR="0075438F">
        <w:t>sides of</w:t>
      </w:r>
      <w:r w:rsidR="005D55C0">
        <w:t xml:space="preserve"> the NAT/FW device.</w:t>
      </w:r>
    </w:p>
    <w:p w:rsidR="00BE56D7" w:rsidRDefault="00BE56D7" w:rsidP="002138BA"/>
    <w:p w:rsidR="00523869" w:rsidRDefault="00523869" w:rsidP="00523869">
      <w:pPr>
        <w:pStyle w:val="Heading1"/>
      </w:pPr>
      <w:r>
        <w:t>Message format</w:t>
      </w:r>
    </w:p>
    <w:p w:rsidR="00523869" w:rsidRDefault="00523869" w:rsidP="00523869">
      <w:pPr>
        <w:pStyle w:val="Heading2"/>
      </w:pPr>
      <w:r>
        <w:t>Bind Message Header</w:t>
      </w:r>
    </w:p>
    <w:p w:rsidR="008262DB" w:rsidRDefault="00523869" w:rsidP="008262DB">
      <w:r>
        <w:t>All Bind Messages shall contain a Bind Message Header as defined in Figure 1.</w:t>
      </w:r>
    </w:p>
    <w:p w:rsidR="00523869" w:rsidRPr="008262DB" w:rsidRDefault="008262DB" w:rsidP="008262DB">
      <w:r>
        <w:t>The Header shall contain</w:t>
      </w:r>
      <w:r w:rsidR="00523869">
        <w:rPr>
          <w:b/>
        </w:rPr>
        <w:t xml:space="preserve">: </w:t>
      </w:r>
    </w:p>
    <w:p w:rsidR="00523869" w:rsidRPr="00A91ABF" w:rsidRDefault="00523869" w:rsidP="00523869">
      <w:pPr>
        <w:pStyle w:val="Tablehead"/>
        <w:jc w:val="left"/>
        <w:rPr>
          <w:b w:val="0"/>
          <w:sz w:val="24"/>
          <w:szCs w:val="24"/>
        </w:rPr>
      </w:pPr>
      <w:r w:rsidRPr="00A91ABF">
        <w:rPr>
          <w:sz w:val="24"/>
          <w:szCs w:val="24"/>
        </w:rPr>
        <w:tab/>
        <w:t>Type:</w:t>
      </w:r>
      <w:r w:rsidRPr="00A91ABF">
        <w:rPr>
          <w:b w:val="0"/>
          <w:sz w:val="24"/>
          <w:szCs w:val="24"/>
        </w:rPr>
        <w:t xml:space="preserve">  Message Type as defined in Table 1.</w:t>
      </w:r>
    </w:p>
    <w:p w:rsidR="00523869" w:rsidRDefault="00523869" w:rsidP="00523869">
      <w:r>
        <w:t xml:space="preserve">     </w:t>
      </w:r>
      <w:r w:rsidRPr="00523869">
        <w:rPr>
          <w:b/>
        </w:rPr>
        <w:t>Length:</w:t>
      </w:r>
      <w:r>
        <w:t xml:space="preserve"> Length in bits of the Bind Message body (refer clause 6.2) or 0 if no body</w:t>
      </w:r>
    </w:p>
    <w:p w:rsidR="00523869" w:rsidRDefault="00523869" w:rsidP="00523869"/>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693"/>
      </w:tblGrid>
      <w:tr w:rsidR="00523869" w:rsidRPr="006A6FE2" w:rsidTr="000B34E9">
        <w:tc>
          <w:tcPr>
            <w:tcW w:w="5670" w:type="dxa"/>
            <w:gridSpan w:val="2"/>
            <w:tcBorders>
              <w:top w:val="nil"/>
              <w:left w:val="nil"/>
              <w:bottom w:val="single" w:sz="12" w:space="0" w:color="auto"/>
              <w:right w:val="nil"/>
            </w:tcBorders>
            <w:vAlign w:val="center"/>
          </w:tcPr>
          <w:p w:rsidR="00523869" w:rsidRDefault="00523869" w:rsidP="000B34E9">
            <w:pPr>
              <w:pStyle w:val="Tabletext"/>
            </w:pPr>
            <w:r w:rsidRPr="006A6FE2">
              <w:t xml:space="preserve">0                          </w:t>
            </w:r>
            <w:r>
              <w:t xml:space="preserve"> </w:t>
            </w:r>
            <w:r w:rsidRPr="006A6FE2">
              <w:t xml:space="preserve"> </w:t>
            </w:r>
            <w:r>
              <w:t xml:space="preserve">    </w:t>
            </w:r>
            <w:r w:rsidRPr="006A6FE2">
              <w:t xml:space="preserve"> 1            </w:t>
            </w:r>
            <w:r>
              <w:t xml:space="preserve">  </w:t>
            </w:r>
            <w:r w:rsidRPr="006A6FE2">
              <w:t xml:space="preserve">                2                    </w:t>
            </w:r>
            <w:r>
              <w:t xml:space="preserve"> </w:t>
            </w:r>
            <w:r w:rsidRPr="006A6FE2">
              <w:t xml:space="preserve">       3</w:t>
            </w:r>
          </w:p>
          <w:p w:rsidR="00523869" w:rsidRPr="006A6FE2" w:rsidRDefault="00523869" w:rsidP="000B34E9">
            <w:pPr>
              <w:pStyle w:val="Tabletext"/>
              <w:rPr>
                <w:sz w:val="16"/>
                <w:szCs w:val="16"/>
              </w:rPr>
            </w:pPr>
            <w:r w:rsidRPr="006A6FE2">
              <w:t xml:space="preserve">0 1 2 3 4 5 6 7 </w:t>
            </w:r>
            <w:r>
              <w:t xml:space="preserve"> 8  9 </w:t>
            </w:r>
            <w:r w:rsidRPr="006A6FE2">
              <w:t xml:space="preserve"> 0 1 2 3 4 5  6 7 8 9 0 1 2 3 4 5 6 7 8 9 0 1</w:t>
            </w:r>
          </w:p>
        </w:tc>
      </w:tr>
      <w:tr w:rsidR="00523869" w:rsidRPr="006A6FE2" w:rsidTr="000B34E9">
        <w:tc>
          <w:tcPr>
            <w:tcW w:w="2977" w:type="dxa"/>
            <w:tcBorders>
              <w:top w:val="single" w:sz="4" w:space="0" w:color="auto"/>
              <w:left w:val="single" w:sz="4" w:space="0" w:color="auto"/>
              <w:bottom w:val="single" w:sz="4" w:space="0" w:color="auto"/>
              <w:right w:val="single" w:sz="4" w:space="0" w:color="auto"/>
            </w:tcBorders>
            <w:vAlign w:val="center"/>
            <w:hideMark/>
          </w:tcPr>
          <w:p w:rsidR="00523869" w:rsidRPr="00D11C5C" w:rsidRDefault="00523869" w:rsidP="000B34E9">
            <w:pPr>
              <w:pStyle w:val="Tabletext"/>
            </w:pPr>
            <w:r>
              <w:t>Type</w:t>
            </w:r>
          </w:p>
        </w:tc>
        <w:tc>
          <w:tcPr>
            <w:tcW w:w="2693" w:type="dxa"/>
            <w:tcBorders>
              <w:top w:val="single" w:sz="4" w:space="0" w:color="auto"/>
              <w:left w:val="single" w:sz="4" w:space="0" w:color="auto"/>
              <w:bottom w:val="single" w:sz="4" w:space="0" w:color="auto"/>
              <w:right w:val="single" w:sz="4" w:space="0" w:color="auto"/>
            </w:tcBorders>
            <w:vAlign w:val="center"/>
          </w:tcPr>
          <w:p w:rsidR="00523869" w:rsidRPr="00D11C5C" w:rsidRDefault="00523869" w:rsidP="000B34E9">
            <w:pPr>
              <w:pStyle w:val="Tabletext"/>
            </w:pPr>
            <w:r>
              <w:t>Length</w:t>
            </w:r>
          </w:p>
        </w:tc>
      </w:tr>
    </w:tbl>
    <w:p w:rsidR="00523869" w:rsidRPr="00523869" w:rsidRDefault="00523869" w:rsidP="00523869">
      <w:pPr>
        <w:pStyle w:val="FigureNotitle"/>
      </w:pPr>
      <w:r w:rsidRPr="006A6FE2">
        <w:t xml:space="preserve">Figure </w:t>
      </w:r>
      <w:r>
        <w:t>1</w:t>
      </w:r>
      <w:r w:rsidRPr="006A6FE2">
        <w:t> </w:t>
      </w:r>
      <w:r w:rsidRPr="006A6FE2">
        <w:sym w:font="Symbol" w:char="F02D"/>
      </w:r>
      <w:r>
        <w:t> Bind Message Header</w:t>
      </w:r>
    </w:p>
    <w:p w:rsidR="00523869" w:rsidRPr="006A6FE2" w:rsidRDefault="00523869" w:rsidP="00523869">
      <w:pPr>
        <w:pStyle w:val="TableNotitle"/>
      </w:pPr>
      <w:bookmarkStart w:id="68" w:name="_Toc369593660"/>
      <w:r w:rsidRPr="006A6FE2">
        <w:t xml:space="preserve">Table 1 </w:t>
      </w:r>
      <w:r w:rsidRPr="006A6FE2">
        <w:sym w:font="Symbol" w:char="F02D"/>
      </w:r>
      <w:r w:rsidRPr="006A6FE2">
        <w:t> </w:t>
      </w:r>
      <w:bookmarkEnd w:id="68"/>
      <w:r>
        <w:t>Bind Message Type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0"/>
        <w:gridCol w:w="2028"/>
      </w:tblGrid>
      <w:tr w:rsidR="00523869" w:rsidRPr="006A6FE2" w:rsidTr="000B34E9">
        <w:trPr>
          <w:tblHeader/>
          <w:jc w:val="center"/>
        </w:trPr>
        <w:tc>
          <w:tcPr>
            <w:tcW w:w="1970" w:type="dxa"/>
            <w:tcBorders>
              <w:top w:val="single" w:sz="12" w:space="0" w:color="auto"/>
              <w:bottom w:val="single" w:sz="12" w:space="0" w:color="auto"/>
            </w:tcBorders>
            <w:shd w:val="clear" w:color="auto" w:fill="auto"/>
            <w:hideMark/>
          </w:tcPr>
          <w:p w:rsidR="00523869" w:rsidRPr="006A6FE2" w:rsidRDefault="00523869" w:rsidP="000B34E9">
            <w:pPr>
              <w:pStyle w:val="Tablehead"/>
            </w:pPr>
            <w:r>
              <w:t>Type</w:t>
            </w:r>
          </w:p>
        </w:tc>
        <w:tc>
          <w:tcPr>
            <w:tcW w:w="2028" w:type="dxa"/>
            <w:tcBorders>
              <w:top w:val="single" w:sz="12" w:space="0" w:color="auto"/>
              <w:bottom w:val="single" w:sz="12" w:space="0" w:color="auto"/>
            </w:tcBorders>
            <w:shd w:val="clear" w:color="auto" w:fill="auto"/>
            <w:hideMark/>
          </w:tcPr>
          <w:p w:rsidR="00523869" w:rsidRPr="006A6FE2" w:rsidRDefault="00523869" w:rsidP="000B34E9">
            <w:pPr>
              <w:pStyle w:val="Tablehead"/>
            </w:pPr>
            <w:r>
              <w:t>Value</w:t>
            </w:r>
          </w:p>
        </w:tc>
      </w:tr>
      <w:tr w:rsidR="00523869" w:rsidRPr="006A6FE2" w:rsidTr="000B34E9">
        <w:trPr>
          <w:jc w:val="center"/>
        </w:trPr>
        <w:tc>
          <w:tcPr>
            <w:tcW w:w="1970" w:type="dxa"/>
            <w:tcBorders>
              <w:top w:val="single" w:sz="12" w:space="0" w:color="auto"/>
            </w:tcBorders>
            <w:shd w:val="clear" w:color="auto" w:fill="auto"/>
            <w:hideMark/>
          </w:tcPr>
          <w:p w:rsidR="00523869" w:rsidRPr="006A6FE2" w:rsidRDefault="00523869" w:rsidP="000B34E9">
            <w:pPr>
              <w:pStyle w:val="Tabletext"/>
            </w:pPr>
            <w:r>
              <w:t xml:space="preserve">  bindRequest</w:t>
            </w:r>
          </w:p>
        </w:tc>
        <w:tc>
          <w:tcPr>
            <w:tcW w:w="2028" w:type="dxa"/>
            <w:tcBorders>
              <w:top w:val="single" w:sz="12" w:space="0" w:color="auto"/>
            </w:tcBorders>
            <w:shd w:val="clear" w:color="auto" w:fill="auto"/>
            <w:hideMark/>
          </w:tcPr>
          <w:p w:rsidR="00523869" w:rsidRPr="00A8269C" w:rsidRDefault="00523869" w:rsidP="000B34E9">
            <w:pPr>
              <w:pStyle w:val="Tabletext"/>
              <w:jc w:val="center"/>
            </w:pPr>
            <w:r w:rsidRPr="00A8269C">
              <w:t>0x0001</w:t>
            </w:r>
          </w:p>
        </w:tc>
      </w:tr>
      <w:tr w:rsidR="00523869" w:rsidRPr="006A6FE2" w:rsidTr="000B34E9">
        <w:trPr>
          <w:jc w:val="center"/>
        </w:trPr>
        <w:tc>
          <w:tcPr>
            <w:tcW w:w="1970" w:type="dxa"/>
            <w:shd w:val="clear" w:color="auto" w:fill="auto"/>
            <w:hideMark/>
          </w:tcPr>
          <w:p w:rsidR="00523869" w:rsidRPr="006A6FE2" w:rsidRDefault="00523869" w:rsidP="000B34E9">
            <w:pPr>
              <w:pStyle w:val="Tabletext"/>
            </w:pPr>
            <w:r>
              <w:t xml:space="preserve">  bindResponse</w:t>
            </w:r>
          </w:p>
        </w:tc>
        <w:tc>
          <w:tcPr>
            <w:tcW w:w="2028" w:type="dxa"/>
            <w:shd w:val="clear" w:color="auto" w:fill="auto"/>
            <w:hideMark/>
          </w:tcPr>
          <w:p w:rsidR="00523869" w:rsidRPr="00A8269C" w:rsidRDefault="00523869" w:rsidP="000B34E9">
            <w:pPr>
              <w:pStyle w:val="Tabletext"/>
              <w:jc w:val="center"/>
            </w:pPr>
            <w:r w:rsidRPr="00A8269C">
              <w:t>0x0101</w:t>
            </w:r>
          </w:p>
        </w:tc>
      </w:tr>
    </w:tbl>
    <w:p w:rsidR="00523869" w:rsidRDefault="00523869" w:rsidP="00523869">
      <w:pPr>
        <w:pStyle w:val="Tablehead"/>
        <w:jc w:val="left"/>
      </w:pPr>
    </w:p>
    <w:p w:rsidR="00523869" w:rsidRDefault="00523869" w:rsidP="00523869">
      <w:pPr>
        <w:pStyle w:val="Heading2"/>
      </w:pPr>
      <w:r>
        <w:t>Bind Message Body</w:t>
      </w:r>
    </w:p>
    <w:p w:rsidR="00523869" w:rsidRDefault="00523869" w:rsidP="00523869">
      <w:r>
        <w:t xml:space="preserve">A Bind Message Body if present shall contain 1 or more </w:t>
      </w:r>
      <w:r w:rsidR="008262DB">
        <w:t>Bind Address Elements (refer Figure 2).</w:t>
      </w:r>
    </w:p>
    <w:p w:rsidR="008262DB" w:rsidRDefault="008262DB" w:rsidP="00523869">
      <w:r>
        <w:t>The Element shall contain.</w:t>
      </w:r>
    </w:p>
    <w:p w:rsidR="008262DB" w:rsidRDefault="008262DB" w:rsidP="00523869">
      <w:r>
        <w:tab/>
      </w:r>
      <w:r w:rsidRPr="008262DB">
        <w:rPr>
          <w:b/>
        </w:rPr>
        <w:t>Type</w:t>
      </w:r>
      <w:r>
        <w:t>: The Address Type as defined in Table 2.</w:t>
      </w:r>
    </w:p>
    <w:p w:rsidR="006954B3" w:rsidRDefault="008262DB" w:rsidP="00523869">
      <w:r>
        <w:tab/>
      </w:r>
      <w:r w:rsidRPr="008262DB">
        <w:rPr>
          <w:b/>
        </w:rPr>
        <w:t>Family</w:t>
      </w:r>
      <w:r>
        <w:t>: The IP</w:t>
      </w:r>
      <w:r w:rsidR="008227AE">
        <w:t xml:space="preserve"> family:</w:t>
      </w:r>
      <w:r w:rsidR="006954B3">
        <w:t xml:space="preserve"> Default to 0x01 for IPv4.</w:t>
      </w:r>
    </w:p>
    <w:p w:rsidR="006954B3" w:rsidRDefault="006954B3" w:rsidP="00523869">
      <w:r>
        <w:tab/>
      </w:r>
      <w:r w:rsidRPr="006954B3">
        <w:rPr>
          <w:b/>
        </w:rPr>
        <w:t>Port</w:t>
      </w:r>
      <w:r>
        <w:t>: The Port number</w:t>
      </w:r>
    </w:p>
    <w:p w:rsidR="006954B3" w:rsidRDefault="006954B3" w:rsidP="00523869">
      <w:r>
        <w:tab/>
      </w:r>
      <w:r w:rsidRPr="006954B3">
        <w:rPr>
          <w:b/>
        </w:rPr>
        <w:t>Address</w:t>
      </w:r>
      <w:r>
        <w:t>: IP address</w:t>
      </w:r>
    </w:p>
    <w:p w:rsidR="008262DB" w:rsidRDefault="008262DB" w:rsidP="00523869"/>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2693"/>
      </w:tblGrid>
      <w:tr w:rsidR="008262DB" w:rsidRPr="006A6FE2" w:rsidTr="000B34E9">
        <w:tc>
          <w:tcPr>
            <w:tcW w:w="5812" w:type="dxa"/>
            <w:gridSpan w:val="3"/>
            <w:tcBorders>
              <w:top w:val="nil"/>
              <w:left w:val="nil"/>
              <w:bottom w:val="single" w:sz="12" w:space="0" w:color="auto"/>
              <w:right w:val="nil"/>
            </w:tcBorders>
            <w:vAlign w:val="center"/>
          </w:tcPr>
          <w:p w:rsidR="008262DB" w:rsidRDefault="008262DB" w:rsidP="000B34E9">
            <w:pPr>
              <w:pStyle w:val="Tabletext"/>
            </w:pPr>
            <w:r w:rsidRPr="006A6FE2">
              <w:t xml:space="preserve">0                          </w:t>
            </w:r>
            <w:r>
              <w:t xml:space="preserve"> </w:t>
            </w:r>
            <w:r w:rsidRPr="006A6FE2">
              <w:t xml:space="preserve"> </w:t>
            </w:r>
            <w:r>
              <w:t xml:space="preserve">    </w:t>
            </w:r>
            <w:r w:rsidRPr="006A6FE2">
              <w:t xml:space="preserve"> 1            </w:t>
            </w:r>
            <w:r>
              <w:t xml:space="preserve">  </w:t>
            </w:r>
            <w:r w:rsidRPr="006A6FE2">
              <w:t xml:space="preserve">                2                    </w:t>
            </w:r>
            <w:r>
              <w:t xml:space="preserve"> </w:t>
            </w:r>
            <w:r w:rsidRPr="006A6FE2">
              <w:t xml:space="preserve">       3</w:t>
            </w:r>
          </w:p>
          <w:p w:rsidR="008262DB" w:rsidRPr="006A6FE2" w:rsidRDefault="008262DB" w:rsidP="000B34E9">
            <w:pPr>
              <w:pStyle w:val="Tabletext"/>
              <w:rPr>
                <w:sz w:val="16"/>
                <w:szCs w:val="16"/>
              </w:rPr>
            </w:pPr>
            <w:r w:rsidRPr="006A6FE2">
              <w:t xml:space="preserve">0 1 2 3 4 5 6 7 </w:t>
            </w:r>
            <w:r>
              <w:t xml:space="preserve">   8  9 </w:t>
            </w:r>
            <w:r w:rsidRPr="006A6FE2">
              <w:t xml:space="preserve"> 0 1 2 3 4 5  6 7 8 9 0 1 2 3 4 5 6 7 8 9 0 1</w:t>
            </w:r>
          </w:p>
        </w:tc>
      </w:tr>
      <w:tr w:rsidR="008262DB" w:rsidRPr="006A6FE2" w:rsidTr="000B34E9">
        <w:tc>
          <w:tcPr>
            <w:tcW w:w="1559" w:type="dxa"/>
            <w:tcBorders>
              <w:top w:val="single" w:sz="4" w:space="0" w:color="auto"/>
              <w:left w:val="single" w:sz="4" w:space="0" w:color="auto"/>
              <w:bottom w:val="single" w:sz="4" w:space="0" w:color="auto"/>
              <w:right w:val="single" w:sz="4" w:space="0" w:color="auto"/>
            </w:tcBorders>
            <w:vAlign w:val="center"/>
            <w:hideMark/>
          </w:tcPr>
          <w:p w:rsidR="008262DB" w:rsidRPr="00D11C5C" w:rsidRDefault="008262DB" w:rsidP="000B34E9">
            <w:pPr>
              <w:pStyle w:val="Tabletext"/>
            </w:pPr>
            <w:r>
              <w:t>Type</w:t>
            </w:r>
          </w:p>
        </w:tc>
        <w:tc>
          <w:tcPr>
            <w:tcW w:w="1560" w:type="dxa"/>
            <w:tcBorders>
              <w:top w:val="single" w:sz="4" w:space="0" w:color="auto"/>
              <w:left w:val="single" w:sz="4" w:space="0" w:color="auto"/>
              <w:bottom w:val="single" w:sz="4" w:space="0" w:color="auto"/>
              <w:right w:val="single" w:sz="4" w:space="0" w:color="auto"/>
            </w:tcBorders>
            <w:vAlign w:val="center"/>
          </w:tcPr>
          <w:p w:rsidR="008262DB" w:rsidRPr="00D11C5C" w:rsidRDefault="008262DB" w:rsidP="000B34E9">
            <w:pPr>
              <w:pStyle w:val="Tabletext"/>
            </w:pPr>
            <w:r>
              <w:t>Family</w:t>
            </w:r>
          </w:p>
        </w:tc>
        <w:tc>
          <w:tcPr>
            <w:tcW w:w="2693" w:type="dxa"/>
            <w:tcBorders>
              <w:top w:val="single" w:sz="4" w:space="0" w:color="auto"/>
              <w:left w:val="single" w:sz="4" w:space="0" w:color="auto"/>
              <w:bottom w:val="single" w:sz="4" w:space="0" w:color="auto"/>
              <w:right w:val="single" w:sz="4" w:space="0" w:color="auto"/>
            </w:tcBorders>
            <w:vAlign w:val="center"/>
          </w:tcPr>
          <w:p w:rsidR="008262DB" w:rsidRPr="00D11C5C" w:rsidRDefault="008262DB" w:rsidP="000B34E9">
            <w:pPr>
              <w:pStyle w:val="Tabletext"/>
            </w:pPr>
            <w:r>
              <w:t>Port</w:t>
            </w:r>
          </w:p>
        </w:tc>
      </w:tr>
      <w:tr w:rsidR="008262DB" w:rsidRPr="006A6FE2" w:rsidTr="000B34E9">
        <w:tc>
          <w:tcPr>
            <w:tcW w:w="5812" w:type="dxa"/>
            <w:gridSpan w:val="3"/>
            <w:tcBorders>
              <w:top w:val="single" w:sz="4" w:space="0" w:color="auto"/>
              <w:left w:val="single" w:sz="4" w:space="0" w:color="auto"/>
              <w:bottom w:val="single" w:sz="4" w:space="0" w:color="auto"/>
              <w:right w:val="single" w:sz="4" w:space="0" w:color="auto"/>
            </w:tcBorders>
            <w:vAlign w:val="center"/>
            <w:hideMark/>
          </w:tcPr>
          <w:p w:rsidR="008262DB" w:rsidRPr="00D11C5C" w:rsidRDefault="008262DB" w:rsidP="000B34E9">
            <w:pPr>
              <w:pStyle w:val="Tabletext"/>
            </w:pPr>
            <w:r>
              <w:t>Address</w:t>
            </w:r>
          </w:p>
        </w:tc>
      </w:tr>
    </w:tbl>
    <w:p w:rsidR="008262DB" w:rsidRPr="006A6FE2" w:rsidRDefault="008262DB" w:rsidP="008262DB">
      <w:r w:rsidRPr="006A6FE2">
        <w:fldChar w:fldCharType="begin"/>
      </w:r>
      <w:r w:rsidRPr="006A6FE2">
        <w:instrText>XE "FECC capabilities fields"</w:instrText>
      </w:r>
      <w:r w:rsidRPr="006A6FE2">
        <w:fldChar w:fldCharType="end"/>
      </w:r>
    </w:p>
    <w:p w:rsidR="008262DB" w:rsidRPr="006A6FE2" w:rsidRDefault="008262DB" w:rsidP="008262DB">
      <w:pPr>
        <w:pStyle w:val="FigureNotitle"/>
      </w:pPr>
      <w:bookmarkStart w:id="69" w:name="_Toc369593707"/>
      <w:r w:rsidRPr="006A6FE2">
        <w:t xml:space="preserve">Figure </w:t>
      </w:r>
      <w:r>
        <w:t>2</w:t>
      </w:r>
      <w:r w:rsidRPr="006A6FE2">
        <w:t> </w:t>
      </w:r>
      <w:r w:rsidRPr="006A6FE2">
        <w:sym w:font="Symbol" w:char="F02D"/>
      </w:r>
      <w:r>
        <w:t> </w:t>
      </w:r>
      <w:bookmarkEnd w:id="69"/>
      <w:r>
        <w:t>Bind Address Element</w:t>
      </w:r>
    </w:p>
    <w:p w:rsidR="008262DB" w:rsidRPr="00A8269C" w:rsidRDefault="008262DB" w:rsidP="00523869"/>
    <w:p w:rsidR="00523869" w:rsidRPr="006A6FE2" w:rsidRDefault="00523869" w:rsidP="00523869">
      <w:pPr>
        <w:pStyle w:val="TableNotitle"/>
      </w:pPr>
      <w:r>
        <w:lastRenderedPageBreak/>
        <w:t>Table 2</w:t>
      </w:r>
      <w:r w:rsidRPr="006A6FE2">
        <w:t xml:space="preserve"> </w:t>
      </w:r>
      <w:r w:rsidRPr="006A6FE2">
        <w:sym w:font="Symbol" w:char="F02D"/>
      </w:r>
      <w:r w:rsidRPr="006A6FE2">
        <w:t> </w:t>
      </w:r>
      <w:r>
        <w:t>Address Type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0"/>
        <w:gridCol w:w="2028"/>
      </w:tblGrid>
      <w:tr w:rsidR="00523869" w:rsidRPr="006A6FE2" w:rsidTr="000B34E9">
        <w:trPr>
          <w:tblHeader/>
          <w:jc w:val="center"/>
        </w:trPr>
        <w:tc>
          <w:tcPr>
            <w:tcW w:w="1970" w:type="dxa"/>
            <w:tcBorders>
              <w:top w:val="single" w:sz="12" w:space="0" w:color="auto"/>
              <w:bottom w:val="single" w:sz="12" w:space="0" w:color="auto"/>
            </w:tcBorders>
            <w:shd w:val="clear" w:color="auto" w:fill="auto"/>
            <w:hideMark/>
          </w:tcPr>
          <w:p w:rsidR="00523869" w:rsidRPr="006A6FE2" w:rsidRDefault="00523869" w:rsidP="000B34E9">
            <w:pPr>
              <w:pStyle w:val="Tablehead"/>
            </w:pPr>
            <w:r>
              <w:t>Message Type</w:t>
            </w:r>
          </w:p>
        </w:tc>
        <w:tc>
          <w:tcPr>
            <w:tcW w:w="2028" w:type="dxa"/>
            <w:tcBorders>
              <w:top w:val="single" w:sz="12" w:space="0" w:color="auto"/>
              <w:bottom w:val="single" w:sz="12" w:space="0" w:color="auto"/>
            </w:tcBorders>
            <w:shd w:val="clear" w:color="auto" w:fill="auto"/>
            <w:hideMark/>
          </w:tcPr>
          <w:p w:rsidR="00523869" w:rsidRPr="006A6FE2" w:rsidRDefault="00523869" w:rsidP="000B34E9">
            <w:pPr>
              <w:pStyle w:val="Tablehead"/>
            </w:pPr>
            <w:r>
              <w:t>Value</w:t>
            </w:r>
          </w:p>
        </w:tc>
      </w:tr>
      <w:tr w:rsidR="00523869" w:rsidRPr="006A6FE2" w:rsidTr="000B34E9">
        <w:trPr>
          <w:jc w:val="center"/>
        </w:trPr>
        <w:tc>
          <w:tcPr>
            <w:tcW w:w="1970" w:type="dxa"/>
            <w:tcBorders>
              <w:top w:val="single" w:sz="12" w:space="0" w:color="auto"/>
            </w:tcBorders>
            <w:shd w:val="clear" w:color="auto" w:fill="auto"/>
            <w:hideMark/>
          </w:tcPr>
          <w:p w:rsidR="00523869" w:rsidRPr="006A6FE2" w:rsidRDefault="00523869" w:rsidP="00523869">
            <w:pPr>
              <w:pStyle w:val="Tabletext"/>
              <w:ind w:firstLine="284"/>
            </w:pPr>
            <w:r>
              <w:t>mappedAddress</w:t>
            </w:r>
          </w:p>
        </w:tc>
        <w:tc>
          <w:tcPr>
            <w:tcW w:w="2028" w:type="dxa"/>
            <w:tcBorders>
              <w:top w:val="single" w:sz="12" w:space="0" w:color="auto"/>
            </w:tcBorders>
            <w:shd w:val="clear" w:color="auto" w:fill="auto"/>
            <w:hideMark/>
          </w:tcPr>
          <w:p w:rsidR="00523869" w:rsidRPr="00466EC7" w:rsidRDefault="00523869" w:rsidP="000B34E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center"/>
              <w:textAlignment w:val="auto"/>
              <w:rPr>
                <w:rFonts w:eastAsia="Times New Roman"/>
                <w:color w:val="000000"/>
                <w:sz w:val="22"/>
                <w:szCs w:val="22"/>
                <w:lang w:val="en-US"/>
              </w:rPr>
            </w:pPr>
            <w:r>
              <w:rPr>
                <w:rFonts w:eastAsia="Times New Roman"/>
                <w:color w:val="000000"/>
                <w:sz w:val="22"/>
                <w:szCs w:val="22"/>
                <w:lang w:val="en-US"/>
              </w:rPr>
              <w:t>0x00</w:t>
            </w:r>
            <w:r w:rsidRPr="00466EC7">
              <w:rPr>
                <w:rFonts w:eastAsia="Times New Roman"/>
                <w:color w:val="000000"/>
                <w:sz w:val="22"/>
                <w:szCs w:val="22"/>
                <w:lang w:val="en-US"/>
              </w:rPr>
              <w:t>01</w:t>
            </w:r>
          </w:p>
        </w:tc>
      </w:tr>
      <w:tr w:rsidR="00523869" w:rsidRPr="006A6FE2" w:rsidTr="000B34E9">
        <w:trPr>
          <w:jc w:val="center"/>
        </w:trPr>
        <w:tc>
          <w:tcPr>
            <w:tcW w:w="1970" w:type="dxa"/>
            <w:shd w:val="clear" w:color="auto" w:fill="auto"/>
            <w:hideMark/>
          </w:tcPr>
          <w:p w:rsidR="00523869" w:rsidRPr="006A6FE2" w:rsidRDefault="00B128E5" w:rsidP="00523869">
            <w:pPr>
              <w:pStyle w:val="Tabletext"/>
              <w:ind w:firstLine="284"/>
            </w:pPr>
            <w:r>
              <w:t>nextServer</w:t>
            </w:r>
          </w:p>
        </w:tc>
        <w:tc>
          <w:tcPr>
            <w:tcW w:w="2028" w:type="dxa"/>
            <w:shd w:val="clear" w:color="auto" w:fill="auto"/>
            <w:hideMark/>
          </w:tcPr>
          <w:p w:rsidR="00523869" w:rsidRPr="006A6FE2" w:rsidRDefault="00523869" w:rsidP="000B34E9">
            <w:pPr>
              <w:pStyle w:val="Tabletext"/>
              <w:jc w:val="center"/>
            </w:pPr>
            <w:r>
              <w:rPr>
                <w:rFonts w:eastAsia="Times New Roman"/>
                <w:color w:val="000000"/>
                <w:szCs w:val="22"/>
                <w:lang w:val="en-US"/>
              </w:rPr>
              <w:t>0x00</w:t>
            </w:r>
            <w:r w:rsidRPr="00466EC7">
              <w:rPr>
                <w:rFonts w:eastAsia="Times New Roman"/>
                <w:color w:val="000000"/>
                <w:szCs w:val="22"/>
                <w:lang w:val="en-US"/>
              </w:rPr>
              <w:t>0</w:t>
            </w:r>
            <w:r>
              <w:rPr>
                <w:rFonts w:eastAsia="Times New Roman"/>
                <w:color w:val="000000"/>
                <w:szCs w:val="22"/>
                <w:lang w:val="en-US"/>
              </w:rPr>
              <w:t>5</w:t>
            </w:r>
          </w:p>
        </w:tc>
      </w:tr>
    </w:tbl>
    <w:p w:rsidR="00523869" w:rsidRDefault="00523869" w:rsidP="006954B3">
      <w:pPr>
        <w:pStyle w:val="Heading1"/>
        <w:numPr>
          <w:ilvl w:val="0"/>
          <w:numId w:val="0"/>
        </w:numPr>
      </w:pPr>
    </w:p>
    <w:p w:rsidR="002138BA" w:rsidRDefault="00601CC4" w:rsidP="002138BA">
      <w:pPr>
        <w:pStyle w:val="Heading1"/>
      </w:pPr>
      <w:r>
        <w:t>Bind</w:t>
      </w:r>
      <w:r w:rsidR="0075438F">
        <w:t xml:space="preserve"> Testing</w:t>
      </w:r>
      <w:r>
        <w:t xml:space="preserve"> Procedures</w:t>
      </w:r>
    </w:p>
    <w:p w:rsidR="00111EF4" w:rsidRDefault="00111EF4" w:rsidP="00601CC4">
      <w:r>
        <w:t>A Bind</w:t>
      </w:r>
      <w:r w:rsidR="00B42FE5">
        <w:t xml:space="preserve"> Test S</w:t>
      </w:r>
      <w:r>
        <w:t>erver</w:t>
      </w:r>
      <w:r w:rsidR="003F29C8">
        <w:t xml:space="preserve"> </w:t>
      </w:r>
      <w:r w:rsidR="00C15783">
        <w:t>(</w:t>
      </w:r>
      <w:r w:rsidR="003F29C8">
        <w:t>BTS</w:t>
      </w:r>
      <w:r w:rsidR="00C15783">
        <w:t>)</w:t>
      </w:r>
      <w:r w:rsidR="00B42FE5">
        <w:t xml:space="preserve"> is stateless</w:t>
      </w:r>
      <w:r w:rsidR="003F29C8">
        <w:t xml:space="preserve"> device or application</w:t>
      </w:r>
      <w:r w:rsidR="00B42FE5">
        <w:t xml:space="preserve"> </w:t>
      </w:r>
      <w:r w:rsidR="003F29C8">
        <w:t xml:space="preserve">that </w:t>
      </w:r>
      <w:r w:rsidR="00B42FE5">
        <w:t>resides</w:t>
      </w:r>
      <w:r>
        <w:t xml:space="preserve"> on the outside of the NAT/FW </w:t>
      </w:r>
      <w:r w:rsidR="003F29C8">
        <w:t>that listens</w:t>
      </w:r>
      <w:r w:rsidR="00C15783">
        <w:t xml:space="preserve"> </w:t>
      </w:r>
      <w:r w:rsidR="003F29C8">
        <w:t>on an IP address and port and can be used to perform bind tests</w:t>
      </w:r>
      <w:r>
        <w:t xml:space="preserve">. </w:t>
      </w:r>
      <w:r w:rsidR="003F29C8">
        <w:t xml:space="preserve">The following procedure requires 2 </w:t>
      </w:r>
      <w:r w:rsidR="00C15783">
        <w:t>BTS</w:t>
      </w:r>
      <w:r w:rsidR="003F29C8">
        <w:t>.</w:t>
      </w:r>
    </w:p>
    <w:p w:rsidR="007223A7" w:rsidRDefault="007223A7" w:rsidP="00601CC4">
      <w:r>
        <w:t>A</w:t>
      </w:r>
      <w:r w:rsidR="00606F4F">
        <w:t xml:space="preserve"> device</w:t>
      </w:r>
      <w:r w:rsidR="006823D3">
        <w:t xml:space="preserve"> behind the NAT/FW device </w:t>
      </w:r>
      <w:r w:rsidR="00B42FE5">
        <w:t>shall send a</w:t>
      </w:r>
      <w:r w:rsidR="00C15783">
        <w:t xml:space="preserve"> small number of UDP</w:t>
      </w:r>
      <w:r>
        <w:t xml:space="preserve"> </w:t>
      </w:r>
      <w:r w:rsidR="000B34E9">
        <w:t>packet</w:t>
      </w:r>
      <w:r w:rsidR="00C15783">
        <w:t>s</w:t>
      </w:r>
      <w:r w:rsidR="000B34E9">
        <w:t xml:space="preserve"> </w:t>
      </w:r>
      <w:r w:rsidR="006823D3">
        <w:t xml:space="preserve">from </w:t>
      </w:r>
      <w:r>
        <w:t xml:space="preserve">the allocated local IP </w:t>
      </w:r>
      <w:r w:rsidR="00B42FE5">
        <w:t xml:space="preserve">Address </w:t>
      </w:r>
      <w:r w:rsidR="003F29C8">
        <w:t>and p</w:t>
      </w:r>
      <w:r>
        <w:t xml:space="preserve">ort to </w:t>
      </w:r>
      <w:r w:rsidR="003F29C8">
        <w:t xml:space="preserve">an </w:t>
      </w:r>
      <w:r w:rsidR="00B42FE5">
        <w:t xml:space="preserve">IP </w:t>
      </w:r>
      <w:r w:rsidR="003F29C8">
        <w:t xml:space="preserve">address </w:t>
      </w:r>
      <w:r w:rsidR="00B42FE5">
        <w:t>and p</w:t>
      </w:r>
      <w:r>
        <w:t>ort of</w:t>
      </w:r>
      <w:r w:rsidR="003F29C8">
        <w:t xml:space="preserve"> a BTS</w:t>
      </w:r>
      <w:r>
        <w:t xml:space="preserve">. </w:t>
      </w:r>
      <w:r w:rsidR="00C15783">
        <w:t xml:space="preserve"> </w:t>
      </w:r>
      <w:r>
        <w:t xml:space="preserve">The </w:t>
      </w:r>
      <w:r w:rsidR="000B34E9">
        <w:t xml:space="preserve">UDP packet </w:t>
      </w:r>
      <w:r>
        <w:t xml:space="preserve">shall </w:t>
      </w:r>
      <w:r w:rsidR="000B34E9">
        <w:t xml:space="preserve">contain </w:t>
      </w:r>
      <w:r>
        <w:t>th</w:t>
      </w:r>
      <w:r w:rsidR="00111EF4">
        <w:t>e Bind Message header (refer F</w:t>
      </w:r>
      <w:r>
        <w:t xml:space="preserve">igure1) with the type set to </w:t>
      </w:r>
      <w:r w:rsidRPr="007223A7">
        <w:rPr>
          <w:b/>
        </w:rPr>
        <w:t>bindRequest</w:t>
      </w:r>
      <w:r w:rsidR="00CE15D3">
        <w:t xml:space="preserve"> (as defined in table 1).</w:t>
      </w:r>
    </w:p>
    <w:p w:rsidR="00C15783" w:rsidRDefault="00C15783" w:rsidP="00601CC4">
      <w:r>
        <w:t>The supplying of the IP address and port of the BTS to the endpoint is beyond the scope of this document.</w:t>
      </w:r>
    </w:p>
    <w:p w:rsidR="007223A7" w:rsidRDefault="007223A7" w:rsidP="00601CC4">
      <w:r>
        <w:t xml:space="preserve">The </w:t>
      </w:r>
      <w:r w:rsidR="00C15783">
        <w:t xml:space="preserve">BTS </w:t>
      </w:r>
      <w:r w:rsidR="00523869">
        <w:t xml:space="preserve">shall respond with a </w:t>
      </w:r>
      <w:r w:rsidR="00523869" w:rsidRPr="00523869">
        <w:rPr>
          <w:b/>
        </w:rPr>
        <w:t>b</w:t>
      </w:r>
      <w:r w:rsidRPr="00523869">
        <w:rPr>
          <w:b/>
        </w:rPr>
        <w:t>in</w:t>
      </w:r>
      <w:r w:rsidR="00523869" w:rsidRPr="00523869">
        <w:rPr>
          <w:b/>
        </w:rPr>
        <w:t>d</w:t>
      </w:r>
      <w:r w:rsidRPr="00523869">
        <w:rPr>
          <w:b/>
        </w:rPr>
        <w:t>Response</w:t>
      </w:r>
      <w:r>
        <w:t xml:space="preserve"> message </w:t>
      </w:r>
      <w:r w:rsidR="00D1306B">
        <w:t xml:space="preserve">that </w:t>
      </w:r>
      <w:r w:rsidR="00A9753A">
        <w:t>shall contain</w:t>
      </w:r>
      <w:r>
        <w:t xml:space="preserve"> the bind message header and </w:t>
      </w:r>
    </w:p>
    <w:p w:rsidR="007223A7" w:rsidRDefault="006823D3" w:rsidP="006823D3">
      <w:pPr>
        <w:pStyle w:val="ListParagraph"/>
        <w:numPr>
          <w:ilvl w:val="0"/>
          <w:numId w:val="8"/>
        </w:numPr>
      </w:pPr>
      <w:r>
        <w:t>A Bind</w:t>
      </w:r>
      <w:r w:rsidR="00523869">
        <w:t xml:space="preserve"> A</w:t>
      </w:r>
      <w:r w:rsidR="007223A7">
        <w:t xml:space="preserve">ddress </w:t>
      </w:r>
      <w:r w:rsidR="00523869">
        <w:t xml:space="preserve">element with type </w:t>
      </w:r>
      <w:r w:rsidR="007223A7" w:rsidRPr="006823D3">
        <w:rPr>
          <w:b/>
        </w:rPr>
        <w:t>mappedAddress</w:t>
      </w:r>
      <w:r w:rsidRPr="006823D3">
        <w:rPr>
          <w:b/>
        </w:rPr>
        <w:t xml:space="preserve"> </w:t>
      </w:r>
      <w:r>
        <w:t xml:space="preserve">containing the </w:t>
      </w:r>
      <w:r w:rsidR="00111EF4">
        <w:t xml:space="preserve">apparent </w:t>
      </w:r>
      <w:r>
        <w:t xml:space="preserve">source address of the </w:t>
      </w:r>
      <w:r w:rsidRPr="006823D3">
        <w:rPr>
          <w:b/>
        </w:rPr>
        <w:t>bindRequest</w:t>
      </w:r>
      <w:r>
        <w:t xml:space="preserve">. </w:t>
      </w:r>
      <w:r w:rsidR="008D3D62">
        <w:t>This will</w:t>
      </w:r>
      <w:r>
        <w:t xml:space="preserve"> </w:t>
      </w:r>
      <w:r w:rsidR="008D3D62">
        <w:t>indicate</w:t>
      </w:r>
      <w:r>
        <w:t xml:space="preserve"> the mapped address on the outside of the NAT/FW device.</w:t>
      </w:r>
    </w:p>
    <w:p w:rsidR="006823D3" w:rsidRDefault="006823D3" w:rsidP="006823D3">
      <w:pPr>
        <w:pStyle w:val="ListParagraph"/>
      </w:pPr>
    </w:p>
    <w:p w:rsidR="008D3D62" w:rsidRPr="00601CC4" w:rsidRDefault="006823D3" w:rsidP="008D3D62">
      <w:pPr>
        <w:pStyle w:val="ListParagraph"/>
        <w:numPr>
          <w:ilvl w:val="0"/>
          <w:numId w:val="8"/>
        </w:numPr>
      </w:pPr>
      <w:r>
        <w:t xml:space="preserve">A Bind Address element with type </w:t>
      </w:r>
      <w:r w:rsidR="00732155">
        <w:rPr>
          <w:b/>
        </w:rPr>
        <w:t>nextServer</w:t>
      </w:r>
      <w:r w:rsidRPr="006823D3">
        <w:rPr>
          <w:b/>
        </w:rPr>
        <w:t xml:space="preserve"> </w:t>
      </w:r>
      <w:r>
        <w:t xml:space="preserve">containing an IP </w:t>
      </w:r>
      <w:r w:rsidR="00B42FE5">
        <w:t>Address and p</w:t>
      </w:r>
      <w:r>
        <w:t xml:space="preserve">ort to send </w:t>
      </w:r>
      <w:r w:rsidR="003F29C8">
        <w:t xml:space="preserve">the </w:t>
      </w:r>
      <w:r>
        <w:t xml:space="preserve">subsequent </w:t>
      </w:r>
      <w:r w:rsidRPr="006823D3">
        <w:rPr>
          <w:b/>
        </w:rPr>
        <w:t>bindRequest</w:t>
      </w:r>
      <w:r>
        <w:rPr>
          <w:b/>
        </w:rPr>
        <w:t xml:space="preserve"> </w:t>
      </w:r>
      <w:r>
        <w:t xml:space="preserve">messages to. This address shall be used for the next </w:t>
      </w:r>
      <w:r w:rsidRPr="006823D3">
        <w:rPr>
          <w:b/>
        </w:rPr>
        <w:t>bindRequest</w:t>
      </w:r>
      <w:r w:rsidR="00B42FE5">
        <w:t xml:space="preserve"> message.</w:t>
      </w:r>
    </w:p>
    <w:p w:rsidR="00466EC7" w:rsidRDefault="006823D3" w:rsidP="006823D3">
      <w:r>
        <w:t xml:space="preserve">The </w:t>
      </w:r>
      <w:r w:rsidR="008D3D62">
        <w:t xml:space="preserve">endpoint shall send a second </w:t>
      </w:r>
      <w:r w:rsidR="008D3D62" w:rsidRPr="008D3D62">
        <w:rPr>
          <w:b/>
        </w:rPr>
        <w:t>bindRequ</w:t>
      </w:r>
      <w:r w:rsidR="008D3D62">
        <w:rPr>
          <w:b/>
        </w:rPr>
        <w:t>e</w:t>
      </w:r>
      <w:r w:rsidR="008D3D62" w:rsidRPr="008D3D62">
        <w:rPr>
          <w:b/>
        </w:rPr>
        <w:t xml:space="preserve">st </w:t>
      </w:r>
      <w:r w:rsidR="008D3D62">
        <w:t>from the same local IP</w:t>
      </w:r>
      <w:r w:rsidR="00B42FE5">
        <w:t xml:space="preserve"> Address and p</w:t>
      </w:r>
      <w:r w:rsidR="003F29C8">
        <w:t>ort to the IP and p</w:t>
      </w:r>
      <w:r w:rsidR="008D3D62">
        <w:t xml:space="preserve">ort supplied in the </w:t>
      </w:r>
      <w:r w:rsidR="00B42FE5">
        <w:rPr>
          <w:b/>
        </w:rPr>
        <w:t>nextSever</w:t>
      </w:r>
      <w:r w:rsidR="008D3D62">
        <w:rPr>
          <w:b/>
        </w:rPr>
        <w:t xml:space="preserve"> </w:t>
      </w:r>
      <w:r w:rsidR="003F29C8">
        <w:t>element</w:t>
      </w:r>
      <w:r w:rsidR="00C15783">
        <w:t xml:space="preserve"> </w:t>
      </w:r>
      <w:r w:rsidR="008D3D62">
        <w:t xml:space="preserve">of the </w:t>
      </w:r>
      <w:r w:rsidR="008D3D62" w:rsidRPr="008D3D62">
        <w:rPr>
          <w:b/>
        </w:rPr>
        <w:t>bindResponse</w:t>
      </w:r>
      <w:r w:rsidR="008D3D62">
        <w:t>.</w:t>
      </w:r>
    </w:p>
    <w:p w:rsidR="00B42FE5" w:rsidRDefault="00111EF4" w:rsidP="006823D3">
      <w:r>
        <w:t xml:space="preserve">The </w:t>
      </w:r>
      <w:r w:rsidR="00C15783">
        <w:t xml:space="preserve">BTS </w:t>
      </w:r>
      <w:r>
        <w:t xml:space="preserve">shall respond with a second </w:t>
      </w:r>
      <w:r w:rsidRPr="00111EF4">
        <w:rPr>
          <w:b/>
        </w:rPr>
        <w:t>bindResponse</w:t>
      </w:r>
      <w:r>
        <w:t>.</w:t>
      </w:r>
      <w:r w:rsidR="00B42FE5">
        <w:t xml:space="preserve"> </w:t>
      </w:r>
      <w:r w:rsidR="003F29C8">
        <w:t xml:space="preserve"> </w:t>
      </w:r>
      <w:r w:rsidR="00B42FE5">
        <w:t xml:space="preserve">Once received, the endpoint </w:t>
      </w:r>
      <w:r w:rsidR="00C15783">
        <w:t xml:space="preserve">shall not </w:t>
      </w:r>
      <w:r w:rsidR="00B42FE5">
        <w:t xml:space="preserve">send any further </w:t>
      </w:r>
      <w:r w:rsidR="00B42FE5" w:rsidRPr="00B42FE5">
        <w:rPr>
          <w:b/>
        </w:rPr>
        <w:t>bindRequest</w:t>
      </w:r>
      <w:r w:rsidR="00B42FE5">
        <w:t xml:space="preserve">. </w:t>
      </w:r>
    </w:p>
    <w:p w:rsidR="003F29C8" w:rsidRDefault="003F29C8" w:rsidP="006823D3">
      <w:r>
        <w:t xml:space="preserve">Where no </w:t>
      </w:r>
      <w:r w:rsidRPr="00CE15D3">
        <w:rPr>
          <w:b/>
        </w:rPr>
        <w:t>bindResponse</w:t>
      </w:r>
      <w:r>
        <w:t xml:space="preserve"> is received from either </w:t>
      </w:r>
      <w:r w:rsidRPr="003F29C8">
        <w:rPr>
          <w:b/>
        </w:rPr>
        <w:t>bindRequest</w:t>
      </w:r>
      <w:r>
        <w:t xml:space="preserve"> </w:t>
      </w:r>
      <w:r w:rsidRPr="00CE15D3">
        <w:t xml:space="preserve">within </w:t>
      </w:r>
      <w:r>
        <w:t>a reasonable time, the NAT/FW shall be considered to be blocked. In this case no media flows are possible.</w:t>
      </w:r>
    </w:p>
    <w:p w:rsidR="003F29C8" w:rsidRDefault="003F29C8" w:rsidP="006823D3">
      <w:r>
        <w:t xml:space="preserve">Bind Tests should be carried out periodically to confirm the binding behaviour of the NAT/FW device. Tests should be carried out at intervals greater than </w:t>
      </w:r>
      <w:r w:rsidR="00C15783">
        <w:t>the binding</w:t>
      </w:r>
      <w:r>
        <w:t xml:space="preserve"> timeout of the NAT/FW device to ensure existing </w:t>
      </w:r>
      <w:r w:rsidR="00C15783">
        <w:t xml:space="preserve">bindings do not affect </w:t>
      </w:r>
      <w:r>
        <w:t>the test results.</w:t>
      </w:r>
    </w:p>
    <w:p w:rsidR="00111EF4" w:rsidRDefault="00111EF4" w:rsidP="00111EF4">
      <w:pPr>
        <w:pStyle w:val="Heading1"/>
      </w:pPr>
      <w:r>
        <w:t>Int</w:t>
      </w:r>
      <w:r w:rsidR="009C7096">
        <w:t>erpreting the Bind Test results</w:t>
      </w:r>
    </w:p>
    <w:p w:rsidR="00D1306B" w:rsidRPr="009C7096" w:rsidRDefault="00D1306B" w:rsidP="009C7096">
      <w:r>
        <w:t xml:space="preserve">Where the </w:t>
      </w:r>
      <w:r w:rsidRPr="00D1306B">
        <w:rPr>
          <w:b/>
        </w:rPr>
        <w:t>mappedAddress</w:t>
      </w:r>
      <w:r>
        <w:t xml:space="preserve"> of the first </w:t>
      </w:r>
      <w:r w:rsidRPr="00D1306B">
        <w:rPr>
          <w:b/>
        </w:rPr>
        <w:t>bindResponse</w:t>
      </w:r>
      <w:r>
        <w:t xml:space="preserve"> is the same as the </w:t>
      </w:r>
      <w:r w:rsidRPr="00D1306B">
        <w:rPr>
          <w:b/>
        </w:rPr>
        <w:t>mappedAddress</w:t>
      </w:r>
      <w:r>
        <w:t xml:space="preserve"> of the second</w:t>
      </w:r>
      <w:r w:rsidR="00CE15D3">
        <w:t>, this</w:t>
      </w:r>
      <w:r>
        <w:t xml:space="preserve"> shall indicate tha</w:t>
      </w:r>
      <w:r w:rsidR="00CE15D3">
        <w:t xml:space="preserve">t the NAT/FW is using the same </w:t>
      </w:r>
      <w:r>
        <w:t>binding</w:t>
      </w:r>
      <w:r w:rsidR="003F29C8">
        <w:t xml:space="preserve"> in the NAT/FW</w:t>
      </w:r>
      <w:r w:rsidR="00CE15D3">
        <w:t xml:space="preserve"> and</w:t>
      </w:r>
      <w:r>
        <w:t xml:space="preserve"> </w:t>
      </w:r>
      <w:r w:rsidR="003F29C8">
        <w:t xml:space="preserve">shall be </w:t>
      </w:r>
      <w:r>
        <w:t>considered as being</w:t>
      </w:r>
      <w:r w:rsidR="003F29C8">
        <w:t xml:space="preserve"> a</w:t>
      </w:r>
      <w:r>
        <w:t xml:space="preserve"> </w:t>
      </w:r>
      <w:r w:rsidRPr="00C15783">
        <w:rPr>
          <w:b/>
        </w:rPr>
        <w:t>Cone</w:t>
      </w:r>
      <w:r>
        <w:t xml:space="preserve"> Binding.  Where the </w:t>
      </w:r>
      <w:r w:rsidRPr="00D1306B">
        <w:rPr>
          <w:b/>
        </w:rPr>
        <w:t>mappedAddress</w:t>
      </w:r>
      <w:r>
        <w:t xml:space="preserve"> are different it shall be considered as</w:t>
      </w:r>
      <w:r w:rsidR="003F29C8">
        <w:t xml:space="preserve"> being</w:t>
      </w:r>
      <w:r>
        <w:t xml:space="preserve"> </w:t>
      </w:r>
      <w:r w:rsidRPr="00C15783">
        <w:rPr>
          <w:b/>
        </w:rPr>
        <w:t>Symmetric</w:t>
      </w:r>
      <w:r>
        <w:t xml:space="preserve"> Binding</w:t>
      </w:r>
      <w:r w:rsidR="00CE15D3">
        <w:t>.</w:t>
      </w:r>
    </w:p>
    <w:p w:rsidR="00CE15D3" w:rsidRDefault="00274A77" w:rsidP="009C7096">
      <w:r>
        <w:t xml:space="preserve">Where the </w:t>
      </w:r>
      <w:r w:rsidRPr="00274A77">
        <w:rPr>
          <w:b/>
        </w:rPr>
        <w:t>mappedAddress</w:t>
      </w:r>
      <w:r>
        <w:t xml:space="preserve"> of both </w:t>
      </w:r>
      <w:r w:rsidRPr="00274A77">
        <w:rPr>
          <w:b/>
        </w:rPr>
        <w:t>bindResponse</w:t>
      </w:r>
      <w:r>
        <w:t xml:space="preserve"> are the same as the local IP and Port then it may be considered that th</w:t>
      </w:r>
      <w:r w:rsidR="00CE15D3">
        <w:t>ere is no NAT/FW device present</w:t>
      </w:r>
      <w:r>
        <w:t>.</w:t>
      </w:r>
    </w:p>
    <w:p w:rsidR="00274A77" w:rsidRDefault="00274A77" w:rsidP="00CE15D3">
      <w:pPr>
        <w:pStyle w:val="Heading1"/>
      </w:pPr>
      <w:r>
        <w:lastRenderedPageBreak/>
        <w:t xml:space="preserve"> Opening pinhole</w:t>
      </w:r>
      <w:r w:rsidR="00CE15D3">
        <w:t xml:space="preserve">s </w:t>
      </w:r>
      <w:r w:rsidR="00042D6E">
        <w:t>for media</w:t>
      </w:r>
    </w:p>
    <w:p w:rsidR="00523869" w:rsidRDefault="00606F4F" w:rsidP="009C7096">
      <w:r>
        <w:t xml:space="preserve">The </w:t>
      </w:r>
      <w:r w:rsidR="00C15783">
        <w:t xml:space="preserve">BTS </w:t>
      </w:r>
      <w:r>
        <w:t xml:space="preserve">as defined in clause 7 may also be used, where instructed, to open pinholes in the NAT/FW for </w:t>
      </w:r>
      <w:r w:rsidR="001D3083">
        <w:t xml:space="preserve">symmetric </w:t>
      </w:r>
      <w:r>
        <w:t>media</w:t>
      </w:r>
      <w:r w:rsidR="001D3083">
        <w:t xml:space="preserve"> flows</w:t>
      </w:r>
      <w:r>
        <w:t xml:space="preserve">. In this </w:t>
      </w:r>
      <w:r w:rsidR="00CE15D3">
        <w:t>case</w:t>
      </w:r>
      <w:r>
        <w:t xml:space="preserve"> only one </w:t>
      </w:r>
      <w:r w:rsidRPr="00606F4F">
        <w:rPr>
          <w:b/>
        </w:rPr>
        <w:t>bindRequest</w:t>
      </w:r>
      <w:r>
        <w:t xml:space="preserve"> is initiated</w:t>
      </w:r>
      <w:r w:rsidR="001D3083">
        <w:t xml:space="preserve"> from the local media IP</w:t>
      </w:r>
      <w:r w:rsidR="00C15783">
        <w:t xml:space="preserve"> Address and p</w:t>
      </w:r>
      <w:r w:rsidR="001D3083">
        <w:t>ort</w:t>
      </w:r>
      <w:r>
        <w:t xml:space="preserve"> and the </w:t>
      </w:r>
      <w:r w:rsidRPr="00606F4F">
        <w:rPr>
          <w:b/>
        </w:rPr>
        <w:t>mappedAddress</w:t>
      </w:r>
      <w:r>
        <w:t xml:space="preserve"> of the reply </w:t>
      </w:r>
      <w:r w:rsidRPr="00606F4F">
        <w:rPr>
          <w:b/>
        </w:rPr>
        <w:t>bindResponse</w:t>
      </w:r>
      <w:r>
        <w:t xml:space="preserve"> may be used to advertise to the remote device </w:t>
      </w:r>
      <w:r w:rsidR="001D3083">
        <w:t>the open pinhole in the NAT/FW device</w:t>
      </w:r>
      <w:r>
        <w:t xml:space="preserve"> to</w:t>
      </w:r>
      <w:r w:rsidR="00CE15D3">
        <w:t xml:space="preserve"> establish</w:t>
      </w:r>
      <w:r w:rsidR="001D3083">
        <w:t xml:space="preserve"> </w:t>
      </w:r>
      <w:r>
        <w:t>media flows.</w:t>
      </w:r>
    </w:p>
    <w:p w:rsidR="00D1306B" w:rsidRDefault="00D1306B" w:rsidP="009C7096"/>
    <w:p w:rsidR="006C499C" w:rsidRPr="00A14FB6" w:rsidRDefault="006C499C" w:rsidP="006C499C">
      <w:pPr>
        <w:jc w:val="center"/>
      </w:pPr>
      <w:r w:rsidRPr="00A14FB6">
        <w:t>___________</w:t>
      </w:r>
      <w:r w:rsidR="002E6D38">
        <w:t>_______</w:t>
      </w:r>
      <w:bookmarkStart w:id="70" w:name="_GoBack"/>
      <w:bookmarkEnd w:id="70"/>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D5E" w:rsidRDefault="00064D5E">
      <w:r>
        <w:separator/>
      </w:r>
    </w:p>
  </w:endnote>
  <w:endnote w:type="continuationSeparator" w:id="0">
    <w:p w:rsidR="00064D5E" w:rsidRDefault="0006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0B34E9" w:rsidRPr="00F331C5">
      <w:trPr>
        <w:cantSplit/>
        <w:trHeight w:val="204"/>
      </w:trPr>
      <w:tc>
        <w:tcPr>
          <w:tcW w:w="1617" w:type="dxa"/>
          <w:tcBorders>
            <w:top w:val="single" w:sz="12" w:space="0" w:color="auto"/>
            <w:bottom w:val="single" w:sz="12" w:space="0" w:color="auto"/>
          </w:tcBorders>
        </w:tcPr>
        <w:p w:rsidR="000B34E9" w:rsidRPr="00230D98" w:rsidRDefault="000B34E9" w:rsidP="006C499C">
          <w:pPr>
            <w:rPr>
              <w:b/>
              <w:bCs/>
              <w:sz w:val="20"/>
            </w:rPr>
          </w:pPr>
          <w:bookmarkStart w:id="71" w:name="dcontact"/>
          <w:r w:rsidRPr="00230D98">
            <w:rPr>
              <w:b/>
              <w:bCs/>
              <w:sz w:val="20"/>
            </w:rPr>
            <w:t>Contact:</w:t>
          </w:r>
        </w:p>
      </w:tc>
      <w:tc>
        <w:tcPr>
          <w:tcW w:w="4394" w:type="dxa"/>
          <w:tcBorders>
            <w:top w:val="single" w:sz="12" w:space="0" w:color="auto"/>
            <w:bottom w:val="single" w:sz="12" w:space="0" w:color="auto"/>
          </w:tcBorders>
        </w:tcPr>
        <w:p w:rsidR="000B34E9" w:rsidRPr="00230D98" w:rsidRDefault="000B34E9" w:rsidP="006C499C">
          <w:pPr>
            <w:rPr>
              <w:sz w:val="20"/>
            </w:rPr>
          </w:pPr>
          <w:r w:rsidRPr="00230D98">
            <w:rPr>
              <w:sz w:val="20"/>
            </w:rPr>
            <w:t>Simon Horne</w:t>
          </w:r>
        </w:p>
        <w:p w:rsidR="000B34E9" w:rsidRPr="00230D98" w:rsidRDefault="000B34E9" w:rsidP="006C499C">
          <w:pPr>
            <w:spacing w:before="0"/>
            <w:rPr>
              <w:sz w:val="20"/>
            </w:rPr>
          </w:pPr>
          <w:r w:rsidRPr="00230D98">
            <w:rPr>
              <w:sz w:val="20"/>
            </w:rPr>
            <w:t>Spranto Australia Pty Ltd</w:t>
          </w:r>
        </w:p>
        <w:p w:rsidR="000B34E9" w:rsidRPr="00230D98" w:rsidRDefault="000B34E9" w:rsidP="006C499C">
          <w:pPr>
            <w:spacing w:before="0"/>
            <w:rPr>
              <w:sz w:val="20"/>
            </w:rPr>
          </w:pPr>
          <w:r w:rsidRPr="00230D98">
            <w:rPr>
              <w:sz w:val="20"/>
            </w:rPr>
            <w:t>Australia</w:t>
          </w:r>
        </w:p>
      </w:tc>
      <w:tc>
        <w:tcPr>
          <w:tcW w:w="3912" w:type="dxa"/>
          <w:tcBorders>
            <w:top w:val="single" w:sz="12" w:space="0" w:color="auto"/>
            <w:bottom w:val="single" w:sz="12" w:space="0" w:color="auto"/>
          </w:tcBorders>
        </w:tcPr>
        <w:p w:rsidR="000B34E9" w:rsidRPr="00F331C5" w:rsidRDefault="000B34E9" w:rsidP="006C499C">
          <w:pPr>
            <w:rPr>
              <w:sz w:val="20"/>
            </w:rPr>
          </w:pPr>
          <w:r w:rsidRPr="00F331C5">
            <w:rPr>
              <w:sz w:val="20"/>
            </w:rPr>
            <w:t>Tel: +</w:t>
          </w:r>
          <w:r>
            <w:rPr>
              <w:sz w:val="20"/>
            </w:rPr>
            <w:t>61 412 984 323</w:t>
          </w:r>
        </w:p>
        <w:p w:rsidR="000B34E9" w:rsidRPr="00F331C5" w:rsidRDefault="000B34E9" w:rsidP="006C499C">
          <w:pPr>
            <w:spacing w:before="0"/>
            <w:rPr>
              <w:sz w:val="20"/>
            </w:rPr>
          </w:pPr>
          <w:r w:rsidRPr="00F331C5">
            <w:rPr>
              <w:sz w:val="20"/>
            </w:rPr>
            <w:t xml:space="preserve">Fax: </w:t>
          </w:r>
        </w:p>
        <w:p w:rsidR="000B34E9" w:rsidRPr="00F331C5" w:rsidRDefault="000B34E9" w:rsidP="00230D98">
          <w:pPr>
            <w:spacing w:before="0"/>
            <w:rPr>
              <w:sz w:val="20"/>
            </w:rPr>
          </w:pPr>
          <w:r w:rsidRPr="00F331C5">
            <w:rPr>
              <w:sz w:val="20"/>
            </w:rPr>
            <w:t xml:space="preserve">Email: </w:t>
          </w:r>
          <w:r>
            <w:rPr>
              <w:sz w:val="20"/>
            </w:rPr>
            <w:t>s.horne@spranto.com</w:t>
          </w:r>
        </w:p>
      </w:tc>
    </w:tr>
    <w:bookmarkEnd w:id="71"/>
  </w:tbl>
  <w:p w:rsidR="000B34E9" w:rsidRPr="00981DCE" w:rsidRDefault="000B34E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D5E" w:rsidRDefault="00064D5E">
      <w:r>
        <w:separator/>
      </w:r>
    </w:p>
  </w:footnote>
  <w:footnote w:type="continuationSeparator" w:id="0">
    <w:p w:rsidR="00064D5E" w:rsidRDefault="00064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4E9" w:rsidRPr="00981DCE" w:rsidRDefault="000B34E9"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E6D38">
      <w:rPr>
        <w:noProof/>
      </w:rPr>
      <w:t>6</w:t>
    </w:r>
    <w:r w:rsidRPr="00981DCE">
      <w:fldChar w:fldCharType="end"/>
    </w:r>
    <w:r w:rsidRPr="00981DCE">
      <w:t xml:space="preserve"> -</w:t>
    </w:r>
  </w:p>
  <w:p w:rsidR="000B34E9" w:rsidRPr="00711FE1" w:rsidRDefault="000B34E9" w:rsidP="006C499C">
    <w:pPr>
      <w:pStyle w:val="Header"/>
    </w:pPr>
    <w:r>
      <w:t>AVD-4524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E23D0A"/>
    <w:multiLevelType w:val="hybridMultilevel"/>
    <w:tmpl w:val="B9D25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FAC7986"/>
    <w:multiLevelType w:val="hybridMultilevel"/>
    <w:tmpl w:val="A418D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02A4"/>
    <w:rsid w:val="00042D6E"/>
    <w:rsid w:val="00064D5E"/>
    <w:rsid w:val="000B34E9"/>
    <w:rsid w:val="00111EF4"/>
    <w:rsid w:val="001D3083"/>
    <w:rsid w:val="002138BA"/>
    <w:rsid w:val="00230D98"/>
    <w:rsid w:val="002444E1"/>
    <w:rsid w:val="00274A77"/>
    <w:rsid w:val="002E6D38"/>
    <w:rsid w:val="002F0223"/>
    <w:rsid w:val="00373C21"/>
    <w:rsid w:val="003F29C8"/>
    <w:rsid w:val="00466EC7"/>
    <w:rsid w:val="004B78C5"/>
    <w:rsid w:val="00523869"/>
    <w:rsid w:val="005267E7"/>
    <w:rsid w:val="00530250"/>
    <w:rsid w:val="005D55C0"/>
    <w:rsid w:val="00601CC4"/>
    <w:rsid w:val="00602AA7"/>
    <w:rsid w:val="00606F4F"/>
    <w:rsid w:val="006469E2"/>
    <w:rsid w:val="0067042E"/>
    <w:rsid w:val="00677DB3"/>
    <w:rsid w:val="006823D3"/>
    <w:rsid w:val="00682BBD"/>
    <w:rsid w:val="0068394C"/>
    <w:rsid w:val="006927C1"/>
    <w:rsid w:val="006954B3"/>
    <w:rsid w:val="006A3BC3"/>
    <w:rsid w:val="006C499C"/>
    <w:rsid w:val="006E68A9"/>
    <w:rsid w:val="006F3EE7"/>
    <w:rsid w:val="007223A7"/>
    <w:rsid w:val="0072455D"/>
    <w:rsid w:val="00732155"/>
    <w:rsid w:val="0074697C"/>
    <w:rsid w:val="0075438F"/>
    <w:rsid w:val="007570DD"/>
    <w:rsid w:val="00762E0E"/>
    <w:rsid w:val="0077413D"/>
    <w:rsid w:val="00774CAD"/>
    <w:rsid w:val="007B331C"/>
    <w:rsid w:val="007D5F32"/>
    <w:rsid w:val="008227AE"/>
    <w:rsid w:val="00823069"/>
    <w:rsid w:val="008262DB"/>
    <w:rsid w:val="00891D47"/>
    <w:rsid w:val="008D3D62"/>
    <w:rsid w:val="009026BC"/>
    <w:rsid w:val="00926138"/>
    <w:rsid w:val="009318A1"/>
    <w:rsid w:val="00937BCE"/>
    <w:rsid w:val="0094230F"/>
    <w:rsid w:val="009A5272"/>
    <w:rsid w:val="009C7096"/>
    <w:rsid w:val="009C724D"/>
    <w:rsid w:val="00A14FB6"/>
    <w:rsid w:val="00A30442"/>
    <w:rsid w:val="00A35E88"/>
    <w:rsid w:val="00A65213"/>
    <w:rsid w:val="00A8269C"/>
    <w:rsid w:val="00A83FFA"/>
    <w:rsid w:val="00A91ABF"/>
    <w:rsid w:val="00A9753A"/>
    <w:rsid w:val="00AC05E5"/>
    <w:rsid w:val="00AC26B2"/>
    <w:rsid w:val="00AE566B"/>
    <w:rsid w:val="00AE68B3"/>
    <w:rsid w:val="00B128E5"/>
    <w:rsid w:val="00B42FE5"/>
    <w:rsid w:val="00BE56D7"/>
    <w:rsid w:val="00C03EC3"/>
    <w:rsid w:val="00C15783"/>
    <w:rsid w:val="00C2315B"/>
    <w:rsid w:val="00C27061"/>
    <w:rsid w:val="00C6507E"/>
    <w:rsid w:val="00CA55F8"/>
    <w:rsid w:val="00CC667A"/>
    <w:rsid w:val="00CE15D3"/>
    <w:rsid w:val="00D0565D"/>
    <w:rsid w:val="00D1306B"/>
    <w:rsid w:val="00D35329"/>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27DC246-B45B-4E90-9162-21459039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69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A30442"/>
    <w:rPr>
      <w:b/>
      <w:sz w:val="24"/>
      <w:lang w:val="en-GB"/>
    </w:rPr>
  </w:style>
  <w:style w:type="paragraph" w:styleId="ListParagraph">
    <w:name w:val="List Paragraph"/>
    <w:basedOn w:val="Normal"/>
    <w:uiPriority w:val="34"/>
    <w:qFormat/>
    <w:rsid w:val="00682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14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D9770-9909-4369-97F1-BEAE51C9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9775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8</cp:revision>
  <cp:lastPrinted>2002-08-01T12:30:00Z</cp:lastPrinted>
  <dcterms:created xsi:type="dcterms:W3CDTF">2014-03-01T03:15:00Z</dcterms:created>
  <dcterms:modified xsi:type="dcterms:W3CDTF">2014-03-04T00:04:00Z</dcterms:modified>
</cp:coreProperties>
</file>