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3360"/>
        <w:gridCol w:w="480"/>
        <w:gridCol w:w="1121"/>
        <w:gridCol w:w="3345"/>
      </w:tblGrid>
      <w:tr w:rsidR="0037415F" w:rsidRPr="0037415F">
        <w:trPr>
          <w:cantSplit/>
        </w:trPr>
        <w:tc>
          <w:tcPr>
            <w:tcW w:w="1417" w:type="dxa"/>
            <w:vMerge w:val="restart"/>
          </w:tcPr>
          <w:p w:rsidR="0037415F" w:rsidRPr="0037415F" w:rsidRDefault="0037415F" w:rsidP="0037415F">
            <w:bookmarkStart w:id="0" w:name="InsertLogo"/>
            <w:bookmarkStart w:id="1" w:name="dtableau"/>
            <w:bookmarkEnd w:id="0"/>
            <w:r w:rsidRPr="0037415F">
              <w:rPr>
                <w:b/>
                <w:noProof/>
                <w:sz w:val="36"/>
                <w:lang w:val="de-DE" w:eastAsia="de-DE"/>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37415F" w:rsidRPr="0037415F" w:rsidRDefault="0037415F" w:rsidP="0037415F">
            <w:pPr>
              <w:rPr>
                <w:sz w:val="20"/>
              </w:rPr>
            </w:pPr>
            <w:r w:rsidRPr="0037415F">
              <w:rPr>
                <w:sz w:val="20"/>
              </w:rPr>
              <w:t>INTERNATIONAL TELECOMMUNICATION UNION</w:t>
            </w:r>
          </w:p>
        </w:tc>
        <w:tc>
          <w:tcPr>
            <w:tcW w:w="3345" w:type="dxa"/>
          </w:tcPr>
          <w:p w:rsidR="0037415F" w:rsidRPr="0037415F" w:rsidRDefault="0037415F" w:rsidP="00B077EB">
            <w:pPr>
              <w:pStyle w:val="Docnumber"/>
            </w:pPr>
            <w:bookmarkStart w:id="2" w:name="dnum"/>
            <w:r>
              <w:t xml:space="preserve">COM </w:t>
            </w:r>
            <w:r w:rsidR="00B77826">
              <w:t>1</w:t>
            </w:r>
            <w:r w:rsidR="00E60D06">
              <w:t>6</w:t>
            </w:r>
            <w:r>
              <w:t xml:space="preserve"> – C </w:t>
            </w:r>
            <w:r w:rsidR="00B077EB">
              <w:t>52</w:t>
            </w:r>
            <w:r>
              <w:t xml:space="preserve"> – E</w:t>
            </w:r>
            <w:bookmarkEnd w:id="2"/>
          </w:p>
        </w:tc>
      </w:tr>
      <w:tr w:rsidR="0037415F" w:rsidRPr="0037415F">
        <w:trPr>
          <w:cantSplit/>
          <w:trHeight w:val="355"/>
        </w:trPr>
        <w:tc>
          <w:tcPr>
            <w:tcW w:w="1417" w:type="dxa"/>
            <w:vMerge/>
          </w:tcPr>
          <w:p w:rsidR="0037415F" w:rsidRPr="0037415F" w:rsidRDefault="0037415F" w:rsidP="0037415F">
            <w:bookmarkStart w:id="3" w:name="ddate" w:colFirst="2" w:colLast="2"/>
          </w:p>
        </w:tc>
        <w:tc>
          <w:tcPr>
            <w:tcW w:w="4040" w:type="dxa"/>
            <w:gridSpan w:val="3"/>
            <w:vMerge w:val="restart"/>
          </w:tcPr>
          <w:p w:rsidR="0037415F" w:rsidRPr="00072A4E" w:rsidRDefault="0037415F" w:rsidP="0037415F">
            <w:pPr>
              <w:rPr>
                <w:b/>
                <w:bCs/>
                <w:sz w:val="26"/>
              </w:rPr>
            </w:pPr>
            <w:r w:rsidRPr="00072A4E">
              <w:rPr>
                <w:b/>
                <w:bCs/>
                <w:sz w:val="26"/>
              </w:rPr>
              <w:t>TELECOMMUNICATION</w:t>
            </w:r>
            <w:r w:rsidRPr="00072A4E">
              <w:rPr>
                <w:b/>
                <w:bCs/>
                <w:sz w:val="26"/>
              </w:rPr>
              <w:br/>
              <w:t>STANDARDIZATION SECTOR</w:t>
            </w:r>
          </w:p>
          <w:p w:rsidR="0037415F" w:rsidRPr="00072A4E" w:rsidRDefault="0037415F" w:rsidP="009E35D2">
            <w:pPr>
              <w:rPr>
                <w:smallCaps/>
                <w:sz w:val="20"/>
              </w:rPr>
            </w:pPr>
            <w:r w:rsidRPr="00072A4E">
              <w:rPr>
                <w:sz w:val="20"/>
              </w:rPr>
              <w:t xml:space="preserve">STUDY PERIOD </w:t>
            </w:r>
            <w:r w:rsidR="009E35D2" w:rsidRPr="00072A4E">
              <w:rPr>
                <w:sz w:val="20"/>
              </w:rPr>
              <w:t>2013-2016</w:t>
            </w:r>
          </w:p>
        </w:tc>
        <w:tc>
          <w:tcPr>
            <w:tcW w:w="4466" w:type="dxa"/>
            <w:gridSpan w:val="2"/>
          </w:tcPr>
          <w:p w:rsidR="0037415F" w:rsidRPr="0037415F" w:rsidRDefault="00CF12BB" w:rsidP="0037415F">
            <w:pPr>
              <w:jc w:val="right"/>
              <w:rPr>
                <w:b/>
                <w:bCs/>
                <w:sz w:val="28"/>
              </w:rPr>
            </w:pPr>
            <w:r w:rsidRPr="0037415F">
              <w:rPr>
                <w:b/>
                <w:bCs/>
                <w:sz w:val="28"/>
              </w:rPr>
              <w:fldChar w:fldCharType="begin"/>
            </w:r>
            <w:r w:rsidR="0037415F" w:rsidRPr="0037415F">
              <w:rPr>
                <w:b/>
                <w:bCs/>
                <w:sz w:val="28"/>
              </w:rPr>
              <w:instrText xml:space="preserve"> </w:instrText>
            </w:r>
            <w:r w:rsidR="00590A2F">
              <w:rPr>
                <w:b/>
                <w:bCs/>
                <w:sz w:val="28"/>
              </w:rPr>
              <w:instrText>CREATE</w:instrText>
            </w:r>
            <w:r w:rsidR="0037415F" w:rsidRPr="0037415F">
              <w:rPr>
                <w:b/>
                <w:bCs/>
                <w:sz w:val="28"/>
              </w:rPr>
              <w:instrText xml:space="preserve">DATE \@ "MMMM yyyy" </w:instrText>
            </w:r>
            <w:r w:rsidRPr="0037415F">
              <w:rPr>
                <w:b/>
                <w:bCs/>
                <w:sz w:val="28"/>
              </w:rPr>
              <w:fldChar w:fldCharType="separate"/>
            </w:r>
            <w:r w:rsidR="004D7E30">
              <w:rPr>
                <w:b/>
                <w:bCs/>
                <w:noProof/>
                <w:sz w:val="28"/>
              </w:rPr>
              <w:t>December 2012</w:t>
            </w:r>
            <w:r w:rsidRPr="0037415F">
              <w:rPr>
                <w:b/>
                <w:bCs/>
                <w:sz w:val="28"/>
              </w:rPr>
              <w:fldChar w:fldCharType="end"/>
            </w:r>
          </w:p>
        </w:tc>
      </w:tr>
      <w:tr w:rsidR="0037415F" w:rsidRPr="0037415F">
        <w:trPr>
          <w:cantSplit/>
          <w:trHeight w:val="780"/>
        </w:trPr>
        <w:tc>
          <w:tcPr>
            <w:tcW w:w="1417" w:type="dxa"/>
            <w:vMerge/>
            <w:tcBorders>
              <w:bottom w:val="single" w:sz="12" w:space="0" w:color="auto"/>
            </w:tcBorders>
          </w:tcPr>
          <w:p w:rsidR="0037415F" w:rsidRPr="0037415F" w:rsidRDefault="0037415F" w:rsidP="0037415F">
            <w:bookmarkStart w:id="4" w:name="dorlang" w:colFirst="2" w:colLast="2"/>
            <w:bookmarkEnd w:id="3"/>
          </w:p>
        </w:tc>
        <w:tc>
          <w:tcPr>
            <w:tcW w:w="4040" w:type="dxa"/>
            <w:gridSpan w:val="3"/>
            <w:vMerge/>
            <w:tcBorders>
              <w:bottom w:val="single" w:sz="12" w:space="0" w:color="auto"/>
            </w:tcBorders>
          </w:tcPr>
          <w:p w:rsidR="0037415F" w:rsidRPr="0037415F" w:rsidRDefault="0037415F" w:rsidP="0037415F">
            <w:pPr>
              <w:rPr>
                <w:b/>
                <w:bCs/>
                <w:sz w:val="26"/>
              </w:rPr>
            </w:pPr>
          </w:p>
        </w:tc>
        <w:tc>
          <w:tcPr>
            <w:tcW w:w="4466" w:type="dxa"/>
            <w:gridSpan w:val="2"/>
            <w:tcBorders>
              <w:bottom w:val="single" w:sz="12" w:space="0" w:color="auto"/>
            </w:tcBorders>
            <w:vAlign w:val="center"/>
          </w:tcPr>
          <w:p w:rsidR="0037415F" w:rsidRDefault="0037415F" w:rsidP="0037415F">
            <w:pPr>
              <w:jc w:val="right"/>
              <w:rPr>
                <w:b/>
                <w:bCs/>
                <w:sz w:val="28"/>
              </w:rPr>
            </w:pPr>
            <w:r>
              <w:rPr>
                <w:b/>
                <w:bCs/>
                <w:sz w:val="28"/>
              </w:rPr>
              <w:t>English only</w:t>
            </w:r>
          </w:p>
          <w:p w:rsidR="0037415F" w:rsidRPr="0037415F" w:rsidRDefault="0037415F" w:rsidP="0037415F">
            <w:pPr>
              <w:jc w:val="right"/>
              <w:rPr>
                <w:b/>
                <w:bCs/>
                <w:sz w:val="28"/>
              </w:rPr>
            </w:pPr>
            <w:r>
              <w:rPr>
                <w:b/>
                <w:bCs/>
                <w:sz w:val="28"/>
              </w:rPr>
              <w:t>Original: English</w:t>
            </w:r>
          </w:p>
        </w:tc>
      </w:tr>
      <w:tr w:rsidR="0037415F" w:rsidRPr="0037415F">
        <w:trPr>
          <w:cantSplit/>
          <w:trHeight w:val="357"/>
        </w:trPr>
        <w:tc>
          <w:tcPr>
            <w:tcW w:w="1617" w:type="dxa"/>
            <w:gridSpan w:val="2"/>
          </w:tcPr>
          <w:p w:rsidR="0037415F" w:rsidRPr="0037415F" w:rsidRDefault="0037415F" w:rsidP="0037415F">
            <w:pPr>
              <w:rPr>
                <w:b/>
                <w:bCs/>
              </w:rPr>
            </w:pPr>
            <w:bookmarkStart w:id="5" w:name="dmeeting" w:colFirst="2" w:colLast="2"/>
            <w:bookmarkStart w:id="6" w:name="dbluepink" w:colFirst="1" w:colLast="1"/>
            <w:bookmarkEnd w:id="4"/>
            <w:r w:rsidRPr="0037415F">
              <w:rPr>
                <w:b/>
                <w:bCs/>
              </w:rPr>
              <w:t>Question(s):</w:t>
            </w:r>
          </w:p>
        </w:tc>
        <w:tc>
          <w:tcPr>
            <w:tcW w:w="3360" w:type="dxa"/>
          </w:tcPr>
          <w:p w:rsidR="0037415F" w:rsidRPr="0037415F" w:rsidRDefault="00D023DD" w:rsidP="0037415F">
            <w:r>
              <w:t>3</w:t>
            </w:r>
            <w:r w:rsidR="0037415F" w:rsidRPr="0037415F">
              <w:t>/</w:t>
            </w:r>
            <w:r w:rsidR="00B77826">
              <w:t>1</w:t>
            </w:r>
            <w:r w:rsidR="00B1740E">
              <w:t>6</w:t>
            </w:r>
          </w:p>
        </w:tc>
        <w:tc>
          <w:tcPr>
            <w:tcW w:w="4946" w:type="dxa"/>
            <w:gridSpan w:val="3"/>
          </w:tcPr>
          <w:p w:rsidR="0037415F" w:rsidRPr="0037415F" w:rsidRDefault="0037415F" w:rsidP="0037415F">
            <w:pPr>
              <w:jc w:val="right"/>
            </w:pPr>
          </w:p>
        </w:tc>
      </w:tr>
      <w:tr w:rsidR="0037415F" w:rsidRPr="0037415F">
        <w:trPr>
          <w:cantSplit/>
          <w:trHeight w:val="357"/>
        </w:trPr>
        <w:tc>
          <w:tcPr>
            <w:tcW w:w="9923" w:type="dxa"/>
            <w:gridSpan w:val="6"/>
          </w:tcPr>
          <w:p w:rsidR="0037415F" w:rsidRPr="0037415F" w:rsidRDefault="0037415F" w:rsidP="00B077EB">
            <w:pPr>
              <w:jc w:val="center"/>
              <w:rPr>
                <w:b/>
                <w:bCs/>
              </w:rPr>
            </w:pPr>
            <w:bookmarkStart w:id="7" w:name="dtitle" w:colFirst="0" w:colLast="0"/>
            <w:bookmarkEnd w:id="5"/>
            <w:bookmarkEnd w:id="6"/>
            <w:r w:rsidRPr="0037415F">
              <w:rPr>
                <w:b/>
                <w:bCs/>
              </w:rPr>
              <w:t xml:space="preserve">STUDY GROUP </w:t>
            </w:r>
            <w:r w:rsidR="00B1740E">
              <w:rPr>
                <w:b/>
                <w:bCs/>
              </w:rPr>
              <w:t>16</w:t>
            </w:r>
            <w:r w:rsidRPr="0037415F">
              <w:rPr>
                <w:b/>
                <w:bCs/>
              </w:rPr>
              <w:t xml:space="preserve"> – CONTRIBUTION </w:t>
            </w:r>
            <w:r w:rsidR="00B077EB">
              <w:rPr>
                <w:b/>
                <w:bCs/>
              </w:rPr>
              <w:t>52</w:t>
            </w:r>
          </w:p>
        </w:tc>
      </w:tr>
      <w:tr w:rsidR="0037415F" w:rsidRPr="0037415F">
        <w:trPr>
          <w:cantSplit/>
          <w:trHeight w:val="357"/>
        </w:trPr>
        <w:tc>
          <w:tcPr>
            <w:tcW w:w="1617" w:type="dxa"/>
            <w:gridSpan w:val="2"/>
          </w:tcPr>
          <w:p w:rsidR="0037415F" w:rsidRPr="0037415F" w:rsidRDefault="0037415F" w:rsidP="0037415F">
            <w:pPr>
              <w:rPr>
                <w:b/>
                <w:bCs/>
              </w:rPr>
            </w:pPr>
            <w:bookmarkStart w:id="8" w:name="dsource" w:colFirst="1" w:colLast="1"/>
            <w:bookmarkEnd w:id="7"/>
            <w:r w:rsidRPr="0037415F">
              <w:rPr>
                <w:b/>
                <w:bCs/>
              </w:rPr>
              <w:t>Source:</w:t>
            </w:r>
          </w:p>
        </w:tc>
        <w:tc>
          <w:tcPr>
            <w:tcW w:w="8306" w:type="dxa"/>
            <w:gridSpan w:val="4"/>
          </w:tcPr>
          <w:p w:rsidR="0037415F" w:rsidRPr="0037415F" w:rsidRDefault="00D023DD" w:rsidP="0037415F">
            <w:r w:rsidRPr="00D023DD">
              <w:t>Alcatel-Lucent Deutschland, Alcatel-Lucent Shanghai Bell</w:t>
            </w:r>
          </w:p>
        </w:tc>
      </w:tr>
      <w:tr w:rsidR="0037415F" w:rsidRPr="0037415F">
        <w:trPr>
          <w:cantSplit/>
          <w:trHeight w:val="357"/>
        </w:trPr>
        <w:tc>
          <w:tcPr>
            <w:tcW w:w="1617" w:type="dxa"/>
            <w:gridSpan w:val="2"/>
            <w:tcBorders>
              <w:bottom w:val="single" w:sz="12" w:space="0" w:color="auto"/>
            </w:tcBorders>
          </w:tcPr>
          <w:p w:rsidR="0037415F" w:rsidRPr="0037415F" w:rsidRDefault="0037415F" w:rsidP="0037415F">
            <w:pPr>
              <w:spacing w:after="120"/>
            </w:pPr>
            <w:bookmarkStart w:id="9" w:name="dtitle1" w:colFirst="1" w:colLast="1"/>
            <w:bookmarkEnd w:id="8"/>
            <w:r w:rsidRPr="0037415F">
              <w:rPr>
                <w:b/>
                <w:bCs/>
              </w:rPr>
              <w:t>Title:</w:t>
            </w:r>
          </w:p>
        </w:tc>
        <w:tc>
          <w:tcPr>
            <w:tcW w:w="8306" w:type="dxa"/>
            <w:gridSpan w:val="4"/>
            <w:tcBorders>
              <w:bottom w:val="single" w:sz="12" w:space="0" w:color="auto"/>
            </w:tcBorders>
          </w:tcPr>
          <w:p w:rsidR="0037415F" w:rsidRPr="0037415F" w:rsidRDefault="00B077EB" w:rsidP="00B077EB">
            <w:pPr>
              <w:spacing w:after="120"/>
            </w:pPr>
            <w:r w:rsidRPr="00B077EB">
              <w:t xml:space="preserve">H.248 control mode: SDP-based </w:t>
            </w:r>
            <w:proofErr w:type="spellStart"/>
            <w:r w:rsidRPr="00B077EB">
              <w:t>vs</w:t>
            </w:r>
            <w:proofErr w:type="spellEnd"/>
            <w:r w:rsidRPr="00B077EB">
              <w:t xml:space="preserve"> Property-based H.248 signalling </w:t>
            </w:r>
            <w:r>
              <w:t xml:space="preserve">– </w:t>
            </w:r>
            <w:r w:rsidRPr="00B077EB">
              <w:t>Deficiencies of the SDP method</w:t>
            </w:r>
          </w:p>
        </w:tc>
      </w:tr>
    </w:tbl>
    <w:bookmarkEnd w:id="1"/>
    <w:bookmarkEnd w:id="9"/>
    <w:p w:rsidR="00B55D8B" w:rsidRDefault="00B55D8B" w:rsidP="00B55D8B">
      <w:pPr>
        <w:pStyle w:val="Headingb"/>
      </w:pPr>
      <w:r>
        <w:t>Background:</w:t>
      </w:r>
    </w:p>
    <w:p w:rsidR="00B55D8B" w:rsidRDefault="00EC7791" w:rsidP="00B55D8B">
      <w:pPr>
        <w:rPr>
          <w:szCs w:val="24"/>
        </w:rPr>
      </w:pPr>
      <w:r>
        <w:t>The discussion of SDP-based versus</w:t>
      </w:r>
      <w:r w:rsidRPr="00B077EB">
        <w:t xml:space="preserve"> </w:t>
      </w:r>
      <w:r w:rsidR="000048B4">
        <w:t>P</w:t>
      </w:r>
      <w:r w:rsidRPr="00B077EB">
        <w:t>roperty-based H.248 signalling</w:t>
      </w:r>
      <w:r>
        <w:rPr>
          <w:szCs w:val="24"/>
        </w:rPr>
        <w:t xml:space="preserve"> is a well known topic in the H.248 community, but never really documented. The subject is currently again in focus </w:t>
      </w:r>
      <w:r w:rsidR="00BD631F">
        <w:rPr>
          <w:szCs w:val="24"/>
        </w:rPr>
        <w:t>as part of</w:t>
      </w:r>
      <w:r>
        <w:rPr>
          <w:szCs w:val="24"/>
        </w:rPr>
        <w:t xml:space="preserve"> work items H.248.82, H.248.TCP and H.248.TLS.</w:t>
      </w:r>
    </w:p>
    <w:p w:rsidR="00C55F20" w:rsidRDefault="000048B4" w:rsidP="00B55D8B">
      <w:r>
        <w:rPr>
          <w:szCs w:val="24"/>
        </w:rPr>
        <w:t xml:space="preserve">The </w:t>
      </w:r>
      <w:r w:rsidRPr="000048B4">
        <w:rPr>
          <w:i/>
          <w:szCs w:val="24"/>
        </w:rPr>
        <w:t>Property-based</w:t>
      </w:r>
      <w:r>
        <w:rPr>
          <w:szCs w:val="24"/>
        </w:rPr>
        <w:t xml:space="preserve"> approach is generally admitted due to native H.248 signalling elements. The </w:t>
      </w:r>
      <w:r>
        <w:rPr>
          <w:i/>
          <w:szCs w:val="24"/>
        </w:rPr>
        <w:t>SDP</w:t>
      </w:r>
      <w:r w:rsidRPr="000048B4">
        <w:rPr>
          <w:i/>
          <w:szCs w:val="24"/>
        </w:rPr>
        <w:t>-based</w:t>
      </w:r>
      <w:r w:rsidR="00BC304E">
        <w:rPr>
          <w:szCs w:val="24"/>
        </w:rPr>
        <w:t xml:space="preserve"> method</w:t>
      </w:r>
      <w:r>
        <w:rPr>
          <w:szCs w:val="24"/>
        </w:rPr>
        <w:t xml:space="preserve"> has limited applicability. </w:t>
      </w:r>
      <w:r w:rsidR="002D4DCF">
        <w:rPr>
          <w:szCs w:val="24"/>
        </w:rPr>
        <w:t xml:space="preserve">Purpose of this contribution </w:t>
      </w:r>
      <w:r>
        <w:rPr>
          <w:szCs w:val="24"/>
        </w:rPr>
        <w:t xml:space="preserve">is to collect known </w:t>
      </w:r>
      <w:r w:rsidR="00BD631F">
        <w:rPr>
          <w:szCs w:val="24"/>
        </w:rPr>
        <w:t xml:space="preserve">limitations and boundary </w:t>
      </w:r>
      <w:r>
        <w:rPr>
          <w:szCs w:val="24"/>
        </w:rPr>
        <w:t xml:space="preserve">conditions for </w:t>
      </w:r>
      <w:r w:rsidR="00BD631F">
        <w:rPr>
          <w:szCs w:val="24"/>
        </w:rPr>
        <w:t xml:space="preserve">the </w:t>
      </w:r>
      <w:r>
        <w:rPr>
          <w:szCs w:val="24"/>
        </w:rPr>
        <w:t>SDP-</w:t>
      </w:r>
      <w:r w:rsidR="00BD631F">
        <w:rPr>
          <w:szCs w:val="24"/>
        </w:rPr>
        <w:t>oriented</w:t>
      </w:r>
      <w:r>
        <w:rPr>
          <w:szCs w:val="24"/>
        </w:rPr>
        <w:t xml:space="preserve"> H.248 signalling</w:t>
      </w:r>
      <w:r w:rsidR="00BD631F">
        <w:rPr>
          <w:szCs w:val="24"/>
        </w:rPr>
        <w:t xml:space="preserve"> method</w:t>
      </w:r>
      <w:r>
        <w:rPr>
          <w:szCs w:val="24"/>
        </w:rPr>
        <w:t>.</w:t>
      </w:r>
    </w:p>
    <w:p w:rsidR="00C55F20" w:rsidRDefault="000048B4" w:rsidP="00C55F20">
      <w:pPr>
        <w:pStyle w:val="Headingb"/>
      </w:pPr>
      <w:r>
        <w:t xml:space="preserve">Introduction – </w:t>
      </w:r>
      <w:r w:rsidR="00C55F20">
        <w:t>H.248 control methods:</w:t>
      </w:r>
      <w:r w:rsidR="00C55F20" w:rsidRPr="00C55F20">
        <w:t xml:space="preserve"> </w:t>
      </w:r>
    </w:p>
    <w:p w:rsidR="00B55D8B" w:rsidRDefault="0047454C" w:rsidP="00B55D8B">
      <w:r>
        <w:t>Figure 1 depicts a “SIP call server with an embedded MGC function”. There are basically two different H.248 control methods:</w:t>
      </w:r>
    </w:p>
    <w:p w:rsidR="0047454C" w:rsidRDefault="0047454C" w:rsidP="0047454C">
      <w:pPr>
        <w:pStyle w:val="ListParagraph"/>
        <w:numPr>
          <w:ilvl w:val="0"/>
          <w:numId w:val="24"/>
        </w:numPr>
      </w:pPr>
      <w:r>
        <w:t>SDP-based H.248 Media Descriptors</w:t>
      </w:r>
    </w:p>
    <w:p w:rsidR="0047454C" w:rsidRDefault="0047454C" w:rsidP="00C30DEB">
      <w:pPr>
        <w:pStyle w:val="ListParagraph"/>
        <w:numPr>
          <w:ilvl w:val="0"/>
          <w:numId w:val="24"/>
        </w:numPr>
        <w:ind w:left="714" w:hanging="357"/>
        <w:contextualSpacing w:val="0"/>
      </w:pPr>
      <w:r>
        <w:t>Property-based H.248 Media Descriptors, i.e., the semantic of a SDP element is replaced by an H.248 property (such as Property, Event or Signal)</w:t>
      </w:r>
    </w:p>
    <w:p w:rsidR="005107B7" w:rsidRDefault="0047454C" w:rsidP="00B55D8B">
      <w:r>
        <w:t xml:space="preserve">Method 1 is fairly attractive and preferred under the </w:t>
      </w:r>
      <w:r w:rsidR="003A69CD">
        <w:rPr>
          <w:i/>
        </w:rPr>
        <w:t>prec</w:t>
      </w:r>
      <w:r w:rsidRPr="006A34DB">
        <w:rPr>
          <w:i/>
        </w:rPr>
        <w:t>onditions</w:t>
      </w:r>
      <w:r>
        <w:t xml:space="preserve"> of a) SIP as application control protocol and </w:t>
      </w:r>
      <w:proofErr w:type="spellStart"/>
      <w:r>
        <w:t>b</w:t>
      </w:r>
      <w:proofErr w:type="spellEnd"/>
      <w:r>
        <w:t>) H.248 in text encoding format.</w:t>
      </w:r>
      <w:r w:rsidR="006A34DB">
        <w:t xml:space="preserve"> This approach is advantageous due to </w:t>
      </w:r>
      <w:r w:rsidR="006A34DB" w:rsidRPr="006A34DB">
        <w:rPr>
          <w:i/>
        </w:rPr>
        <w:t>efficient</w:t>
      </w:r>
      <w:r w:rsidR="006A34DB">
        <w:t xml:space="preserve"> </w:t>
      </w:r>
      <w:r w:rsidR="009A6D68">
        <w:rPr>
          <w:i/>
        </w:rPr>
        <w:t>translation</w:t>
      </w:r>
      <w:r w:rsidR="006A34DB">
        <w:t xml:space="preserve"> between application control and gateway control</w:t>
      </w:r>
      <w:r w:rsidR="003A69CD">
        <w:t xml:space="preserve"> </w:t>
      </w:r>
      <w:r w:rsidR="00C30DEB">
        <w:t xml:space="preserve">signalling elements </w:t>
      </w:r>
      <w:r w:rsidR="003A69CD">
        <w:t>(see also Figure 2)</w:t>
      </w:r>
      <w:r w:rsidR="009A6D68">
        <w:t xml:space="preserve">, being aware that the call server has to follow SDP usage rules according clause </w:t>
      </w:r>
      <w:r w:rsidR="008F54B9" w:rsidRPr="008F54B9">
        <w:t>7.1.8.1.1</w:t>
      </w:r>
      <w:r w:rsidR="008F54B9">
        <w:t xml:space="preserve"> “</w:t>
      </w:r>
      <w:r w:rsidR="008F54B9" w:rsidRPr="008F54B9">
        <w:rPr>
          <w:i/>
        </w:rPr>
        <w:t>Specific syntax for H.248 text encoding</w:t>
      </w:r>
      <w:r w:rsidR="008F54B9">
        <w:t>” in</w:t>
      </w:r>
      <w:r w:rsidR="008F54B9" w:rsidRPr="008F54B9">
        <w:t xml:space="preserve"> </w:t>
      </w:r>
      <w:r w:rsidR="009A6D68">
        <w:t xml:space="preserve">H.248.1 and </w:t>
      </w:r>
      <w:r w:rsidR="00C30DEB">
        <w:t xml:space="preserve">to respect </w:t>
      </w:r>
      <w:r w:rsidR="009A6D68">
        <w:t xml:space="preserve">other “SDP </w:t>
      </w:r>
      <w:proofErr w:type="spellStart"/>
      <w:r w:rsidR="009A6D68">
        <w:t>mapper</w:t>
      </w:r>
      <w:proofErr w:type="spellEnd"/>
      <w:r w:rsidR="009A6D68">
        <w:t>” conditions.</w:t>
      </w:r>
    </w:p>
    <w:p w:rsidR="0047454C" w:rsidRDefault="0047454C" w:rsidP="00B55D8B"/>
    <w:p w:rsidR="005107B7" w:rsidRPr="004D2E2C" w:rsidRDefault="006E4247" w:rsidP="005107B7">
      <w:pPr>
        <w:keepNext/>
        <w:keepLines/>
        <w:spacing w:before="240" w:after="120"/>
        <w:jc w:val="center"/>
        <w:rPr>
          <w:rFonts w:eastAsia="MS Mincho"/>
        </w:rPr>
      </w:pPr>
      <w:r>
        <w:object w:dxaOrig="11126" w:dyaOrig="64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273.75pt" o:ole="">
            <v:imagedata r:id="rId9" o:title=""/>
          </v:shape>
          <o:OLEObject Type="Embed" ProgID="Visio.Drawing.11" ShapeID="_x0000_i1025" DrawAspect="Content" ObjectID="_1417517160" r:id="rId10"/>
        </w:object>
      </w:r>
    </w:p>
    <w:p w:rsidR="005107B7" w:rsidRPr="004D2E2C" w:rsidRDefault="005107B7" w:rsidP="005107B7">
      <w:pPr>
        <w:keepLines/>
        <w:spacing w:before="240" w:after="120"/>
        <w:jc w:val="center"/>
        <w:rPr>
          <w:rFonts w:eastAsia="MS Mincho"/>
          <w:b/>
        </w:rPr>
      </w:pPr>
      <w:r w:rsidRPr="004D2E2C">
        <w:rPr>
          <w:rFonts w:eastAsia="MS Mincho"/>
          <w:b/>
        </w:rPr>
        <w:t xml:space="preserve">Figure 1 – </w:t>
      </w:r>
      <w:r>
        <w:rPr>
          <w:rFonts w:eastAsia="MS Mincho"/>
          <w:b/>
        </w:rPr>
        <w:t>Call control level “SDP mapper” function</w:t>
      </w:r>
      <w:r w:rsidR="00903945">
        <w:rPr>
          <w:rFonts w:eastAsia="MS Mincho"/>
          <w:b/>
        </w:rPr>
        <w:t xml:space="preserve"> at gateway control interface</w:t>
      </w:r>
    </w:p>
    <w:p w:rsidR="00B55D8B" w:rsidRDefault="00C55F20" w:rsidP="00B55D8B">
      <w:pPr>
        <w:pStyle w:val="Heading1"/>
        <w:rPr>
          <w:lang w:val="en-US" w:eastAsia="ja-JP"/>
        </w:rPr>
      </w:pPr>
      <w:r>
        <w:rPr>
          <w:lang w:val="en-US" w:eastAsia="ja-JP"/>
        </w:rPr>
        <w:t>Discussion</w:t>
      </w:r>
      <w:r w:rsidR="00BD631F">
        <w:rPr>
          <w:lang w:val="en-US" w:eastAsia="ja-JP"/>
        </w:rPr>
        <w:t xml:space="preserve"> </w:t>
      </w:r>
      <w:r w:rsidR="00C30DEB">
        <w:rPr>
          <w:lang w:val="en-US" w:eastAsia="ja-JP"/>
        </w:rPr>
        <w:t xml:space="preserve">– </w:t>
      </w:r>
      <w:r w:rsidR="00BD631F">
        <w:rPr>
          <w:lang w:val="en-US" w:eastAsia="ja-JP"/>
        </w:rPr>
        <w:t>preconditions</w:t>
      </w:r>
      <w:r w:rsidR="00B55D8B">
        <w:rPr>
          <w:lang w:val="en-US" w:eastAsia="ja-JP"/>
        </w:rPr>
        <w:t>:</w:t>
      </w:r>
    </w:p>
    <w:p w:rsidR="00B55D8B" w:rsidRDefault="00DE3530" w:rsidP="00B55D8B">
      <w:pPr>
        <w:rPr>
          <w:szCs w:val="24"/>
        </w:rPr>
      </w:pPr>
      <w:r>
        <w:t>Known d</w:t>
      </w:r>
      <w:r w:rsidR="00C55F20" w:rsidRPr="00B077EB">
        <w:t xml:space="preserve">eficiencies of the </w:t>
      </w:r>
      <w:r w:rsidR="00C55F20" w:rsidRPr="00C30DEB">
        <w:rPr>
          <w:i/>
        </w:rPr>
        <w:t>SDP</w:t>
      </w:r>
      <w:r w:rsidRPr="00C30DEB">
        <w:rPr>
          <w:i/>
        </w:rPr>
        <w:t>-based</w:t>
      </w:r>
      <w:r w:rsidR="00C55F20" w:rsidRPr="00B077EB">
        <w:t xml:space="preserve"> method</w:t>
      </w:r>
      <w:r w:rsidR="00B55D8B">
        <w:rPr>
          <w:szCs w:val="24"/>
        </w:rPr>
        <w:t>:</w:t>
      </w:r>
    </w:p>
    <w:p w:rsidR="00C55F20" w:rsidRDefault="00C55F20" w:rsidP="003720B7">
      <w:pPr>
        <w:pStyle w:val="bullet"/>
        <w:numPr>
          <w:ilvl w:val="0"/>
          <w:numId w:val="25"/>
        </w:numPr>
        <w:tabs>
          <w:tab w:val="clear" w:pos="360"/>
          <w:tab w:val="clear" w:pos="794"/>
          <w:tab w:val="left" w:pos="851"/>
        </w:tabs>
        <w:ind w:left="851" w:hanging="851"/>
      </w:pPr>
      <w:r>
        <w:t xml:space="preserve">Ambiguity of SDP elements (e.g., SDP “m=” line proto element </w:t>
      </w:r>
      <w:r w:rsidR="0047454C" w:rsidRPr="0047454C">
        <w:t>UDP/TLS/RTP/SAVP</w:t>
      </w:r>
      <w:r w:rsidR="0047454C">
        <w:t xml:space="preserve">, </w:t>
      </w:r>
      <w:r w:rsidR="0047454C" w:rsidRPr="0047454C">
        <w:t>TCP/TLS/MSRP</w:t>
      </w:r>
      <w:r w:rsidR="003A69CD">
        <w:t xml:space="preserve"> or</w:t>
      </w:r>
      <w:r w:rsidR="0047454C">
        <w:t xml:space="preserve"> </w:t>
      </w:r>
      <w:r w:rsidR="0047454C" w:rsidRPr="0047454C">
        <w:t>TCP/TLS</w:t>
      </w:r>
      <w:r w:rsidR="003A69CD">
        <w:t>: which protocol (layer) drives exactly the semantic?</w:t>
      </w:r>
      <w:r>
        <w:t>).</w:t>
      </w:r>
      <w:r w:rsidRPr="00C55F20">
        <w:t xml:space="preserve"> </w:t>
      </w:r>
    </w:p>
    <w:p w:rsidR="00C55F20" w:rsidRDefault="00C55F20" w:rsidP="003720B7">
      <w:pPr>
        <w:pStyle w:val="ListParagraph"/>
        <w:numPr>
          <w:ilvl w:val="0"/>
          <w:numId w:val="25"/>
        </w:numPr>
        <w:tabs>
          <w:tab w:val="clear" w:pos="360"/>
          <w:tab w:val="clear" w:pos="794"/>
          <w:tab w:val="left" w:pos="851"/>
        </w:tabs>
        <w:ind w:left="851" w:hanging="851"/>
      </w:pPr>
      <w:r>
        <w:t>Semantical overloading</w:t>
      </w:r>
      <w:r w:rsidR="00021BBC">
        <w:t xml:space="preserve"> I: if a particular SDP element is used </w:t>
      </w:r>
      <w:r w:rsidR="00060684">
        <w:t>for</w:t>
      </w:r>
      <w:r w:rsidR="00021BBC">
        <w:t xml:space="preserve"> multiple, different functions </w:t>
      </w:r>
      <w:r w:rsidR="00060684">
        <w:t xml:space="preserve">during communication establishment </w:t>
      </w:r>
      <w:r w:rsidR="00021BBC">
        <w:t xml:space="preserve">(e.g., a bearer type indicator for a) the reservation and preparation of bearer interfaces, and b) as stimuli for triggering bearer connection control procedures). It should be possible to decouple both functions, which implies different kind of </w:t>
      </w:r>
      <w:r w:rsidR="003A69CD">
        <w:t xml:space="preserve">H.248 </w:t>
      </w:r>
      <w:r w:rsidR="00021BBC">
        <w:t>signalling.</w:t>
      </w:r>
    </w:p>
    <w:p w:rsidR="00FE3E17" w:rsidRDefault="00FE3E17" w:rsidP="003720B7">
      <w:pPr>
        <w:pStyle w:val="ListParagraph"/>
        <w:numPr>
          <w:ilvl w:val="0"/>
          <w:numId w:val="25"/>
        </w:numPr>
        <w:tabs>
          <w:tab w:val="clear" w:pos="360"/>
          <w:tab w:val="clear" w:pos="794"/>
          <w:tab w:val="left" w:pos="851"/>
        </w:tabs>
        <w:ind w:left="851" w:hanging="851"/>
      </w:pPr>
      <w:r>
        <w:t>Semantical overloading II: if a particular SDP element is used for multiple, different MG services.</w:t>
      </w:r>
    </w:p>
    <w:p w:rsidR="00B55D8B" w:rsidRDefault="00C55F20" w:rsidP="003720B7">
      <w:pPr>
        <w:pStyle w:val="bullet"/>
        <w:numPr>
          <w:ilvl w:val="0"/>
          <w:numId w:val="25"/>
        </w:numPr>
        <w:tabs>
          <w:tab w:val="clear" w:pos="360"/>
          <w:tab w:val="clear" w:pos="794"/>
          <w:tab w:val="left" w:pos="851"/>
        </w:tabs>
        <w:ind w:left="851" w:hanging="851"/>
      </w:pPr>
      <w:r>
        <w:t xml:space="preserve">Bidirectional communication path capability, but unidirectional scope only of </w:t>
      </w:r>
      <w:r w:rsidR="003A69CD">
        <w:t xml:space="preserve">concerned </w:t>
      </w:r>
      <w:r>
        <w:t xml:space="preserve">SDP element (“SDP in </w:t>
      </w:r>
      <w:r w:rsidR="003A69CD">
        <w:t>“</w:t>
      </w:r>
      <w:r>
        <w:t xml:space="preserve">LD </w:t>
      </w:r>
      <w:r w:rsidR="003A69CD">
        <w:sym w:font="Symbol" w:char="F0D9"/>
      </w:r>
      <w:r>
        <w:t xml:space="preserve"> RD</w:t>
      </w:r>
      <w:r w:rsidR="003A69CD">
        <w:t>”</w:t>
      </w:r>
      <w:r>
        <w:t xml:space="preserve"> must be consistent, if not, error”)</w:t>
      </w:r>
    </w:p>
    <w:p w:rsidR="00C55F20" w:rsidRDefault="00C55F20" w:rsidP="003720B7">
      <w:pPr>
        <w:pStyle w:val="bullet"/>
        <w:numPr>
          <w:ilvl w:val="0"/>
          <w:numId w:val="25"/>
        </w:numPr>
        <w:tabs>
          <w:tab w:val="clear" w:pos="360"/>
          <w:tab w:val="clear" w:pos="794"/>
          <w:tab w:val="left" w:pos="851"/>
        </w:tabs>
        <w:ind w:left="851" w:hanging="851"/>
      </w:pPr>
      <w:r>
        <w:t xml:space="preserve">Context level capability: </w:t>
      </w:r>
      <w:r w:rsidRPr="003A69CD">
        <w:rPr>
          <w:i/>
        </w:rPr>
        <w:t>Stream endpoint pair</w:t>
      </w:r>
      <w:r>
        <w:t xml:space="preserve"> (SEPP) related capability (such as RTP topologies, TCP modes, etc)</w:t>
      </w:r>
    </w:p>
    <w:p w:rsidR="00C55F20" w:rsidRDefault="005C5023" w:rsidP="003720B7">
      <w:pPr>
        <w:pStyle w:val="bullet"/>
        <w:numPr>
          <w:ilvl w:val="0"/>
          <w:numId w:val="25"/>
        </w:numPr>
        <w:tabs>
          <w:tab w:val="clear" w:pos="360"/>
          <w:tab w:val="clear" w:pos="794"/>
          <w:tab w:val="left" w:pos="851"/>
        </w:tabs>
        <w:ind w:left="851" w:hanging="851"/>
      </w:pPr>
      <w:r>
        <w:t>Multi-step beare</w:t>
      </w:r>
      <w:r w:rsidR="00C219C6">
        <w:t xml:space="preserve">r preparation and establishment, </w:t>
      </w:r>
      <w:r>
        <w:t>e.g.,</w:t>
      </w:r>
    </w:p>
    <w:p w:rsidR="000635E0" w:rsidRDefault="00C219C6" w:rsidP="00C219C6">
      <w:pPr>
        <w:pStyle w:val="bullet"/>
        <w:numPr>
          <w:ilvl w:val="1"/>
          <w:numId w:val="26"/>
        </w:numPr>
        <w:tabs>
          <w:tab w:val="clear" w:pos="794"/>
          <w:tab w:val="clear" w:pos="1191"/>
          <w:tab w:val="clear" w:pos="1440"/>
          <w:tab w:val="left" w:pos="851"/>
          <w:tab w:val="left" w:pos="1418"/>
        </w:tabs>
        <w:ind w:hanging="589"/>
      </w:pPr>
      <w:r>
        <w:lastRenderedPageBreak/>
        <w:t xml:space="preserve">one-stage vs </w:t>
      </w:r>
      <w:r w:rsidRPr="005C5023">
        <w:t>two-stage resource reservation</w:t>
      </w:r>
      <w:r>
        <w:t xml:space="preserve"> procedures in border gateway profiles, </w:t>
      </w:r>
    </w:p>
    <w:p w:rsidR="00C219C6" w:rsidRDefault="000635E0" w:rsidP="00C219C6">
      <w:pPr>
        <w:pStyle w:val="bullet"/>
        <w:numPr>
          <w:ilvl w:val="1"/>
          <w:numId w:val="26"/>
        </w:numPr>
        <w:tabs>
          <w:tab w:val="clear" w:pos="794"/>
          <w:tab w:val="clear" w:pos="1191"/>
          <w:tab w:val="clear" w:pos="1440"/>
          <w:tab w:val="left" w:pos="851"/>
          <w:tab w:val="left" w:pos="1418"/>
        </w:tabs>
        <w:ind w:hanging="589"/>
      </w:pPr>
      <w:r>
        <w:t xml:space="preserve">proactive vs reactive media interworking principles, </w:t>
      </w:r>
      <w:r w:rsidR="00C219C6">
        <w:t>or</w:t>
      </w:r>
    </w:p>
    <w:p w:rsidR="00C219C6" w:rsidRDefault="00C219C6" w:rsidP="00C219C6">
      <w:pPr>
        <w:pStyle w:val="bullet"/>
        <w:numPr>
          <w:ilvl w:val="1"/>
          <w:numId w:val="26"/>
        </w:numPr>
        <w:tabs>
          <w:tab w:val="clear" w:pos="794"/>
          <w:tab w:val="clear" w:pos="1191"/>
          <w:tab w:val="clear" w:pos="1440"/>
          <w:tab w:val="left" w:pos="851"/>
          <w:tab w:val="left" w:pos="1418"/>
        </w:tabs>
        <w:ind w:hanging="589"/>
      </w:pPr>
      <w:r>
        <w:t>first step “media-agnostic” settings, final step “media-aware” (after completed SDP O</w:t>
      </w:r>
      <w:r w:rsidR="000635E0">
        <w:t>ffer</w:t>
      </w:r>
      <w:r>
        <w:t>/A</w:t>
      </w:r>
      <w:r w:rsidR="000635E0">
        <w:t>nswer</w:t>
      </w:r>
      <w:r>
        <w:t xml:space="preserve"> negotiations)</w:t>
      </w:r>
    </w:p>
    <w:p w:rsidR="005C5023" w:rsidRDefault="005C5023" w:rsidP="003720B7">
      <w:pPr>
        <w:pStyle w:val="bullet"/>
        <w:numPr>
          <w:ilvl w:val="0"/>
          <w:numId w:val="25"/>
        </w:numPr>
        <w:tabs>
          <w:tab w:val="clear" w:pos="360"/>
          <w:tab w:val="clear" w:pos="794"/>
          <w:tab w:val="left" w:pos="851"/>
        </w:tabs>
        <w:ind w:left="851" w:hanging="851"/>
      </w:pPr>
      <w:r>
        <w:t>Dynamics in call establishment: yet missing SDP for remote sides when gateway control procedures already triggered at incomplete SIP level SDP Offer/Answer</w:t>
      </w:r>
      <w:r w:rsidR="00C219C6">
        <w:t xml:space="preserve"> stage </w:t>
      </w:r>
      <w:r w:rsidR="00C30DEB">
        <w:t>…</w:t>
      </w:r>
    </w:p>
    <w:p w:rsidR="00235317" w:rsidRDefault="00021BBC" w:rsidP="003720B7">
      <w:pPr>
        <w:pStyle w:val="bullet"/>
        <w:numPr>
          <w:ilvl w:val="0"/>
          <w:numId w:val="25"/>
        </w:numPr>
        <w:tabs>
          <w:tab w:val="clear" w:pos="360"/>
          <w:tab w:val="clear" w:pos="794"/>
          <w:tab w:val="left" w:pos="851"/>
        </w:tabs>
        <w:ind w:left="851" w:hanging="851"/>
      </w:pPr>
      <w:r>
        <w:t xml:space="preserve">Agnostic media/transport MG modes: </w:t>
      </w:r>
      <w:r w:rsidR="00C30DEB">
        <w:t>imply</w:t>
      </w:r>
      <w:r>
        <w:t xml:space="preserve"> to omit SDP information, which might be in contradiction when SDP should be sent due to other control purposes</w:t>
      </w:r>
      <w:r w:rsidR="00EA2FB3">
        <w:t>.</w:t>
      </w:r>
    </w:p>
    <w:p w:rsidR="00EA2FB3" w:rsidRDefault="00EA2FB3" w:rsidP="003720B7">
      <w:pPr>
        <w:pStyle w:val="bullet"/>
        <w:numPr>
          <w:ilvl w:val="0"/>
          <w:numId w:val="25"/>
        </w:numPr>
        <w:tabs>
          <w:tab w:val="clear" w:pos="360"/>
          <w:tab w:val="clear" w:pos="794"/>
          <w:tab w:val="left" w:pos="851"/>
        </w:tabs>
        <w:ind w:left="851" w:hanging="851"/>
      </w:pPr>
      <w:r>
        <w:t>Semantical scope: IETF SDP elements are defined for communication endpoints (UEs, SIP UAs, etc), but not for network elements such as gateways or media servers. The semantical scope is typically different, particular in case of interworking functions provided by IP-IP gateways.</w:t>
      </w:r>
      <w:r>
        <w:br/>
      </w:r>
      <w:r w:rsidRPr="00C219C6">
        <w:rPr>
          <w:sz w:val="22"/>
          <w:szCs w:val="22"/>
        </w:rPr>
        <w:t xml:space="preserve">[Note: that’s the primary reason why H.248 reuses SDP in a different manner (see </w:t>
      </w:r>
      <w:r w:rsidR="00C219C6" w:rsidRPr="00C219C6">
        <w:rPr>
          <w:sz w:val="22"/>
          <w:szCs w:val="22"/>
        </w:rPr>
        <w:t>clause 7.1.8/</w:t>
      </w:r>
      <w:r w:rsidRPr="00C219C6">
        <w:rPr>
          <w:sz w:val="22"/>
          <w:szCs w:val="22"/>
        </w:rPr>
        <w:t>H.248.1)].</w:t>
      </w:r>
    </w:p>
    <w:p w:rsidR="001C2FF5" w:rsidRDefault="001C2FF5" w:rsidP="003720B7">
      <w:pPr>
        <w:pStyle w:val="bullet"/>
        <w:numPr>
          <w:ilvl w:val="0"/>
          <w:numId w:val="25"/>
        </w:numPr>
        <w:tabs>
          <w:tab w:val="clear" w:pos="360"/>
          <w:tab w:val="clear" w:pos="794"/>
          <w:tab w:val="left" w:pos="851"/>
        </w:tabs>
        <w:ind w:left="851" w:hanging="851"/>
      </w:pPr>
      <w:r>
        <w:t xml:space="preserve">Irrelevance of SDP for gateway control: any </w:t>
      </w:r>
      <w:r w:rsidRPr="00BF1508">
        <w:rPr>
          <w:i/>
        </w:rPr>
        <w:t>session</w:t>
      </w:r>
      <w:r>
        <w:t xml:space="preserve"> description related SDP ….</w:t>
      </w:r>
      <w:r w:rsidR="00BF1508">
        <w:t xml:space="preserve">(see Fig. 2) </w:t>
      </w:r>
    </w:p>
    <w:p w:rsidR="001C2FF5" w:rsidRDefault="001C2FF5" w:rsidP="003720B7">
      <w:pPr>
        <w:pStyle w:val="bullet"/>
        <w:numPr>
          <w:ilvl w:val="0"/>
          <w:numId w:val="25"/>
        </w:numPr>
        <w:tabs>
          <w:tab w:val="clear" w:pos="360"/>
          <w:tab w:val="clear" w:pos="794"/>
          <w:tab w:val="left" w:pos="851"/>
        </w:tabs>
        <w:ind w:left="851" w:hanging="851"/>
      </w:pPr>
      <w:r>
        <w:t>Semantic of ignore: different SDP processing styles at client/server or peer-to-peer based interfaces (“IETF semantic of ignore applies”) in contrast to master/slave oriented gateway control (“H.248 semantic of error codes applies”).</w:t>
      </w:r>
    </w:p>
    <w:p w:rsidR="005107B7" w:rsidRDefault="005107B7" w:rsidP="003720B7">
      <w:pPr>
        <w:pStyle w:val="bullet"/>
        <w:numPr>
          <w:ilvl w:val="0"/>
          <w:numId w:val="25"/>
        </w:numPr>
        <w:tabs>
          <w:tab w:val="clear" w:pos="360"/>
          <w:tab w:val="clear" w:pos="794"/>
          <w:tab w:val="left" w:pos="851"/>
        </w:tabs>
        <w:ind w:left="851" w:hanging="851"/>
      </w:pPr>
      <w:r>
        <w:t xml:space="preserve">Application control protocol without SDP (e.g., </w:t>
      </w:r>
      <w:r w:rsidR="0047454C">
        <w:t xml:space="preserve">SIP-I, </w:t>
      </w:r>
      <w:r>
        <w:t>BICC, H.323)</w:t>
      </w:r>
    </w:p>
    <w:p w:rsidR="005107B7" w:rsidRDefault="005107B7" w:rsidP="003720B7">
      <w:pPr>
        <w:pStyle w:val="bullet"/>
        <w:numPr>
          <w:ilvl w:val="0"/>
          <w:numId w:val="25"/>
        </w:numPr>
        <w:tabs>
          <w:tab w:val="clear" w:pos="360"/>
          <w:tab w:val="clear" w:pos="794"/>
          <w:tab w:val="left" w:pos="851"/>
        </w:tabs>
        <w:ind w:left="851" w:hanging="851"/>
      </w:pPr>
      <w:r>
        <w:t>H.248 binary encoding format (“SDP is text-oriented”)</w:t>
      </w:r>
    </w:p>
    <w:p w:rsidR="00444DEC" w:rsidRPr="00862EA1" w:rsidRDefault="00444DEC" w:rsidP="003720B7">
      <w:pPr>
        <w:pStyle w:val="bullet"/>
        <w:numPr>
          <w:ilvl w:val="0"/>
          <w:numId w:val="25"/>
        </w:numPr>
        <w:tabs>
          <w:tab w:val="clear" w:pos="360"/>
          <w:tab w:val="clear" w:pos="794"/>
          <w:tab w:val="left" w:pos="851"/>
        </w:tabs>
        <w:ind w:left="851" w:hanging="851"/>
      </w:pPr>
      <w:r>
        <w:t>others</w:t>
      </w:r>
    </w:p>
    <w:p w:rsidR="00B55D8B" w:rsidRDefault="00B55D8B" w:rsidP="00B55D8B">
      <w:pPr>
        <w:rPr>
          <w:szCs w:val="24"/>
        </w:rPr>
      </w:pPr>
    </w:p>
    <w:p w:rsidR="00323A8A" w:rsidRPr="004D2E2C" w:rsidRDefault="00323A8A" w:rsidP="00323A8A">
      <w:pPr>
        <w:keepNext/>
        <w:keepLines/>
        <w:spacing w:before="240" w:after="120"/>
        <w:jc w:val="center"/>
        <w:rPr>
          <w:rFonts w:eastAsia="MS Mincho"/>
        </w:rPr>
      </w:pPr>
      <w:r>
        <w:object w:dxaOrig="10619" w:dyaOrig="6330">
          <v:shape id="_x0000_i1026" type="#_x0000_t75" style="width:444pt;height:265.5pt" o:ole="">
            <v:imagedata r:id="rId11" o:title=""/>
          </v:shape>
          <o:OLEObject Type="Embed" ProgID="Visio.Drawing.11" ShapeID="_x0000_i1026" DrawAspect="Content" ObjectID="_1417517161" r:id="rId12"/>
        </w:object>
      </w:r>
    </w:p>
    <w:p w:rsidR="00323A8A" w:rsidRPr="004D2E2C" w:rsidRDefault="00323A8A" w:rsidP="00323A8A">
      <w:pPr>
        <w:keepLines/>
        <w:spacing w:before="240" w:after="120"/>
        <w:jc w:val="center"/>
        <w:rPr>
          <w:rFonts w:eastAsia="MS Mincho"/>
          <w:b/>
        </w:rPr>
      </w:pPr>
      <w:r w:rsidRPr="004D2E2C">
        <w:rPr>
          <w:rFonts w:eastAsia="MS Mincho"/>
          <w:b/>
        </w:rPr>
        <w:t xml:space="preserve">Figure </w:t>
      </w:r>
      <w:r>
        <w:rPr>
          <w:rFonts w:eastAsia="MS Mincho"/>
          <w:b/>
        </w:rPr>
        <w:t>2</w:t>
      </w:r>
      <w:r w:rsidRPr="004D2E2C">
        <w:rPr>
          <w:rFonts w:eastAsia="MS Mincho"/>
          <w:b/>
        </w:rPr>
        <w:t xml:space="preserve"> – </w:t>
      </w:r>
      <w:r>
        <w:rPr>
          <w:rFonts w:eastAsia="MS Mincho"/>
          <w:b/>
        </w:rPr>
        <w:t>SDP processing instances in H.248 decomposed gateway models</w:t>
      </w:r>
    </w:p>
    <w:p w:rsidR="00444DEC" w:rsidRDefault="00B55D8B" w:rsidP="00444DEC">
      <w:pPr>
        <w:pStyle w:val="Heading1"/>
        <w:rPr>
          <w:lang w:val="en-US" w:eastAsia="ja-JP"/>
        </w:rPr>
      </w:pPr>
      <w:r>
        <w:rPr>
          <w:lang w:eastAsia="ja-JP"/>
        </w:rPr>
        <w:t>Conclusions:</w:t>
      </w:r>
      <w:r w:rsidR="00444DEC" w:rsidRPr="00444DEC">
        <w:rPr>
          <w:lang w:val="en-US" w:eastAsia="ja-JP"/>
        </w:rPr>
        <w:t xml:space="preserve"> </w:t>
      </w:r>
    </w:p>
    <w:p w:rsidR="00CA058E" w:rsidRDefault="00CA058E" w:rsidP="00B55D8B">
      <w:r>
        <w:t xml:space="preserve">The SDP-based </w:t>
      </w:r>
      <w:proofErr w:type="gramStart"/>
      <w:r>
        <w:t xml:space="preserve">method is preferable for H.248 profiles with </w:t>
      </w:r>
      <w:r w:rsidRPr="00DE3530">
        <w:rPr>
          <w:i/>
        </w:rPr>
        <w:t>text</w:t>
      </w:r>
      <w:r>
        <w:t xml:space="preserve"> encoding and </w:t>
      </w:r>
      <w:r w:rsidRPr="00DE3530">
        <w:rPr>
          <w:i/>
        </w:rPr>
        <w:t>SIP</w:t>
      </w:r>
      <w:proofErr w:type="gramEnd"/>
      <w:r>
        <w:t xml:space="preserve"> network environments, </w:t>
      </w:r>
      <w:r w:rsidRPr="00C30DEB">
        <w:rPr>
          <w:i/>
        </w:rPr>
        <w:t>and</w:t>
      </w:r>
      <w:r>
        <w:t xml:space="preserve"> </w:t>
      </w:r>
      <w:r w:rsidR="00BF1508">
        <w:t>under the condition that</w:t>
      </w:r>
      <w:r>
        <w:t xml:space="preserve"> unambiguous semantics could be guaranteed. Such </w:t>
      </w:r>
      <w:r w:rsidR="00C30DEB">
        <w:t xml:space="preserve">specific </w:t>
      </w:r>
      <w:r>
        <w:t xml:space="preserve">H.248 profiles </w:t>
      </w:r>
      <w:r w:rsidR="00323A8A">
        <w:t xml:space="preserve">also </w:t>
      </w:r>
      <w:r>
        <w:t xml:space="preserve">should take into account evolutionary aspects: an uncontroversial SDP </w:t>
      </w:r>
      <w:r w:rsidR="00DE3530">
        <w:t xml:space="preserve">semantic </w:t>
      </w:r>
      <w:r>
        <w:t xml:space="preserve">in profile version </w:t>
      </w:r>
      <w:r w:rsidRPr="00DE3530">
        <w:rPr>
          <w:i/>
        </w:rPr>
        <w:t>N</w:t>
      </w:r>
      <w:r>
        <w:t xml:space="preserve"> may become ambiguous in a later version</w:t>
      </w:r>
      <w:r w:rsidR="00C30DEB">
        <w:t>, e.g.</w:t>
      </w:r>
      <w:r>
        <w:t xml:space="preserve"> when additional capabilities </w:t>
      </w:r>
      <w:r w:rsidR="00C30DEB">
        <w:t>would be</w:t>
      </w:r>
      <w:r>
        <w:t xml:space="preserve"> added.</w:t>
      </w:r>
    </w:p>
    <w:p w:rsidR="00DE3530" w:rsidRDefault="00DE3530" w:rsidP="00B55D8B">
      <w:r>
        <w:t>It should be also ensured that the semantic of a specific SDP parameter/value</w:t>
      </w:r>
      <w:r w:rsidR="00444DEC">
        <w:t xml:space="preserve"> combination</w:t>
      </w:r>
      <w:r>
        <w:t xml:space="preserve"> in profile </w:t>
      </w:r>
      <w:r w:rsidRPr="00444DEC">
        <w:rPr>
          <w:i/>
        </w:rPr>
        <w:t>X</w:t>
      </w:r>
      <w:r>
        <w:t xml:space="preserve"> should be identical with other H.248 profiles.</w:t>
      </w:r>
      <w:r>
        <w:rPr>
          <w:rStyle w:val="FootnoteReference"/>
        </w:rPr>
        <w:footnoteReference w:id="1"/>
      </w:r>
    </w:p>
    <w:p w:rsidR="00CA058E" w:rsidRDefault="00FC6FDE" w:rsidP="00B55D8B">
      <w:r>
        <w:t>The SDP-based method is conditional: above listed terms should be taken into account at the development of H.248 profiles and/or H.248.x-Recommendations.</w:t>
      </w:r>
    </w:p>
    <w:p w:rsidR="00F91A49" w:rsidRDefault="00F91A49" w:rsidP="00B55D8B"/>
    <w:p w:rsidR="00444DEC" w:rsidRPr="00444DEC" w:rsidRDefault="00444DEC" w:rsidP="00444DEC">
      <w:pPr>
        <w:pStyle w:val="Heading1"/>
        <w:rPr>
          <w:lang w:val="en-US" w:eastAsia="ja-JP"/>
        </w:rPr>
      </w:pPr>
      <w:r w:rsidRPr="00444DEC">
        <w:rPr>
          <w:lang w:eastAsia="ja-JP"/>
        </w:rPr>
        <w:t xml:space="preserve">Appendix </w:t>
      </w:r>
      <w:r>
        <w:rPr>
          <w:lang w:eastAsia="ja-JP"/>
        </w:rPr>
        <w:t>–</w:t>
      </w:r>
      <w:r w:rsidRPr="00444DEC">
        <w:rPr>
          <w:lang w:eastAsia="ja-JP"/>
        </w:rPr>
        <w:t xml:space="preserve"> </w:t>
      </w:r>
      <w:r>
        <w:rPr>
          <w:lang w:eastAsia="ja-JP"/>
        </w:rPr>
        <w:t xml:space="preserve">Example </w:t>
      </w:r>
      <w:r w:rsidR="006A34DB" w:rsidRPr="00444DEC">
        <w:rPr>
          <w:lang w:eastAsia="ja-JP"/>
        </w:rPr>
        <w:t xml:space="preserve">H.248 technologies with </w:t>
      </w:r>
      <w:r>
        <w:rPr>
          <w:lang w:eastAsia="ja-JP"/>
        </w:rPr>
        <w:t xml:space="preserve">alternative </w:t>
      </w:r>
      <w:r>
        <w:t>SDP- and</w:t>
      </w:r>
      <w:r w:rsidRPr="00B077EB">
        <w:t xml:space="preserve"> Property-based</w:t>
      </w:r>
      <w:r>
        <w:t xml:space="preserve"> support:</w:t>
      </w:r>
    </w:p>
    <w:p w:rsidR="006A34DB" w:rsidRPr="00444DEC" w:rsidRDefault="00323A8A" w:rsidP="00B55D8B">
      <w:pPr>
        <w:rPr>
          <w:lang w:val="en-US"/>
        </w:rPr>
      </w:pPr>
      <w:r>
        <w:rPr>
          <w:lang w:val="en-US"/>
        </w:rPr>
        <w:t>Some examples with debates on H.248 control options, see Table 1:</w:t>
      </w:r>
    </w:p>
    <w:p w:rsidR="00D10603" w:rsidRPr="00D10603" w:rsidRDefault="00D10603" w:rsidP="00D10603">
      <w:pPr>
        <w:keepNext/>
        <w:keepLines/>
        <w:spacing w:before="360" w:after="120"/>
        <w:jc w:val="center"/>
        <w:rPr>
          <w:rFonts w:eastAsia="MS Mincho"/>
          <w:b/>
        </w:rPr>
      </w:pPr>
      <w:bookmarkStart w:id="10" w:name="_Toc336870922"/>
      <w:r w:rsidRPr="00D10603">
        <w:rPr>
          <w:rFonts w:eastAsia="MS Mincho"/>
          <w:b/>
        </w:rPr>
        <w:t xml:space="preserve">Table 1 – </w:t>
      </w:r>
      <w:bookmarkEnd w:id="10"/>
      <w:r w:rsidR="00903945" w:rsidRPr="00903945">
        <w:rPr>
          <w:rFonts w:eastAsia="MS Mincho"/>
          <w:b/>
        </w:rPr>
        <w:t xml:space="preserve">Example H.248 technologies </w:t>
      </w:r>
      <w:r w:rsidR="00323A8A">
        <w:rPr>
          <w:rFonts w:eastAsia="MS Mincho"/>
          <w:b/>
        </w:rPr>
        <w:br/>
      </w:r>
      <w:r w:rsidR="00903945" w:rsidRPr="00903945">
        <w:rPr>
          <w:rFonts w:eastAsia="MS Mincho"/>
          <w:b/>
        </w:rPr>
        <w:t>with alternative SDP- and Property-based support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2572"/>
        <w:gridCol w:w="3119"/>
        <w:gridCol w:w="3119"/>
      </w:tblGrid>
      <w:tr w:rsidR="00D10603" w:rsidRPr="00D10603" w:rsidTr="00B035AA">
        <w:trPr>
          <w:tblHeader/>
          <w:jc w:val="center"/>
        </w:trPr>
        <w:tc>
          <w:tcPr>
            <w:tcW w:w="2572" w:type="dxa"/>
            <w:shd w:val="clear" w:color="auto" w:fill="E6E6E6"/>
            <w:vAlign w:val="center"/>
          </w:tcPr>
          <w:p w:rsidR="00D10603" w:rsidRPr="00D10603" w:rsidRDefault="00D10603" w:rsidP="00D10603">
            <w:pPr>
              <w:pStyle w:val="Tablehead"/>
              <w:rPr>
                <w:rFonts w:eastAsia="MS Mincho"/>
              </w:rPr>
            </w:pPr>
            <w:r>
              <w:rPr>
                <w:rFonts w:eastAsia="MS Mincho"/>
              </w:rPr>
              <w:t>H.248 control of:</w:t>
            </w:r>
          </w:p>
        </w:tc>
        <w:tc>
          <w:tcPr>
            <w:tcW w:w="3119" w:type="dxa"/>
            <w:shd w:val="clear" w:color="auto" w:fill="E6E6E6"/>
            <w:vAlign w:val="center"/>
          </w:tcPr>
          <w:p w:rsidR="00D10603" w:rsidRPr="00D10603" w:rsidRDefault="00D10603" w:rsidP="00B035AA">
            <w:pPr>
              <w:pStyle w:val="Tablehead"/>
              <w:jc w:val="left"/>
              <w:rPr>
                <w:rFonts w:eastAsia="MS Mincho"/>
              </w:rPr>
            </w:pPr>
            <w:r>
              <w:rPr>
                <w:rFonts w:eastAsia="MS Mincho"/>
              </w:rPr>
              <w:t>1) SDP-based</w:t>
            </w:r>
          </w:p>
        </w:tc>
        <w:tc>
          <w:tcPr>
            <w:tcW w:w="3119" w:type="dxa"/>
            <w:shd w:val="clear" w:color="auto" w:fill="E6E6E6"/>
            <w:vAlign w:val="center"/>
          </w:tcPr>
          <w:p w:rsidR="00D10603" w:rsidRPr="00D10603" w:rsidRDefault="00D10603" w:rsidP="00B035AA">
            <w:pPr>
              <w:pStyle w:val="Tablehead"/>
              <w:jc w:val="left"/>
              <w:rPr>
                <w:rFonts w:eastAsia="MS Mincho"/>
              </w:rPr>
            </w:pPr>
            <w:r>
              <w:rPr>
                <w:rFonts w:eastAsia="MS Mincho"/>
              </w:rPr>
              <w:t>2) Property-based</w:t>
            </w:r>
          </w:p>
        </w:tc>
      </w:tr>
      <w:tr w:rsidR="00F91A49" w:rsidRPr="00D10603" w:rsidTr="00B035AA">
        <w:trPr>
          <w:tblHeader/>
          <w:jc w:val="center"/>
        </w:trPr>
        <w:tc>
          <w:tcPr>
            <w:tcW w:w="2572" w:type="dxa"/>
            <w:shd w:val="clear" w:color="auto" w:fill="FFFFFF"/>
          </w:tcPr>
          <w:p w:rsidR="00F91A49" w:rsidRPr="00D10603" w:rsidRDefault="00F91A49" w:rsidP="0099081B">
            <w:pPr>
              <w:pStyle w:val="Tabletext"/>
              <w:rPr>
                <w:rFonts w:eastAsia="MS Mincho"/>
              </w:rPr>
            </w:pPr>
            <w:r>
              <w:rPr>
                <w:rFonts w:eastAsia="MS Mincho"/>
              </w:rPr>
              <w:t>RTCP port allocation</w:t>
            </w:r>
          </w:p>
        </w:tc>
        <w:tc>
          <w:tcPr>
            <w:tcW w:w="3119" w:type="dxa"/>
            <w:shd w:val="clear" w:color="auto" w:fill="FFFFFF"/>
          </w:tcPr>
          <w:p w:rsidR="00F91A49" w:rsidRPr="00D10603" w:rsidRDefault="00F91A49" w:rsidP="00F91A49">
            <w:pPr>
              <w:pStyle w:val="Tabletext"/>
              <w:rPr>
                <w:rFonts w:eastAsia="MS Mincho"/>
                <w:lang w:val="en-US"/>
              </w:rPr>
            </w:pPr>
            <w:r>
              <w:rPr>
                <w:rFonts w:eastAsia="MS Mincho"/>
                <w:lang w:val="en-US"/>
              </w:rPr>
              <w:t xml:space="preserve">RFC 3605 </w:t>
            </w:r>
            <w:r w:rsidRPr="00D10603">
              <w:rPr>
                <w:rFonts w:eastAsia="MS Mincho"/>
                <w:lang w:val="en-US"/>
              </w:rPr>
              <w:t>SDP</w:t>
            </w:r>
            <w:r>
              <w:rPr>
                <w:rFonts w:eastAsia="MS Mincho"/>
                <w:lang w:val="en-US"/>
              </w:rPr>
              <w:t xml:space="preserve"> </w:t>
            </w:r>
            <w:r>
              <w:rPr>
                <w:rFonts w:eastAsia="MS Mincho"/>
                <w:color w:val="000000"/>
                <w:lang w:val="en-US"/>
              </w:rPr>
              <w:t>(NOTE 1)</w:t>
            </w:r>
          </w:p>
        </w:tc>
        <w:tc>
          <w:tcPr>
            <w:tcW w:w="3119" w:type="dxa"/>
            <w:shd w:val="clear" w:color="auto" w:fill="FFFFFF"/>
          </w:tcPr>
          <w:p w:rsidR="00F91A49" w:rsidRPr="00D10603" w:rsidRDefault="00F91A49" w:rsidP="00F91A49">
            <w:pPr>
              <w:pStyle w:val="Tabletext"/>
              <w:rPr>
                <w:rFonts w:eastAsia="MS Mincho"/>
                <w:color w:val="000000"/>
                <w:lang w:val="en-US"/>
              </w:rPr>
            </w:pPr>
            <w:r>
              <w:rPr>
                <w:rFonts w:eastAsia="MS Mincho"/>
                <w:color w:val="000000"/>
                <w:lang w:val="en-US"/>
              </w:rPr>
              <w:t xml:space="preserve">H.248.57: </w:t>
            </w:r>
            <w:r>
              <w:rPr>
                <w:rFonts w:eastAsia="MS Mincho"/>
                <w:i/>
                <w:color w:val="000000"/>
                <w:lang w:val="en-US"/>
              </w:rPr>
              <w:t>rtcph</w:t>
            </w:r>
            <w:r>
              <w:rPr>
                <w:rFonts w:eastAsia="MS Mincho"/>
                <w:color w:val="000000"/>
                <w:lang w:val="en-US"/>
              </w:rPr>
              <w:t xml:space="preserve"> package (NOTE 1)</w:t>
            </w:r>
          </w:p>
        </w:tc>
      </w:tr>
      <w:tr w:rsidR="00D10603" w:rsidRPr="00D10603" w:rsidTr="00B035AA">
        <w:trPr>
          <w:tblHeader/>
          <w:jc w:val="center"/>
        </w:trPr>
        <w:tc>
          <w:tcPr>
            <w:tcW w:w="2572" w:type="dxa"/>
            <w:shd w:val="clear" w:color="auto" w:fill="FFFFFF"/>
          </w:tcPr>
          <w:p w:rsidR="00D10603" w:rsidRPr="00D10603" w:rsidRDefault="00D10603" w:rsidP="00D10603">
            <w:pPr>
              <w:pStyle w:val="Tabletext"/>
              <w:rPr>
                <w:rFonts w:eastAsia="MS Mincho"/>
              </w:rPr>
            </w:pPr>
            <w:r>
              <w:rPr>
                <w:rFonts w:eastAsia="MS Mincho"/>
              </w:rPr>
              <w:t>SRTP functions</w:t>
            </w:r>
          </w:p>
        </w:tc>
        <w:tc>
          <w:tcPr>
            <w:tcW w:w="3119" w:type="dxa"/>
            <w:shd w:val="clear" w:color="auto" w:fill="FFFFFF"/>
          </w:tcPr>
          <w:p w:rsidR="00D10603" w:rsidRPr="00D10603" w:rsidRDefault="00D10603" w:rsidP="00D10603">
            <w:pPr>
              <w:pStyle w:val="Tabletext"/>
              <w:rPr>
                <w:rFonts w:eastAsia="MS Mincho"/>
                <w:lang w:val="en-US"/>
              </w:rPr>
            </w:pPr>
            <w:r w:rsidRPr="00D10603">
              <w:rPr>
                <w:rFonts w:eastAsia="MS Mincho"/>
                <w:lang w:val="en-US"/>
              </w:rPr>
              <w:t>initial SRTP services with SDP</w:t>
            </w:r>
          </w:p>
        </w:tc>
        <w:tc>
          <w:tcPr>
            <w:tcW w:w="3119" w:type="dxa"/>
            <w:shd w:val="clear" w:color="auto" w:fill="FFFFFF"/>
          </w:tcPr>
          <w:p w:rsidR="00D10603" w:rsidRPr="00D10603" w:rsidRDefault="00D10603" w:rsidP="00D10603">
            <w:pPr>
              <w:pStyle w:val="Tabletext"/>
              <w:rPr>
                <w:rFonts w:eastAsia="MS Mincho"/>
                <w:color w:val="000000"/>
                <w:lang w:val="en-US"/>
              </w:rPr>
            </w:pPr>
            <w:r>
              <w:rPr>
                <w:rFonts w:eastAsia="MS Mincho"/>
                <w:color w:val="000000"/>
                <w:lang w:val="en-US"/>
              </w:rPr>
              <w:t xml:space="preserve">H.248.77: </w:t>
            </w:r>
            <w:r w:rsidR="00B035AA" w:rsidRPr="00B035AA">
              <w:rPr>
                <w:rFonts w:eastAsia="MS Mincho"/>
                <w:i/>
                <w:color w:val="000000"/>
                <w:lang w:val="en-US"/>
              </w:rPr>
              <w:t>srtp</w:t>
            </w:r>
            <w:r w:rsidR="00B035AA">
              <w:rPr>
                <w:rFonts w:eastAsia="MS Mincho"/>
                <w:color w:val="000000"/>
                <w:lang w:val="en-US"/>
              </w:rPr>
              <w:t xml:space="preserve"> package</w:t>
            </w:r>
          </w:p>
        </w:tc>
      </w:tr>
      <w:tr w:rsidR="00D10603" w:rsidRPr="00D10603" w:rsidTr="00B035AA">
        <w:trPr>
          <w:tblHeader/>
          <w:jc w:val="center"/>
        </w:trPr>
        <w:tc>
          <w:tcPr>
            <w:tcW w:w="2572" w:type="dxa"/>
            <w:shd w:val="clear" w:color="auto" w:fill="FFFFFF"/>
          </w:tcPr>
          <w:p w:rsidR="00D10603" w:rsidRDefault="00903945" w:rsidP="00D10603">
            <w:pPr>
              <w:pStyle w:val="Tabletext"/>
              <w:rPr>
                <w:rFonts w:eastAsia="MS Mincho"/>
              </w:rPr>
            </w:pPr>
            <w:r>
              <w:rPr>
                <w:rFonts w:eastAsia="MS Mincho"/>
              </w:rPr>
              <w:t>ECN function</w:t>
            </w:r>
          </w:p>
        </w:tc>
        <w:tc>
          <w:tcPr>
            <w:tcW w:w="3119" w:type="dxa"/>
            <w:shd w:val="clear" w:color="auto" w:fill="FFFFFF"/>
          </w:tcPr>
          <w:p w:rsidR="00D10603" w:rsidRPr="00D10603" w:rsidRDefault="00903945" w:rsidP="00D10603">
            <w:pPr>
              <w:pStyle w:val="Tabletext"/>
              <w:rPr>
                <w:rFonts w:eastAsia="MS Mincho"/>
                <w:lang w:val="en-US"/>
              </w:rPr>
            </w:pPr>
            <w:r>
              <w:rPr>
                <w:rFonts w:eastAsia="MS Mincho"/>
                <w:lang w:val="en-US"/>
              </w:rPr>
              <w:t>initial ECN service with SDP</w:t>
            </w:r>
          </w:p>
        </w:tc>
        <w:tc>
          <w:tcPr>
            <w:tcW w:w="3119" w:type="dxa"/>
            <w:shd w:val="clear" w:color="auto" w:fill="FFFFFF"/>
          </w:tcPr>
          <w:p w:rsidR="00D10603" w:rsidRDefault="00903945" w:rsidP="00D10603">
            <w:pPr>
              <w:pStyle w:val="Tabletext"/>
              <w:rPr>
                <w:rFonts w:eastAsia="MS Mincho"/>
                <w:color w:val="000000"/>
                <w:lang w:val="en-US"/>
              </w:rPr>
            </w:pPr>
            <w:r>
              <w:rPr>
                <w:rFonts w:eastAsia="MS Mincho"/>
                <w:color w:val="000000"/>
                <w:lang w:val="en-US"/>
              </w:rPr>
              <w:t>H.248.82:</w:t>
            </w:r>
            <w:r w:rsidR="00B035AA">
              <w:rPr>
                <w:rFonts w:eastAsia="MS Mincho"/>
                <w:color w:val="000000"/>
                <w:lang w:val="en-US"/>
              </w:rPr>
              <w:t xml:space="preserve"> </w:t>
            </w:r>
            <w:r w:rsidR="00B035AA" w:rsidRPr="00B035AA">
              <w:rPr>
                <w:rFonts w:eastAsia="MS Mincho"/>
                <w:i/>
                <w:color w:val="000000"/>
                <w:lang w:val="en-US"/>
              </w:rPr>
              <w:t>ecnrous</w:t>
            </w:r>
            <w:r w:rsidR="00B035AA">
              <w:rPr>
                <w:rFonts w:eastAsia="MS Mincho"/>
                <w:color w:val="000000"/>
                <w:lang w:val="en-US"/>
              </w:rPr>
              <w:t xml:space="preserve"> package</w:t>
            </w:r>
          </w:p>
        </w:tc>
      </w:tr>
      <w:tr w:rsidR="00903945" w:rsidRPr="00D10603" w:rsidTr="00B035AA">
        <w:trPr>
          <w:tblHeader/>
          <w:jc w:val="center"/>
        </w:trPr>
        <w:tc>
          <w:tcPr>
            <w:tcW w:w="2572" w:type="dxa"/>
            <w:shd w:val="clear" w:color="auto" w:fill="FFFFFF"/>
          </w:tcPr>
          <w:p w:rsidR="00903945" w:rsidRDefault="00903945" w:rsidP="00D10603">
            <w:pPr>
              <w:pStyle w:val="Tabletext"/>
              <w:rPr>
                <w:rFonts w:eastAsia="MS Mincho"/>
              </w:rPr>
            </w:pPr>
            <w:r>
              <w:rPr>
                <w:rFonts w:eastAsia="MS Mincho"/>
              </w:rPr>
              <w:t>TCP functions</w:t>
            </w:r>
          </w:p>
        </w:tc>
        <w:tc>
          <w:tcPr>
            <w:tcW w:w="3119" w:type="dxa"/>
            <w:shd w:val="clear" w:color="auto" w:fill="FFFFFF"/>
          </w:tcPr>
          <w:p w:rsidR="00903945" w:rsidRPr="00D10603" w:rsidRDefault="00903945" w:rsidP="00D10603">
            <w:pPr>
              <w:pStyle w:val="Tabletext"/>
              <w:rPr>
                <w:rFonts w:eastAsia="MS Mincho"/>
                <w:lang w:val="en-US"/>
              </w:rPr>
            </w:pPr>
            <w:r>
              <w:rPr>
                <w:rFonts w:eastAsia="MS Mincho"/>
                <w:lang w:val="en-US"/>
              </w:rPr>
              <w:t>under discussion (“SDP usage according H.248.84”)</w:t>
            </w:r>
          </w:p>
        </w:tc>
        <w:tc>
          <w:tcPr>
            <w:tcW w:w="3119" w:type="dxa"/>
            <w:shd w:val="clear" w:color="auto" w:fill="FFFFFF"/>
          </w:tcPr>
          <w:p w:rsidR="00903945" w:rsidRDefault="00903945" w:rsidP="00D10603">
            <w:pPr>
              <w:pStyle w:val="Tabletext"/>
              <w:rPr>
                <w:rFonts w:eastAsia="MS Mincho"/>
                <w:color w:val="000000"/>
                <w:lang w:val="en-US"/>
              </w:rPr>
            </w:pPr>
            <w:r>
              <w:rPr>
                <w:rFonts w:eastAsia="MS Mincho"/>
                <w:color w:val="000000"/>
                <w:lang w:val="en-US"/>
              </w:rPr>
              <w:t>H.248.TCP: packages for TCP connection control</w:t>
            </w:r>
          </w:p>
        </w:tc>
      </w:tr>
      <w:tr w:rsidR="00903945" w:rsidRPr="00D10603" w:rsidTr="00B035AA">
        <w:trPr>
          <w:tblHeader/>
          <w:jc w:val="center"/>
        </w:trPr>
        <w:tc>
          <w:tcPr>
            <w:tcW w:w="2572" w:type="dxa"/>
            <w:shd w:val="clear" w:color="auto" w:fill="FFFFFF"/>
          </w:tcPr>
          <w:p w:rsidR="00903945" w:rsidRDefault="00903945" w:rsidP="00D10603">
            <w:pPr>
              <w:pStyle w:val="Tabletext"/>
              <w:rPr>
                <w:rFonts w:eastAsia="MS Mincho"/>
              </w:rPr>
            </w:pPr>
            <w:r>
              <w:rPr>
                <w:rFonts w:eastAsia="MS Mincho"/>
              </w:rPr>
              <w:t>TLS functions</w:t>
            </w:r>
          </w:p>
        </w:tc>
        <w:tc>
          <w:tcPr>
            <w:tcW w:w="3119" w:type="dxa"/>
            <w:shd w:val="clear" w:color="auto" w:fill="FFFFFF"/>
          </w:tcPr>
          <w:p w:rsidR="00903945" w:rsidRDefault="00B035AA" w:rsidP="00D10603">
            <w:pPr>
              <w:pStyle w:val="Tabletext"/>
              <w:rPr>
                <w:rFonts w:eastAsia="MS Mincho"/>
                <w:lang w:val="en-US"/>
              </w:rPr>
            </w:pPr>
            <w:r>
              <w:rPr>
                <w:rFonts w:eastAsia="MS Mincho"/>
                <w:lang w:val="en-US"/>
              </w:rPr>
              <w:t>under discussion</w:t>
            </w:r>
          </w:p>
        </w:tc>
        <w:tc>
          <w:tcPr>
            <w:tcW w:w="3119" w:type="dxa"/>
            <w:shd w:val="clear" w:color="auto" w:fill="FFFFFF"/>
          </w:tcPr>
          <w:p w:rsidR="00903945" w:rsidRDefault="00B035AA" w:rsidP="00B035AA">
            <w:pPr>
              <w:pStyle w:val="Tabletext"/>
              <w:rPr>
                <w:rFonts w:eastAsia="MS Mincho"/>
                <w:color w:val="000000"/>
                <w:lang w:val="en-US"/>
              </w:rPr>
            </w:pPr>
            <w:r>
              <w:rPr>
                <w:rFonts w:eastAsia="MS Mincho"/>
                <w:color w:val="000000"/>
                <w:lang w:val="en-US"/>
              </w:rPr>
              <w:t>H.248.TLS: packages for TLS session control</w:t>
            </w:r>
          </w:p>
        </w:tc>
      </w:tr>
      <w:tr w:rsidR="00F91A49" w:rsidRPr="00D10603" w:rsidTr="006B0531">
        <w:trPr>
          <w:tblHeader/>
          <w:jc w:val="center"/>
        </w:trPr>
        <w:tc>
          <w:tcPr>
            <w:tcW w:w="8810" w:type="dxa"/>
            <w:gridSpan w:val="3"/>
            <w:shd w:val="clear" w:color="auto" w:fill="FFFFFF"/>
          </w:tcPr>
          <w:p w:rsidR="00F91A49" w:rsidRDefault="00F91A49" w:rsidP="00F91A49">
            <w:pPr>
              <w:pStyle w:val="Tablelegend"/>
              <w:rPr>
                <w:rFonts w:eastAsia="MS Mincho"/>
                <w:lang w:val="en-US"/>
              </w:rPr>
            </w:pPr>
            <w:r>
              <w:rPr>
                <w:rFonts w:eastAsia="MS Mincho"/>
                <w:lang w:val="en-US"/>
              </w:rPr>
              <w:t>NOTE 1 – Actually both methods are merged by comprehensive port allocation rule semantics in H.248.57.</w:t>
            </w:r>
          </w:p>
        </w:tc>
      </w:tr>
    </w:tbl>
    <w:p w:rsidR="00D10603" w:rsidRDefault="00B035AA" w:rsidP="00B55D8B">
      <w:r>
        <w:t>It should be noted that these are not always “either-or” alternatives, rather often complementary.</w:t>
      </w:r>
    </w:p>
    <w:p w:rsidR="00B035AA" w:rsidRDefault="00B035AA" w:rsidP="00B55D8B"/>
    <w:p w:rsidR="00B55D8B" w:rsidRPr="008A1622" w:rsidRDefault="00B55D8B" w:rsidP="00B55D8B">
      <w:pPr>
        <w:jc w:val="center"/>
      </w:pPr>
      <w:r>
        <w:t>_________________</w:t>
      </w:r>
    </w:p>
    <w:sectPr w:rsidR="00B55D8B" w:rsidRPr="008A1622" w:rsidSect="0037415F">
      <w:headerReference w:type="default" r:id="rId13"/>
      <w:footerReference w:type="first" r:id="rId14"/>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35AA" w:rsidRDefault="00B035AA">
      <w:r>
        <w:separator/>
      </w:r>
    </w:p>
  </w:endnote>
  <w:endnote w:type="continuationSeparator" w:id="0">
    <w:p w:rsidR="00B035AA" w:rsidRDefault="00B035A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543"/>
      <w:gridCol w:w="4763"/>
    </w:tblGrid>
    <w:tr w:rsidR="00B035AA" w:rsidRPr="00AE5FC4" w:rsidTr="00D023DD">
      <w:trPr>
        <w:cantSplit/>
        <w:trHeight w:val="204"/>
        <w:jc w:val="center"/>
      </w:trPr>
      <w:tc>
        <w:tcPr>
          <w:tcW w:w="1617" w:type="dxa"/>
          <w:tcBorders>
            <w:top w:val="single" w:sz="12" w:space="0" w:color="auto"/>
          </w:tcBorders>
        </w:tcPr>
        <w:p w:rsidR="00B035AA" w:rsidRPr="00AE5FC4" w:rsidRDefault="00B035AA" w:rsidP="00D023DD">
          <w:pPr>
            <w:rPr>
              <w:b/>
              <w:bCs/>
              <w:sz w:val="22"/>
              <w:szCs w:val="22"/>
            </w:rPr>
          </w:pPr>
          <w:r w:rsidRPr="00AE5FC4">
            <w:rPr>
              <w:b/>
              <w:bCs/>
              <w:sz w:val="22"/>
              <w:szCs w:val="22"/>
            </w:rPr>
            <w:t>Contact</w:t>
          </w:r>
        </w:p>
      </w:tc>
      <w:tc>
        <w:tcPr>
          <w:tcW w:w="3543" w:type="dxa"/>
          <w:tcBorders>
            <w:top w:val="single" w:sz="12" w:space="0" w:color="auto"/>
          </w:tcBorders>
        </w:tcPr>
        <w:p w:rsidR="00B035AA" w:rsidRPr="00AE5FC4" w:rsidRDefault="00B035AA" w:rsidP="00D023DD">
          <w:pPr>
            <w:pStyle w:val="Headingb"/>
            <w:spacing w:before="120"/>
            <w:rPr>
              <w:bCs/>
              <w:smallCaps/>
              <w:sz w:val="22"/>
              <w:szCs w:val="22"/>
              <w:lang w:val="de-DE"/>
            </w:rPr>
          </w:pPr>
          <w:r w:rsidRPr="00AE5FC4">
            <w:rPr>
              <w:bCs/>
              <w:smallCaps/>
              <w:sz w:val="22"/>
              <w:szCs w:val="22"/>
              <w:lang w:val="de-DE"/>
            </w:rPr>
            <w:t>Albrecht Schwarz</w:t>
          </w:r>
        </w:p>
        <w:p w:rsidR="00B035AA" w:rsidRPr="00AE5FC4" w:rsidRDefault="00B035AA" w:rsidP="00D023DD">
          <w:pPr>
            <w:spacing w:before="0"/>
            <w:rPr>
              <w:sz w:val="22"/>
              <w:szCs w:val="22"/>
              <w:lang w:val="de-DE"/>
            </w:rPr>
          </w:pPr>
          <w:r w:rsidRPr="00AE5FC4">
            <w:rPr>
              <w:sz w:val="22"/>
              <w:szCs w:val="22"/>
              <w:lang w:val="de-DE"/>
            </w:rPr>
            <w:t>ALCATEL-LUCENT</w:t>
          </w:r>
        </w:p>
        <w:p w:rsidR="00B035AA" w:rsidRPr="00AE5FC4" w:rsidRDefault="00B035AA"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B035AA" w:rsidRPr="00AE5FC4" w:rsidRDefault="00B035AA" w:rsidP="00D023DD">
          <w:pPr>
            <w:rPr>
              <w:sz w:val="22"/>
              <w:szCs w:val="22"/>
            </w:rPr>
          </w:pPr>
          <w:r w:rsidRPr="00AE5FC4">
            <w:rPr>
              <w:sz w:val="22"/>
              <w:szCs w:val="22"/>
            </w:rPr>
            <w:t xml:space="preserve">Tel: </w:t>
          </w:r>
          <w:r w:rsidRPr="00AE5FC4">
            <w:rPr>
              <w:sz w:val="22"/>
              <w:szCs w:val="22"/>
            </w:rPr>
            <w:tab/>
            <w:t>+49-711-821-41425</w:t>
          </w:r>
        </w:p>
        <w:p w:rsidR="00B035AA" w:rsidRPr="00AE5FC4" w:rsidRDefault="00B035AA" w:rsidP="00D023DD">
          <w:pPr>
            <w:spacing w:before="0"/>
            <w:rPr>
              <w:sz w:val="22"/>
              <w:szCs w:val="22"/>
            </w:rPr>
          </w:pPr>
          <w:r w:rsidRPr="00AE5FC4">
            <w:rPr>
              <w:sz w:val="22"/>
              <w:szCs w:val="22"/>
            </w:rPr>
            <w:t xml:space="preserve">Fax: </w:t>
          </w:r>
          <w:r w:rsidRPr="00AE5FC4">
            <w:rPr>
              <w:sz w:val="22"/>
              <w:szCs w:val="22"/>
            </w:rPr>
            <w:tab/>
            <w:t>+49-711-821-40</w:t>
          </w:r>
          <w:r>
            <w:rPr>
              <w:sz w:val="22"/>
              <w:szCs w:val="22"/>
            </w:rPr>
            <w:t>24</w:t>
          </w:r>
          <w:r w:rsidRPr="00AE5FC4">
            <w:rPr>
              <w:sz w:val="22"/>
              <w:szCs w:val="22"/>
            </w:rPr>
            <w:t>7</w:t>
          </w:r>
        </w:p>
        <w:p w:rsidR="00B035AA" w:rsidRPr="00AE5FC4" w:rsidRDefault="00B035AA" w:rsidP="00D023DD">
          <w:pPr>
            <w:spacing w:before="0"/>
            <w:rPr>
              <w:sz w:val="22"/>
              <w:szCs w:val="22"/>
              <w:lang w:val="fr-FR"/>
            </w:rPr>
          </w:pPr>
          <w:r w:rsidRPr="00AE5FC4">
            <w:rPr>
              <w:sz w:val="22"/>
              <w:szCs w:val="22"/>
              <w:lang w:val="fr-FR"/>
            </w:rPr>
            <w:t xml:space="preserve">Email: </w:t>
          </w:r>
          <w:hyperlink r:id="rId1" w:history="1">
            <w:r w:rsidRPr="00AE5FC4">
              <w:rPr>
                <w:rStyle w:val="Hyperlink"/>
                <w:sz w:val="22"/>
                <w:szCs w:val="22"/>
                <w:lang w:val="fr-FR"/>
              </w:rPr>
              <w:t>Albrecht.Schwarz@alcatel-lucent.com</w:t>
            </w:r>
          </w:hyperlink>
          <w:r w:rsidRPr="00AE5FC4">
            <w:rPr>
              <w:sz w:val="22"/>
              <w:szCs w:val="22"/>
              <w:lang w:val="fr-FR"/>
            </w:rPr>
            <w:t xml:space="preserve"> </w:t>
          </w:r>
        </w:p>
      </w:tc>
    </w:tr>
    <w:tr w:rsidR="00B035AA" w:rsidRPr="00AE5FC4" w:rsidTr="00D023DD">
      <w:trPr>
        <w:cantSplit/>
        <w:trHeight w:val="204"/>
        <w:jc w:val="center"/>
      </w:trPr>
      <w:tc>
        <w:tcPr>
          <w:tcW w:w="1617" w:type="dxa"/>
          <w:tcBorders>
            <w:top w:val="single" w:sz="12" w:space="0" w:color="auto"/>
          </w:tcBorders>
        </w:tcPr>
        <w:p w:rsidR="00B035AA" w:rsidRPr="00AE5FC4" w:rsidRDefault="00B035AA" w:rsidP="00D023DD">
          <w:pPr>
            <w:rPr>
              <w:b/>
              <w:bCs/>
              <w:sz w:val="22"/>
              <w:szCs w:val="22"/>
            </w:rPr>
          </w:pPr>
          <w:r w:rsidRPr="00AE5FC4">
            <w:rPr>
              <w:b/>
              <w:bCs/>
              <w:sz w:val="22"/>
              <w:szCs w:val="22"/>
            </w:rPr>
            <w:t>Contact</w:t>
          </w:r>
        </w:p>
      </w:tc>
      <w:tc>
        <w:tcPr>
          <w:tcW w:w="3543" w:type="dxa"/>
          <w:tcBorders>
            <w:top w:val="single" w:sz="12" w:space="0" w:color="auto"/>
          </w:tcBorders>
        </w:tcPr>
        <w:p w:rsidR="00B035AA" w:rsidRPr="00AE5FC4" w:rsidRDefault="00B035AA" w:rsidP="00D023DD">
          <w:pPr>
            <w:pStyle w:val="Headingb"/>
            <w:spacing w:before="120"/>
            <w:rPr>
              <w:bCs/>
              <w:smallCaps/>
              <w:sz w:val="22"/>
              <w:szCs w:val="22"/>
              <w:lang w:val="de-DE"/>
            </w:rPr>
          </w:pPr>
          <w:r w:rsidRPr="00AE5FC4">
            <w:rPr>
              <w:bCs/>
              <w:smallCaps/>
              <w:sz w:val="22"/>
              <w:szCs w:val="22"/>
              <w:lang w:val="de-DE"/>
            </w:rPr>
            <w:t>Juergen Stoetzer-Bradler</w:t>
          </w:r>
        </w:p>
        <w:p w:rsidR="00B035AA" w:rsidRPr="00AE5FC4" w:rsidRDefault="00B035AA" w:rsidP="00D023DD">
          <w:pPr>
            <w:spacing w:before="0"/>
            <w:rPr>
              <w:sz w:val="22"/>
              <w:szCs w:val="22"/>
              <w:lang w:val="de-DE"/>
            </w:rPr>
          </w:pPr>
          <w:r w:rsidRPr="00AE5FC4">
            <w:rPr>
              <w:sz w:val="22"/>
              <w:szCs w:val="22"/>
              <w:lang w:val="de-DE"/>
            </w:rPr>
            <w:t>ALCATEL-LUCENT</w:t>
          </w:r>
        </w:p>
        <w:p w:rsidR="00B035AA" w:rsidRPr="00AE5FC4" w:rsidRDefault="00B035AA"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B035AA" w:rsidRPr="00AE5FC4" w:rsidRDefault="00B035AA" w:rsidP="00D023DD">
          <w:pPr>
            <w:rPr>
              <w:sz w:val="22"/>
              <w:szCs w:val="22"/>
              <w:lang w:val="fr-FR"/>
            </w:rPr>
          </w:pPr>
          <w:r w:rsidRPr="00AE5FC4">
            <w:rPr>
              <w:sz w:val="22"/>
              <w:szCs w:val="22"/>
              <w:lang w:val="fr-FR"/>
            </w:rPr>
            <w:t xml:space="preserve">Tel: </w:t>
          </w:r>
          <w:r w:rsidRPr="00AE5FC4">
            <w:rPr>
              <w:sz w:val="22"/>
              <w:szCs w:val="22"/>
              <w:lang w:val="fr-FR"/>
            </w:rPr>
            <w:tab/>
            <w:t>+49-711-821-45398</w:t>
          </w:r>
        </w:p>
        <w:p w:rsidR="00B035AA" w:rsidRPr="00AE5FC4" w:rsidRDefault="00B035AA" w:rsidP="00D023DD">
          <w:pPr>
            <w:spacing w:before="0"/>
            <w:rPr>
              <w:sz w:val="22"/>
              <w:szCs w:val="22"/>
              <w:lang w:val="fr-FR"/>
            </w:rPr>
          </w:pPr>
          <w:r w:rsidRPr="00AE5FC4">
            <w:rPr>
              <w:sz w:val="22"/>
              <w:szCs w:val="22"/>
              <w:lang w:val="fr-FR"/>
            </w:rPr>
            <w:t xml:space="preserve">Fax: </w:t>
          </w:r>
          <w:r w:rsidRPr="00AE5FC4">
            <w:rPr>
              <w:sz w:val="22"/>
              <w:szCs w:val="22"/>
              <w:lang w:val="fr-FR"/>
            </w:rPr>
            <w:tab/>
            <w:t>+49-711-821-40247</w:t>
          </w:r>
        </w:p>
        <w:p w:rsidR="00B035AA" w:rsidRPr="00AE5FC4" w:rsidRDefault="00B035AA" w:rsidP="00D023DD">
          <w:pPr>
            <w:spacing w:before="0"/>
            <w:rPr>
              <w:sz w:val="22"/>
              <w:szCs w:val="22"/>
              <w:lang w:val="fr-FR"/>
            </w:rPr>
          </w:pPr>
          <w:r w:rsidRPr="00AE5FC4">
            <w:rPr>
              <w:sz w:val="22"/>
              <w:szCs w:val="22"/>
              <w:lang w:val="fr-FR"/>
            </w:rPr>
            <w:t xml:space="preserve">Email: </w:t>
          </w:r>
          <w:hyperlink r:id="rId2" w:history="1">
            <w:r w:rsidRPr="00AE5FC4">
              <w:rPr>
                <w:rStyle w:val="Hyperlink"/>
                <w:sz w:val="22"/>
                <w:szCs w:val="22"/>
                <w:lang w:val="fr-FR"/>
              </w:rPr>
              <w:t>Juergen.Stoetzer-Bradler@alcatel-lucent.com</w:t>
            </w:r>
          </w:hyperlink>
        </w:p>
      </w:tc>
    </w:tr>
    <w:tr w:rsidR="00B035AA" w:rsidRPr="00AE5FC4" w:rsidTr="00D023DD">
      <w:trPr>
        <w:cantSplit/>
        <w:trHeight w:val="204"/>
        <w:jc w:val="center"/>
      </w:trPr>
      <w:tc>
        <w:tcPr>
          <w:tcW w:w="1617" w:type="dxa"/>
          <w:tcBorders>
            <w:top w:val="single" w:sz="12" w:space="0" w:color="auto"/>
          </w:tcBorders>
        </w:tcPr>
        <w:p w:rsidR="00B035AA" w:rsidRPr="00AE5FC4" w:rsidRDefault="00B035AA" w:rsidP="00D023DD">
          <w:pPr>
            <w:rPr>
              <w:b/>
              <w:bCs/>
              <w:sz w:val="22"/>
              <w:szCs w:val="22"/>
            </w:rPr>
          </w:pPr>
          <w:r w:rsidRPr="00AE5FC4">
            <w:rPr>
              <w:b/>
              <w:bCs/>
              <w:sz w:val="22"/>
              <w:szCs w:val="22"/>
            </w:rPr>
            <w:t>Contact</w:t>
          </w:r>
        </w:p>
      </w:tc>
      <w:tc>
        <w:tcPr>
          <w:tcW w:w="3543" w:type="dxa"/>
          <w:tcBorders>
            <w:top w:val="single" w:sz="12" w:space="0" w:color="auto"/>
          </w:tcBorders>
        </w:tcPr>
        <w:p w:rsidR="00B035AA" w:rsidRPr="00AE5FC4" w:rsidRDefault="00B035AA" w:rsidP="00D023DD">
          <w:pPr>
            <w:pStyle w:val="Headingb"/>
            <w:spacing w:before="120"/>
            <w:rPr>
              <w:bCs/>
              <w:smallCaps/>
              <w:sz w:val="22"/>
              <w:szCs w:val="22"/>
              <w:lang w:val="de-DE"/>
            </w:rPr>
          </w:pPr>
          <w:r w:rsidRPr="00AE5FC4">
            <w:rPr>
              <w:bCs/>
              <w:smallCaps/>
              <w:sz w:val="22"/>
              <w:szCs w:val="22"/>
              <w:lang w:val="de-DE"/>
            </w:rPr>
            <w:t>Carsten Waitzmann</w:t>
          </w:r>
        </w:p>
        <w:p w:rsidR="00B035AA" w:rsidRPr="00AE5FC4" w:rsidRDefault="00B035AA" w:rsidP="00D023DD">
          <w:pPr>
            <w:spacing w:before="0"/>
            <w:rPr>
              <w:sz w:val="22"/>
              <w:szCs w:val="22"/>
              <w:lang w:val="de-DE"/>
            </w:rPr>
          </w:pPr>
          <w:r w:rsidRPr="00AE5FC4">
            <w:rPr>
              <w:sz w:val="22"/>
              <w:szCs w:val="22"/>
              <w:lang w:val="de-DE"/>
            </w:rPr>
            <w:t>ALCATEL-LUCENT</w:t>
          </w:r>
        </w:p>
        <w:p w:rsidR="00B035AA" w:rsidRPr="00AE5FC4" w:rsidRDefault="00B035AA"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B035AA" w:rsidRPr="00AE5FC4" w:rsidRDefault="00B035AA" w:rsidP="00D023DD">
          <w:pPr>
            <w:rPr>
              <w:sz w:val="22"/>
              <w:szCs w:val="22"/>
              <w:lang w:val="fr-FR"/>
            </w:rPr>
          </w:pPr>
          <w:r w:rsidRPr="00AE5FC4">
            <w:rPr>
              <w:sz w:val="22"/>
              <w:szCs w:val="22"/>
              <w:lang w:val="fr-FR"/>
            </w:rPr>
            <w:t xml:space="preserve">Tel: </w:t>
          </w:r>
          <w:r w:rsidRPr="00AE5FC4">
            <w:rPr>
              <w:sz w:val="22"/>
              <w:szCs w:val="22"/>
              <w:lang w:val="fr-FR"/>
            </w:rPr>
            <w:tab/>
            <w:t>+49-711-821-40406</w:t>
          </w:r>
        </w:p>
        <w:p w:rsidR="00B035AA" w:rsidRPr="00AE5FC4" w:rsidRDefault="00B035AA" w:rsidP="00D023DD">
          <w:pPr>
            <w:spacing w:before="0"/>
            <w:rPr>
              <w:sz w:val="22"/>
              <w:szCs w:val="22"/>
              <w:lang w:val="fr-FR"/>
            </w:rPr>
          </w:pPr>
          <w:r w:rsidRPr="00AE5FC4">
            <w:rPr>
              <w:sz w:val="22"/>
              <w:szCs w:val="22"/>
              <w:lang w:val="fr-FR"/>
            </w:rPr>
            <w:t xml:space="preserve">Fax: </w:t>
          </w:r>
          <w:r w:rsidRPr="00AE5FC4">
            <w:rPr>
              <w:sz w:val="22"/>
              <w:szCs w:val="22"/>
              <w:lang w:val="fr-FR"/>
            </w:rPr>
            <w:tab/>
            <w:t>+49-711-821-40247</w:t>
          </w:r>
        </w:p>
        <w:p w:rsidR="00B035AA" w:rsidRPr="00AE5FC4" w:rsidRDefault="00B035AA" w:rsidP="00D023DD">
          <w:pPr>
            <w:spacing w:before="0"/>
            <w:rPr>
              <w:sz w:val="22"/>
              <w:szCs w:val="22"/>
              <w:lang w:val="fr-FR"/>
            </w:rPr>
          </w:pPr>
          <w:r w:rsidRPr="00AE5FC4">
            <w:rPr>
              <w:sz w:val="22"/>
              <w:szCs w:val="22"/>
              <w:lang w:val="fr-FR"/>
            </w:rPr>
            <w:t xml:space="preserve">Email: </w:t>
          </w:r>
          <w:hyperlink r:id="rId3" w:history="1">
            <w:r w:rsidRPr="00AE5FC4">
              <w:rPr>
                <w:rStyle w:val="Hyperlink"/>
                <w:sz w:val="22"/>
                <w:szCs w:val="22"/>
                <w:lang w:val="fr-FR"/>
              </w:rPr>
              <w:t>Carsten.Waitzmann@alcatel-lucent.com</w:t>
            </w:r>
          </w:hyperlink>
        </w:p>
      </w:tc>
    </w:tr>
    <w:tr w:rsidR="00B035AA" w:rsidRPr="00AE5FC4" w:rsidTr="00D023DD">
      <w:trPr>
        <w:cantSplit/>
        <w:trHeight w:val="204"/>
        <w:jc w:val="center"/>
      </w:trPr>
      <w:tc>
        <w:tcPr>
          <w:tcW w:w="1617" w:type="dxa"/>
          <w:tcBorders>
            <w:top w:val="single" w:sz="12" w:space="0" w:color="auto"/>
          </w:tcBorders>
        </w:tcPr>
        <w:p w:rsidR="00B035AA" w:rsidRPr="00AE5FC4" w:rsidRDefault="00B035AA" w:rsidP="00D023DD">
          <w:pPr>
            <w:rPr>
              <w:b/>
              <w:bCs/>
              <w:sz w:val="22"/>
              <w:szCs w:val="22"/>
            </w:rPr>
          </w:pPr>
          <w:r w:rsidRPr="00AE5FC4">
            <w:rPr>
              <w:b/>
              <w:bCs/>
              <w:sz w:val="22"/>
              <w:szCs w:val="22"/>
            </w:rPr>
            <w:t>Contact:</w:t>
          </w:r>
        </w:p>
      </w:tc>
      <w:tc>
        <w:tcPr>
          <w:tcW w:w="3543" w:type="dxa"/>
          <w:tcBorders>
            <w:top w:val="single" w:sz="12" w:space="0" w:color="auto"/>
          </w:tcBorders>
        </w:tcPr>
        <w:p w:rsidR="00B035AA" w:rsidRPr="00AE5FC4" w:rsidRDefault="00B035AA" w:rsidP="00D023DD">
          <w:pPr>
            <w:pStyle w:val="Headingb"/>
            <w:spacing w:before="120"/>
            <w:rPr>
              <w:bCs/>
              <w:smallCaps/>
              <w:sz w:val="22"/>
              <w:szCs w:val="22"/>
              <w:lang w:val="en-US"/>
            </w:rPr>
          </w:pPr>
          <w:r w:rsidRPr="00AE5FC4">
            <w:rPr>
              <w:bCs/>
              <w:smallCaps/>
              <w:sz w:val="22"/>
              <w:szCs w:val="22"/>
              <w:lang w:val="en-US"/>
            </w:rPr>
            <w:t>He Bing</w:t>
          </w:r>
        </w:p>
        <w:p w:rsidR="00B035AA" w:rsidRPr="00AE5FC4" w:rsidRDefault="00B035AA" w:rsidP="00D023DD">
          <w:pPr>
            <w:spacing w:before="0"/>
            <w:rPr>
              <w:sz w:val="22"/>
              <w:szCs w:val="22"/>
            </w:rPr>
          </w:pPr>
          <w:r w:rsidRPr="00AE5FC4">
            <w:rPr>
              <w:sz w:val="22"/>
              <w:szCs w:val="22"/>
            </w:rPr>
            <w:t xml:space="preserve">ALCATEL-LUCENT </w:t>
          </w:r>
          <w:smartTag w:uri="urn:schemas-microsoft-com:office:smarttags" w:element="City">
            <w:r w:rsidRPr="00AE5FC4">
              <w:rPr>
                <w:sz w:val="22"/>
                <w:szCs w:val="22"/>
                <w:lang w:val="en-US"/>
              </w:rPr>
              <w:t>SHANGHAI</w:t>
            </w:r>
          </w:smartTag>
          <w:r w:rsidRPr="00AE5FC4">
            <w:rPr>
              <w:sz w:val="22"/>
              <w:szCs w:val="22"/>
              <w:lang w:val="en-US"/>
            </w:rPr>
            <w:t xml:space="preserve"> </w:t>
          </w:r>
          <w:smartTag w:uri="urn:schemas-microsoft-com:office:smarttags" w:element="City">
            <w:r w:rsidRPr="00AE5FC4">
              <w:rPr>
                <w:sz w:val="22"/>
                <w:szCs w:val="22"/>
                <w:lang w:val="en-US"/>
              </w:rPr>
              <w:t>BELL</w:t>
            </w:r>
          </w:smartTag>
          <w:r>
            <w:rPr>
              <w:sz w:val="22"/>
              <w:szCs w:val="22"/>
              <w:lang w:val="en-US"/>
            </w:rPr>
            <w:t xml:space="preserve"> </w:t>
          </w:r>
          <w:smartTag w:uri="urn:schemas-microsoft-com:office:smarttags" w:element="country-region">
            <w:smartTag w:uri="urn:schemas-microsoft-com:office:smarttags" w:element="place">
              <w:r w:rsidRPr="00AE5FC4">
                <w:rPr>
                  <w:sz w:val="22"/>
                  <w:szCs w:val="22"/>
                </w:rPr>
                <w:t>China</w:t>
              </w:r>
            </w:smartTag>
          </w:smartTag>
        </w:p>
      </w:tc>
      <w:tc>
        <w:tcPr>
          <w:tcW w:w="4763" w:type="dxa"/>
          <w:tcBorders>
            <w:top w:val="single" w:sz="12" w:space="0" w:color="auto"/>
          </w:tcBorders>
        </w:tcPr>
        <w:p w:rsidR="00B035AA" w:rsidRPr="00AE5FC4" w:rsidRDefault="00B035AA" w:rsidP="00D023DD">
          <w:pPr>
            <w:rPr>
              <w:sz w:val="22"/>
              <w:szCs w:val="22"/>
              <w:lang w:val="fr-FR"/>
            </w:rPr>
          </w:pPr>
          <w:r w:rsidRPr="00AE5FC4">
            <w:rPr>
              <w:sz w:val="22"/>
              <w:szCs w:val="22"/>
              <w:lang w:val="fr-FR"/>
            </w:rPr>
            <w:t xml:space="preserve">Tel: </w:t>
          </w:r>
          <w:r w:rsidRPr="00AE5FC4">
            <w:rPr>
              <w:sz w:val="22"/>
              <w:szCs w:val="22"/>
              <w:lang w:val="fr-FR"/>
            </w:rPr>
            <w:tab/>
            <w:t>+86 21 50554550 3619</w:t>
          </w:r>
        </w:p>
        <w:p w:rsidR="00B035AA" w:rsidRPr="00AE5FC4" w:rsidRDefault="00B035AA" w:rsidP="00D023DD">
          <w:pPr>
            <w:spacing w:before="0"/>
            <w:rPr>
              <w:sz w:val="22"/>
              <w:szCs w:val="22"/>
              <w:lang w:val="fr-FR"/>
            </w:rPr>
          </w:pPr>
          <w:r w:rsidRPr="00AE5FC4">
            <w:rPr>
              <w:sz w:val="22"/>
              <w:szCs w:val="22"/>
              <w:lang w:val="fr-FR"/>
            </w:rPr>
            <w:t xml:space="preserve">Fax: </w:t>
          </w:r>
          <w:r w:rsidRPr="00AE5FC4">
            <w:rPr>
              <w:sz w:val="22"/>
              <w:szCs w:val="22"/>
              <w:lang w:val="fr-FR"/>
            </w:rPr>
            <w:tab/>
            <w:t>+86 21 58541240 7193</w:t>
          </w:r>
        </w:p>
        <w:p w:rsidR="00B035AA" w:rsidRPr="00AE5FC4" w:rsidRDefault="00B035AA" w:rsidP="00D023DD">
          <w:pPr>
            <w:spacing w:before="0"/>
            <w:rPr>
              <w:sz w:val="22"/>
              <w:szCs w:val="22"/>
              <w:lang w:val="fr-FR"/>
            </w:rPr>
          </w:pPr>
          <w:r w:rsidRPr="00AE5FC4">
            <w:rPr>
              <w:sz w:val="22"/>
              <w:szCs w:val="22"/>
              <w:lang w:val="fr-FR"/>
            </w:rPr>
            <w:t xml:space="preserve">Email: </w:t>
          </w:r>
          <w:hyperlink r:id="rId4" w:history="1">
            <w:r w:rsidRPr="00AE5FC4">
              <w:rPr>
                <w:rStyle w:val="Hyperlink"/>
                <w:sz w:val="22"/>
                <w:szCs w:val="22"/>
                <w:lang w:val="fr-FR"/>
              </w:rPr>
              <w:t>Bing.He@alcatel-sbell.com.cn</w:t>
            </w:r>
          </w:hyperlink>
        </w:p>
      </w:tc>
    </w:tr>
    <w:tr w:rsidR="00B035AA" w:rsidRPr="00AE5FC4" w:rsidTr="00D023DD">
      <w:trPr>
        <w:cantSplit/>
        <w:trHeight w:val="204"/>
        <w:jc w:val="center"/>
      </w:trPr>
      <w:tc>
        <w:tcPr>
          <w:tcW w:w="1617" w:type="dxa"/>
          <w:tcBorders>
            <w:top w:val="single" w:sz="12" w:space="0" w:color="auto"/>
          </w:tcBorders>
        </w:tcPr>
        <w:p w:rsidR="00B035AA" w:rsidRPr="00AE5FC4" w:rsidRDefault="00B035AA" w:rsidP="00D023DD">
          <w:pPr>
            <w:rPr>
              <w:b/>
              <w:bCs/>
              <w:sz w:val="22"/>
              <w:szCs w:val="22"/>
            </w:rPr>
          </w:pPr>
          <w:r w:rsidRPr="00AE5FC4">
            <w:rPr>
              <w:b/>
              <w:bCs/>
              <w:sz w:val="22"/>
              <w:szCs w:val="22"/>
            </w:rPr>
            <w:t>Contact:</w:t>
          </w:r>
        </w:p>
      </w:tc>
      <w:tc>
        <w:tcPr>
          <w:tcW w:w="3543" w:type="dxa"/>
          <w:tcBorders>
            <w:top w:val="single" w:sz="12" w:space="0" w:color="auto"/>
          </w:tcBorders>
        </w:tcPr>
        <w:p w:rsidR="00B035AA" w:rsidRPr="00AE5FC4" w:rsidRDefault="00B035AA" w:rsidP="00D023DD">
          <w:pPr>
            <w:pStyle w:val="Headingb"/>
            <w:spacing w:before="120"/>
            <w:rPr>
              <w:bCs/>
              <w:smallCaps/>
              <w:sz w:val="22"/>
              <w:szCs w:val="22"/>
              <w:lang w:val="it-IT"/>
            </w:rPr>
          </w:pPr>
          <w:r w:rsidRPr="00AE5FC4">
            <w:rPr>
              <w:bCs/>
              <w:smallCaps/>
              <w:sz w:val="22"/>
              <w:szCs w:val="22"/>
              <w:lang w:val="it-IT"/>
            </w:rPr>
            <w:t>Fei A Chen</w:t>
          </w:r>
        </w:p>
        <w:p w:rsidR="00B035AA" w:rsidRPr="00AE5FC4" w:rsidRDefault="00B035AA" w:rsidP="00D023DD">
          <w:pPr>
            <w:spacing w:before="0"/>
            <w:rPr>
              <w:sz w:val="22"/>
              <w:szCs w:val="22"/>
              <w:lang w:val="it-IT"/>
            </w:rPr>
          </w:pPr>
          <w:r w:rsidRPr="00AE5FC4">
            <w:rPr>
              <w:sz w:val="22"/>
              <w:szCs w:val="22"/>
              <w:lang w:val="it-IT"/>
            </w:rPr>
            <w:t xml:space="preserve">ALCATEL-LUCENT </w:t>
          </w:r>
          <w:r w:rsidRPr="00AE5FC4">
            <w:rPr>
              <w:sz w:val="22"/>
              <w:szCs w:val="22"/>
              <w:lang w:val="en-US"/>
            </w:rPr>
            <w:t xml:space="preserve">SHANGHAI </w:t>
          </w:r>
          <w:r w:rsidRPr="00AE5FC4">
            <w:rPr>
              <w:sz w:val="22"/>
              <w:szCs w:val="22"/>
              <w:lang w:val="it-IT"/>
            </w:rPr>
            <w:t xml:space="preserve"> BELL</w:t>
          </w:r>
          <w:r>
            <w:rPr>
              <w:sz w:val="22"/>
              <w:szCs w:val="22"/>
              <w:lang w:val="it-IT"/>
            </w:rPr>
            <w:t xml:space="preserve"> </w:t>
          </w:r>
          <w:r w:rsidRPr="00AE5FC4">
            <w:rPr>
              <w:sz w:val="22"/>
              <w:szCs w:val="22"/>
              <w:lang w:val="it-IT"/>
            </w:rPr>
            <w:t>China</w:t>
          </w:r>
        </w:p>
      </w:tc>
      <w:tc>
        <w:tcPr>
          <w:tcW w:w="4763" w:type="dxa"/>
          <w:tcBorders>
            <w:top w:val="single" w:sz="12" w:space="0" w:color="auto"/>
          </w:tcBorders>
        </w:tcPr>
        <w:p w:rsidR="00B035AA" w:rsidRPr="00AE5FC4" w:rsidRDefault="00B035AA" w:rsidP="00D023DD">
          <w:pPr>
            <w:rPr>
              <w:sz w:val="22"/>
              <w:szCs w:val="22"/>
              <w:lang w:val="fr-FR"/>
            </w:rPr>
          </w:pPr>
          <w:r w:rsidRPr="00AE5FC4">
            <w:rPr>
              <w:sz w:val="22"/>
              <w:szCs w:val="22"/>
              <w:lang w:val="fr-FR"/>
            </w:rPr>
            <w:t xml:space="preserve">Tel: </w:t>
          </w:r>
          <w:r w:rsidRPr="00AE5FC4">
            <w:rPr>
              <w:sz w:val="22"/>
              <w:szCs w:val="22"/>
              <w:lang w:val="fr-FR"/>
            </w:rPr>
            <w:tab/>
            <w:t>+86 21 50554550 7548</w:t>
          </w:r>
        </w:p>
        <w:p w:rsidR="00B035AA" w:rsidRPr="00AE5FC4" w:rsidRDefault="00B035AA" w:rsidP="00D023DD">
          <w:pPr>
            <w:spacing w:before="0"/>
            <w:rPr>
              <w:sz w:val="22"/>
              <w:szCs w:val="22"/>
              <w:lang w:val="fr-FR"/>
            </w:rPr>
          </w:pPr>
          <w:r w:rsidRPr="00AE5FC4">
            <w:rPr>
              <w:sz w:val="22"/>
              <w:szCs w:val="22"/>
              <w:lang w:val="fr-FR"/>
            </w:rPr>
            <w:t xml:space="preserve">Fax: </w:t>
          </w:r>
          <w:r w:rsidRPr="00AE5FC4">
            <w:rPr>
              <w:sz w:val="22"/>
              <w:szCs w:val="22"/>
              <w:lang w:val="fr-FR"/>
            </w:rPr>
            <w:tab/>
            <w:t>+86 21 58541240 8474</w:t>
          </w:r>
        </w:p>
        <w:p w:rsidR="00B035AA" w:rsidRPr="00AE5FC4" w:rsidRDefault="00B035AA" w:rsidP="00D023DD">
          <w:pPr>
            <w:spacing w:before="0"/>
            <w:rPr>
              <w:sz w:val="22"/>
              <w:szCs w:val="22"/>
            </w:rPr>
          </w:pPr>
          <w:r w:rsidRPr="00AE5FC4">
            <w:rPr>
              <w:sz w:val="22"/>
              <w:szCs w:val="22"/>
              <w:lang w:val="fr-FR"/>
            </w:rPr>
            <w:t xml:space="preserve">Email: </w:t>
          </w:r>
          <w:hyperlink r:id="rId5" w:history="1">
            <w:r w:rsidRPr="00AE5FC4">
              <w:rPr>
                <w:rStyle w:val="Hyperlink"/>
                <w:sz w:val="22"/>
                <w:szCs w:val="22"/>
              </w:rPr>
              <w:t>Fei.a.Chen@alcatel-sbell.com.cn</w:t>
            </w:r>
          </w:hyperlink>
          <w:r w:rsidRPr="00AE5FC4">
            <w:rPr>
              <w:sz w:val="22"/>
              <w:szCs w:val="22"/>
            </w:rPr>
            <w:t xml:space="preserve"> </w:t>
          </w:r>
        </w:p>
      </w:tc>
    </w:tr>
    <w:tr w:rsidR="00B035AA" w:rsidRPr="0037415F" w:rsidTr="0037415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B035AA" w:rsidRPr="0037415F" w:rsidRDefault="00B035AA" w:rsidP="0037415F">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B035AA" w:rsidRPr="0037415F" w:rsidRDefault="00B035AA" w:rsidP="0037415F">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35AA" w:rsidRDefault="00B035AA">
      <w:r>
        <w:separator/>
      </w:r>
    </w:p>
  </w:footnote>
  <w:footnote w:type="continuationSeparator" w:id="0">
    <w:p w:rsidR="00B035AA" w:rsidRDefault="00B035AA">
      <w:r>
        <w:continuationSeparator/>
      </w:r>
    </w:p>
  </w:footnote>
  <w:footnote w:id="1">
    <w:p w:rsidR="00B035AA" w:rsidRPr="00DE3530" w:rsidRDefault="00B035AA">
      <w:pPr>
        <w:pStyle w:val="FootnoteText"/>
        <w:rPr>
          <w:sz w:val="20"/>
          <w:lang w:val="en-US"/>
        </w:rPr>
      </w:pPr>
      <w:r>
        <w:rPr>
          <w:rStyle w:val="FootnoteReference"/>
        </w:rPr>
        <w:footnoteRef/>
      </w:r>
      <w:r>
        <w:t xml:space="preserve"> </w:t>
      </w:r>
      <w:r w:rsidRPr="00DE3530">
        <w:rPr>
          <w:lang w:val="en-US"/>
        </w:rPr>
        <w:tab/>
      </w:r>
      <w:r w:rsidRPr="00DE3530">
        <w:rPr>
          <w:sz w:val="20"/>
          <w:lang w:val="en-US"/>
        </w:rPr>
        <w:t xml:space="preserve">Such </w:t>
      </w:r>
      <w:proofErr w:type="spellStart"/>
      <w:r w:rsidRPr="00DE3530">
        <w:rPr>
          <w:sz w:val="20"/>
          <w:lang w:val="en-US"/>
        </w:rPr>
        <w:t>semantical</w:t>
      </w:r>
      <w:proofErr w:type="spellEnd"/>
      <w:r w:rsidRPr="00DE3530">
        <w:rPr>
          <w:sz w:val="20"/>
          <w:lang w:val="en-US"/>
        </w:rPr>
        <w:t xml:space="preserve"> alignment may be ensured by specifying the SDP semantics in an H.248.x-Recommendation, - e.g. as package-less protocol procedures -, which may be then again referred by profile specifications.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5AA" w:rsidRPr="0037415F" w:rsidRDefault="00B035AA" w:rsidP="0037415F">
    <w:pPr>
      <w:pStyle w:val="Header"/>
      <w:rPr>
        <w:lang w:val="pt-BR"/>
      </w:rPr>
    </w:pPr>
    <w:r w:rsidRPr="0037415F">
      <w:t xml:space="preserve">- </w:t>
    </w:r>
    <w:fldSimple w:instr=" PAGE  \* MERGEFORMAT ">
      <w:r w:rsidR="00C30DEB">
        <w:rPr>
          <w:noProof/>
        </w:rPr>
        <w:t>4</w:t>
      </w:r>
    </w:fldSimple>
    <w:r w:rsidRPr="0037415F">
      <w:rPr>
        <w:lang w:val="pt-BR"/>
      </w:rPr>
      <w:t xml:space="preserve"> -</w:t>
    </w:r>
  </w:p>
  <w:p w:rsidR="00B035AA" w:rsidRPr="0037415F" w:rsidRDefault="00CF12BB" w:rsidP="00590A2F">
    <w:pPr>
      <w:pStyle w:val="Header"/>
      <w:spacing w:after="240"/>
      <w:rPr>
        <w:lang w:val="pt-BR"/>
      </w:rPr>
    </w:pPr>
    <w:fldSimple w:instr=" STYLEREF  Docnumber  \* MERGEFORMAT ">
      <w:r w:rsidR="00C30DEB">
        <w:rPr>
          <w:noProof/>
        </w:rPr>
        <w:t>COM 16 – C 52 – E</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198A08D8"/>
    <w:multiLevelType w:val="hybridMultilevel"/>
    <w:tmpl w:val="F46468C8"/>
    <w:lvl w:ilvl="0" w:tplc="0407000F">
      <w:start w:val="1"/>
      <w:numFmt w:val="decimal"/>
      <w:lvlText w:val="%1."/>
      <w:lvlJc w:val="left"/>
      <w:pPr>
        <w:tabs>
          <w:tab w:val="num" w:pos="360"/>
        </w:tabs>
        <w:ind w:left="360" w:hanging="360"/>
      </w:pPr>
      <w:rPr>
        <w:rFont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268C7350"/>
    <w:multiLevelType w:val="hybridMultilevel"/>
    <w:tmpl w:val="F32EB038"/>
    <w:lvl w:ilvl="0" w:tplc="04070001">
      <w:start w:val="1"/>
      <w:numFmt w:val="bullet"/>
      <w:lvlText w:val=""/>
      <w:lvlJc w:val="left"/>
      <w:pPr>
        <w:tabs>
          <w:tab w:val="num" w:pos="360"/>
        </w:tabs>
        <w:ind w:left="360" w:hanging="360"/>
      </w:pPr>
      <w:rPr>
        <w:rFonts w:ascii="Symbol" w:hAnsi="Symbol" w:hint="default"/>
      </w:rPr>
    </w:lvl>
    <w:lvl w:ilvl="1" w:tplc="A1048430">
      <w:start w:val="1"/>
      <w:numFmt w:val="decimal"/>
      <w:lvlText w:val="%2."/>
      <w:lvlJc w:val="left"/>
      <w:pPr>
        <w:tabs>
          <w:tab w:val="num" w:pos="1080"/>
        </w:tabs>
        <w:ind w:left="1080" w:hanging="360"/>
      </w:pPr>
    </w:lvl>
    <w:lvl w:ilvl="2" w:tplc="911076A4" w:tentative="1">
      <w:start w:val="1"/>
      <w:numFmt w:val="bullet"/>
      <w:lvlText w:val="•"/>
      <w:lvlJc w:val="left"/>
      <w:pPr>
        <w:tabs>
          <w:tab w:val="num" w:pos="1800"/>
        </w:tabs>
        <w:ind w:left="1800" w:hanging="360"/>
      </w:pPr>
      <w:rPr>
        <w:rFonts w:ascii="Arial" w:hAnsi="Arial" w:hint="default"/>
      </w:rPr>
    </w:lvl>
    <w:lvl w:ilvl="3" w:tplc="144044BE" w:tentative="1">
      <w:start w:val="1"/>
      <w:numFmt w:val="bullet"/>
      <w:lvlText w:val="•"/>
      <w:lvlJc w:val="left"/>
      <w:pPr>
        <w:tabs>
          <w:tab w:val="num" w:pos="2520"/>
        </w:tabs>
        <w:ind w:left="2520" w:hanging="360"/>
      </w:pPr>
      <w:rPr>
        <w:rFonts w:ascii="Arial" w:hAnsi="Arial" w:hint="default"/>
      </w:rPr>
    </w:lvl>
    <w:lvl w:ilvl="4" w:tplc="96E44694" w:tentative="1">
      <w:start w:val="1"/>
      <w:numFmt w:val="bullet"/>
      <w:lvlText w:val="•"/>
      <w:lvlJc w:val="left"/>
      <w:pPr>
        <w:tabs>
          <w:tab w:val="num" w:pos="3240"/>
        </w:tabs>
        <w:ind w:left="3240" w:hanging="360"/>
      </w:pPr>
      <w:rPr>
        <w:rFonts w:ascii="Arial" w:hAnsi="Arial" w:hint="default"/>
      </w:rPr>
    </w:lvl>
    <w:lvl w:ilvl="5" w:tplc="1B9C864E" w:tentative="1">
      <w:start w:val="1"/>
      <w:numFmt w:val="bullet"/>
      <w:lvlText w:val="•"/>
      <w:lvlJc w:val="left"/>
      <w:pPr>
        <w:tabs>
          <w:tab w:val="num" w:pos="3960"/>
        </w:tabs>
        <w:ind w:left="3960" w:hanging="360"/>
      </w:pPr>
      <w:rPr>
        <w:rFonts w:ascii="Arial" w:hAnsi="Arial" w:hint="default"/>
      </w:rPr>
    </w:lvl>
    <w:lvl w:ilvl="6" w:tplc="E7C2B586" w:tentative="1">
      <w:start w:val="1"/>
      <w:numFmt w:val="bullet"/>
      <w:lvlText w:val="•"/>
      <w:lvlJc w:val="left"/>
      <w:pPr>
        <w:tabs>
          <w:tab w:val="num" w:pos="4680"/>
        </w:tabs>
        <w:ind w:left="4680" w:hanging="360"/>
      </w:pPr>
      <w:rPr>
        <w:rFonts w:ascii="Arial" w:hAnsi="Arial" w:hint="default"/>
      </w:rPr>
    </w:lvl>
    <w:lvl w:ilvl="7" w:tplc="84926492" w:tentative="1">
      <w:start w:val="1"/>
      <w:numFmt w:val="bullet"/>
      <w:lvlText w:val="•"/>
      <w:lvlJc w:val="left"/>
      <w:pPr>
        <w:tabs>
          <w:tab w:val="num" w:pos="5400"/>
        </w:tabs>
        <w:ind w:left="5400" w:hanging="360"/>
      </w:pPr>
      <w:rPr>
        <w:rFonts w:ascii="Arial" w:hAnsi="Arial" w:hint="default"/>
      </w:rPr>
    </w:lvl>
    <w:lvl w:ilvl="8" w:tplc="CA128E72" w:tentative="1">
      <w:start w:val="1"/>
      <w:numFmt w:val="bullet"/>
      <w:lvlText w:val="•"/>
      <w:lvlJc w:val="left"/>
      <w:pPr>
        <w:tabs>
          <w:tab w:val="num" w:pos="6120"/>
        </w:tabs>
        <w:ind w:left="6120" w:hanging="360"/>
      </w:pPr>
      <w:rPr>
        <w:rFonts w:ascii="Arial" w:hAnsi="Arial" w:hint="default"/>
      </w:rPr>
    </w:lvl>
  </w:abstractNum>
  <w:abstractNum w:abstractNumId="13">
    <w:nsid w:val="29B07205"/>
    <w:multiLevelType w:val="hybridMultilevel"/>
    <w:tmpl w:val="FDDC7B3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nsid w:val="2E85524E"/>
    <w:multiLevelType w:val="hybridMultilevel"/>
    <w:tmpl w:val="793C738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3D1A4A82"/>
    <w:multiLevelType w:val="hybridMultilevel"/>
    <w:tmpl w:val="5276071C"/>
    <w:lvl w:ilvl="0" w:tplc="0407000F">
      <w:start w:val="1"/>
      <w:numFmt w:val="decimal"/>
      <w:lvlText w:val="%1."/>
      <w:lvlJc w:val="left"/>
      <w:pPr>
        <w:tabs>
          <w:tab w:val="num" w:pos="360"/>
        </w:tabs>
        <w:ind w:left="360" w:hanging="360"/>
      </w:pPr>
      <w:rPr>
        <w:rFont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47A9749E"/>
    <w:multiLevelType w:val="hybridMultilevel"/>
    <w:tmpl w:val="61A09F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563043A1"/>
    <w:multiLevelType w:val="hybridMultilevel"/>
    <w:tmpl w:val="9BE6470E"/>
    <w:lvl w:ilvl="0" w:tplc="7A241A62">
      <w:start w:val="1"/>
      <w:numFmt w:val="decimal"/>
      <w:lvlText w:val="[C#%1] "/>
      <w:lvlJc w:val="left"/>
      <w:pPr>
        <w:tabs>
          <w:tab w:val="num" w:pos="360"/>
        </w:tabs>
        <w:ind w:left="360" w:hanging="360"/>
      </w:pPr>
      <w:rPr>
        <w:rFont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56345D5C"/>
    <w:multiLevelType w:val="hybridMultilevel"/>
    <w:tmpl w:val="C2442E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9">
    <w:nsid w:val="59765FA5"/>
    <w:multiLevelType w:val="hybridMultilevel"/>
    <w:tmpl w:val="29840A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628E1A5B"/>
    <w:multiLevelType w:val="hybridMultilevel"/>
    <w:tmpl w:val="058E8142"/>
    <w:lvl w:ilvl="0" w:tplc="5DFE6EFA">
      <w:start w:val="1"/>
      <w:numFmt w:val="bullet"/>
      <w:pStyle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nsid w:val="7EE023C6"/>
    <w:multiLevelType w:val="hybridMultilevel"/>
    <w:tmpl w:val="BD5ACAE4"/>
    <w:lvl w:ilvl="0" w:tplc="04070001">
      <w:start w:val="1"/>
      <w:numFmt w:val="bullet"/>
      <w:lvlText w:val=""/>
      <w:lvlJc w:val="left"/>
      <w:pPr>
        <w:ind w:left="360" w:hanging="360"/>
      </w:pPr>
      <w:rPr>
        <w:rFonts w:ascii="Symbol" w:hAnsi="Symbol" w:hint="default"/>
      </w:rPr>
    </w:lvl>
    <w:lvl w:ilvl="1" w:tplc="0407000F">
      <w:start w:val="1"/>
      <w:numFmt w:val="decimal"/>
      <w:lvlText w:val="%2."/>
      <w:lvlJc w:val="left"/>
      <w:pPr>
        <w:ind w:left="1080" w:hanging="360"/>
      </w:pPr>
      <w:rPr>
        <w:rFonts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8"/>
  </w:num>
  <w:num w:numId="18">
    <w:abstractNumId w:val="12"/>
  </w:num>
  <w:num w:numId="19">
    <w:abstractNumId w:val="21"/>
  </w:num>
  <w:num w:numId="20">
    <w:abstractNumId w:val="20"/>
  </w:num>
  <w:num w:numId="21">
    <w:abstractNumId w:val="19"/>
  </w:num>
  <w:num w:numId="22">
    <w:abstractNumId w:val="11"/>
  </w:num>
  <w:num w:numId="23">
    <w:abstractNumId w:val="16"/>
  </w:num>
  <w:num w:numId="24">
    <w:abstractNumId w:val="14"/>
  </w:num>
  <w:num w:numId="25">
    <w:abstractNumId w:val="17"/>
  </w:num>
  <w:num w:numId="2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activeWritingStyle w:appName="MSWord" w:lang="de-DE" w:vendorID="9" w:dllVersion="512" w:checkStyle="0"/>
  <w:activeWritingStyle w:appName="MSWord" w:lang="pt-BR" w:vendorID="1" w:dllVersion="513" w:checkStyle="1"/>
  <w:proofState w:spelling="clean" w:grammar="clean"/>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37889"/>
  </w:hdrShapeDefaults>
  <w:footnotePr>
    <w:footnote w:id="-1"/>
    <w:footnote w:id="0"/>
  </w:footnotePr>
  <w:endnotePr>
    <w:endnote w:id="-1"/>
    <w:endnote w:id="0"/>
  </w:endnotePr>
  <w:compat/>
  <w:rsids>
    <w:rsidRoot w:val="00762E0E"/>
    <w:rsid w:val="00000350"/>
    <w:rsid w:val="000048B4"/>
    <w:rsid w:val="00021BBC"/>
    <w:rsid w:val="00060684"/>
    <w:rsid w:val="000635E0"/>
    <w:rsid w:val="00070BF2"/>
    <w:rsid w:val="00072A4E"/>
    <w:rsid w:val="000850A6"/>
    <w:rsid w:val="00094CFB"/>
    <w:rsid w:val="000C3324"/>
    <w:rsid w:val="00111AB1"/>
    <w:rsid w:val="00157A45"/>
    <w:rsid w:val="00190304"/>
    <w:rsid w:val="001C2FF5"/>
    <w:rsid w:val="001D24ED"/>
    <w:rsid w:val="00235317"/>
    <w:rsid w:val="0023596F"/>
    <w:rsid w:val="002516CB"/>
    <w:rsid w:val="00297FAB"/>
    <w:rsid w:val="002A38CF"/>
    <w:rsid w:val="002A3AFB"/>
    <w:rsid w:val="002A7086"/>
    <w:rsid w:val="002C6EE7"/>
    <w:rsid w:val="002D4DCF"/>
    <w:rsid w:val="002E1F33"/>
    <w:rsid w:val="00314AC1"/>
    <w:rsid w:val="00323A8A"/>
    <w:rsid w:val="0033481C"/>
    <w:rsid w:val="003415FD"/>
    <w:rsid w:val="003720B7"/>
    <w:rsid w:val="00372998"/>
    <w:rsid w:val="0037415F"/>
    <w:rsid w:val="003862F8"/>
    <w:rsid w:val="00387A77"/>
    <w:rsid w:val="003A69CD"/>
    <w:rsid w:val="003B1361"/>
    <w:rsid w:val="003B469A"/>
    <w:rsid w:val="003F4CFE"/>
    <w:rsid w:val="00407434"/>
    <w:rsid w:val="0041739C"/>
    <w:rsid w:val="00434B3D"/>
    <w:rsid w:val="00444DEC"/>
    <w:rsid w:val="0044621E"/>
    <w:rsid w:val="0045166A"/>
    <w:rsid w:val="0047454C"/>
    <w:rsid w:val="004D7E30"/>
    <w:rsid w:val="004E3F2C"/>
    <w:rsid w:val="005107B7"/>
    <w:rsid w:val="005235D2"/>
    <w:rsid w:val="00566723"/>
    <w:rsid w:val="00590A2F"/>
    <w:rsid w:val="005B5D97"/>
    <w:rsid w:val="005C0756"/>
    <w:rsid w:val="005C5023"/>
    <w:rsid w:val="005D02FE"/>
    <w:rsid w:val="00606BC4"/>
    <w:rsid w:val="0061782F"/>
    <w:rsid w:val="006248BE"/>
    <w:rsid w:val="006273A7"/>
    <w:rsid w:val="006378F9"/>
    <w:rsid w:val="00657E4F"/>
    <w:rsid w:val="006959D9"/>
    <w:rsid w:val="006A34DB"/>
    <w:rsid w:val="006A75AA"/>
    <w:rsid w:val="006B2828"/>
    <w:rsid w:val="006E4247"/>
    <w:rsid w:val="00762E0E"/>
    <w:rsid w:val="00795BB2"/>
    <w:rsid w:val="007B70DC"/>
    <w:rsid w:val="007F2854"/>
    <w:rsid w:val="00880DA5"/>
    <w:rsid w:val="008825E9"/>
    <w:rsid w:val="008A1622"/>
    <w:rsid w:val="008B0D5E"/>
    <w:rsid w:val="008F54B9"/>
    <w:rsid w:val="00901262"/>
    <w:rsid w:val="00901CBB"/>
    <w:rsid w:val="00903945"/>
    <w:rsid w:val="00905122"/>
    <w:rsid w:val="00913680"/>
    <w:rsid w:val="00916D00"/>
    <w:rsid w:val="00936B0E"/>
    <w:rsid w:val="00962966"/>
    <w:rsid w:val="00995F94"/>
    <w:rsid w:val="009A6D68"/>
    <w:rsid w:val="009D7CB1"/>
    <w:rsid w:val="009E35D2"/>
    <w:rsid w:val="009F50B3"/>
    <w:rsid w:val="00A1004A"/>
    <w:rsid w:val="00A312B2"/>
    <w:rsid w:val="00AF69CB"/>
    <w:rsid w:val="00B035AA"/>
    <w:rsid w:val="00B0579C"/>
    <w:rsid w:val="00B077EB"/>
    <w:rsid w:val="00B15782"/>
    <w:rsid w:val="00B1740E"/>
    <w:rsid w:val="00B1769F"/>
    <w:rsid w:val="00B30F67"/>
    <w:rsid w:val="00B3728A"/>
    <w:rsid w:val="00B55D8B"/>
    <w:rsid w:val="00B6593B"/>
    <w:rsid w:val="00B7613B"/>
    <w:rsid w:val="00B77826"/>
    <w:rsid w:val="00B9498B"/>
    <w:rsid w:val="00BA74E8"/>
    <w:rsid w:val="00BB138D"/>
    <w:rsid w:val="00BC304E"/>
    <w:rsid w:val="00BD631F"/>
    <w:rsid w:val="00BF1508"/>
    <w:rsid w:val="00C219C6"/>
    <w:rsid w:val="00C30DEB"/>
    <w:rsid w:val="00C42511"/>
    <w:rsid w:val="00C55F20"/>
    <w:rsid w:val="00C656E2"/>
    <w:rsid w:val="00C86F63"/>
    <w:rsid w:val="00CA058E"/>
    <w:rsid w:val="00CA3606"/>
    <w:rsid w:val="00CA5836"/>
    <w:rsid w:val="00CD02C4"/>
    <w:rsid w:val="00CD56F3"/>
    <w:rsid w:val="00CD5706"/>
    <w:rsid w:val="00CE5B5C"/>
    <w:rsid w:val="00CF12BB"/>
    <w:rsid w:val="00D023DD"/>
    <w:rsid w:val="00D10603"/>
    <w:rsid w:val="00DA58B9"/>
    <w:rsid w:val="00DC1538"/>
    <w:rsid w:val="00DD0028"/>
    <w:rsid w:val="00DD565E"/>
    <w:rsid w:val="00DE3530"/>
    <w:rsid w:val="00DF64A7"/>
    <w:rsid w:val="00E256EC"/>
    <w:rsid w:val="00E60D06"/>
    <w:rsid w:val="00E65890"/>
    <w:rsid w:val="00EA2FB3"/>
    <w:rsid w:val="00EB0131"/>
    <w:rsid w:val="00EC5DEF"/>
    <w:rsid w:val="00EC7791"/>
    <w:rsid w:val="00EE0955"/>
    <w:rsid w:val="00EF3C6C"/>
    <w:rsid w:val="00F15ECA"/>
    <w:rsid w:val="00F204FB"/>
    <w:rsid w:val="00F375E3"/>
    <w:rsid w:val="00F45605"/>
    <w:rsid w:val="00F540C1"/>
    <w:rsid w:val="00F91A49"/>
    <w:rsid w:val="00FB20AF"/>
    <w:rsid w:val="00FC4F4F"/>
    <w:rsid w:val="00FC6FDE"/>
    <w:rsid w:val="00FD1820"/>
    <w:rsid w:val="00FD6CA3"/>
    <w:rsid w:val="00FE0DE0"/>
    <w:rsid w:val="00FE3E17"/>
    <w:rsid w:val="00FE4206"/>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378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toc1,l1,I1,1,l11,h11,l12,h12,l111,h111,Überschrift 1 Char,h1 Char,H1 Char,l1 Char,título 1,t¨ªtulo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link w:val="FootnoteTextChar"/>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 w:type="character" w:customStyle="1" w:styleId="Heading1Char">
    <w:name w:val="Heading 1 Char"/>
    <w:aliases w:val="h1 Char1,1st level Char,toc1 Char,l1 Char1,I1 Char,1 Char,l11 Char,h11 Char,l12 Char,h12 Char,l111 Char,h111 Char,Überschrift 1 Char Char,h1 Char Char,H1 Char Char,l1 Char Char,título 1 Char,t¨ªtulo 1 Char"/>
    <w:basedOn w:val="DefaultParagraphFont"/>
    <w:link w:val="Heading1"/>
    <w:rsid w:val="00D023DD"/>
    <w:rPr>
      <w:b/>
      <w:sz w:val="24"/>
      <w:lang w:val="en-GB" w:eastAsia="en-US"/>
    </w:rPr>
  </w:style>
  <w:style w:type="paragraph" w:customStyle="1" w:styleId="CorrectionSeparatorBegin">
    <w:name w:val="Correction Separator Begin"/>
    <w:basedOn w:val="Normal"/>
    <w:rsid w:val="00D023DD"/>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Correctionend">
    <w:name w:val="Correction end"/>
    <w:basedOn w:val="Normal"/>
    <w:rsid w:val="00D023DD"/>
    <w:pPr>
      <w:pBdr>
        <w:top w:val="single" w:sz="12" w:space="1" w:color="auto"/>
      </w:pBdr>
      <w:overflowPunct/>
      <w:autoSpaceDE/>
      <w:autoSpaceDN/>
      <w:adjustRightInd/>
      <w:spacing w:before="360"/>
      <w:ind w:left="1440" w:right="1469"/>
      <w:jc w:val="center"/>
      <w:textAlignment w:val="auto"/>
    </w:pPr>
    <w:rPr>
      <w:b/>
      <w:i/>
      <w:color w:val="000000"/>
      <w:sz w:val="20"/>
      <w:lang w:val="en-US"/>
    </w:rPr>
  </w:style>
  <w:style w:type="character" w:styleId="Hyperlink">
    <w:name w:val="Hyperlink"/>
    <w:basedOn w:val="DefaultParagraphFont"/>
    <w:rsid w:val="00D023DD"/>
    <w:rPr>
      <w:color w:val="0000FF"/>
      <w:u w:val="single"/>
    </w:rPr>
  </w:style>
  <w:style w:type="table" w:customStyle="1" w:styleId="TableGrid1">
    <w:name w:val="Table Grid1"/>
    <w:basedOn w:val="TableNormal"/>
    <w:next w:val="TableGrid"/>
    <w:rsid w:val="00D023DD"/>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
    <w:name w:val="Footnote Text Char"/>
    <w:basedOn w:val="DefaultParagraphFont"/>
    <w:link w:val="FootnoteText"/>
    <w:semiHidden/>
    <w:rsid w:val="00B55D8B"/>
    <w:rPr>
      <w:sz w:val="24"/>
      <w:lang w:val="en-GB" w:eastAsia="en-US"/>
    </w:rPr>
  </w:style>
  <w:style w:type="paragraph" w:customStyle="1" w:styleId="bullet">
    <w:name w:val="bullet"/>
    <w:basedOn w:val="Normal"/>
    <w:rsid w:val="00B55D8B"/>
    <w:pPr>
      <w:numPr>
        <w:numId w:val="20"/>
      </w:numPr>
    </w:pPr>
  </w:style>
  <w:style w:type="paragraph" w:styleId="ListParagraph">
    <w:name w:val="List Paragraph"/>
    <w:basedOn w:val="Normal"/>
    <w:uiPriority w:val="34"/>
    <w:qFormat/>
    <w:rsid w:val="00B55D8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s>
</file>

<file path=word/webSettings.xml><?xml version="1.0" encoding="utf-8"?>
<w:webSettings xmlns:r="http://schemas.openxmlformats.org/officeDocument/2006/relationships" xmlns:w="http://schemas.openxmlformats.org/wordprocessingml/2006/main">
  <w:divs>
    <w:div w:id="55053938">
      <w:bodyDiv w:val="1"/>
      <w:marLeft w:val="0"/>
      <w:marRight w:val="0"/>
      <w:marTop w:val="0"/>
      <w:marBottom w:val="0"/>
      <w:divBdr>
        <w:top w:val="none" w:sz="0" w:space="0" w:color="auto"/>
        <w:left w:val="none" w:sz="0" w:space="0" w:color="auto"/>
        <w:bottom w:val="none" w:sz="0" w:space="0" w:color="auto"/>
        <w:right w:val="none" w:sz="0" w:space="0" w:color="auto"/>
      </w:divBdr>
    </w:div>
    <w:div w:id="354232137">
      <w:bodyDiv w:val="1"/>
      <w:marLeft w:val="0"/>
      <w:marRight w:val="0"/>
      <w:marTop w:val="0"/>
      <w:marBottom w:val="0"/>
      <w:divBdr>
        <w:top w:val="none" w:sz="0" w:space="0" w:color="auto"/>
        <w:left w:val="none" w:sz="0" w:space="0" w:color="auto"/>
        <w:bottom w:val="none" w:sz="0" w:space="0" w:color="auto"/>
        <w:right w:val="none" w:sz="0" w:space="0" w:color="auto"/>
      </w:divBdr>
      <w:divsChild>
        <w:div w:id="104347750">
          <w:marLeft w:val="274"/>
          <w:marRight w:val="0"/>
          <w:marTop w:val="77"/>
          <w:marBottom w:val="120"/>
          <w:divBdr>
            <w:top w:val="none" w:sz="0" w:space="0" w:color="auto"/>
            <w:left w:val="none" w:sz="0" w:space="0" w:color="auto"/>
            <w:bottom w:val="none" w:sz="0" w:space="0" w:color="auto"/>
            <w:right w:val="none" w:sz="0" w:space="0" w:color="auto"/>
          </w:divBdr>
        </w:div>
        <w:div w:id="890310792">
          <w:marLeft w:val="907"/>
          <w:marRight w:val="0"/>
          <w:marTop w:val="38"/>
          <w:marBottom w:val="120"/>
          <w:divBdr>
            <w:top w:val="none" w:sz="0" w:space="0" w:color="auto"/>
            <w:left w:val="none" w:sz="0" w:space="0" w:color="auto"/>
            <w:bottom w:val="none" w:sz="0" w:space="0" w:color="auto"/>
            <w:right w:val="none" w:sz="0" w:space="0" w:color="auto"/>
          </w:divBdr>
        </w:div>
        <w:div w:id="1229996279">
          <w:marLeft w:val="907"/>
          <w:marRight w:val="0"/>
          <w:marTop w:val="38"/>
          <w:marBottom w:val="120"/>
          <w:divBdr>
            <w:top w:val="none" w:sz="0" w:space="0" w:color="auto"/>
            <w:left w:val="none" w:sz="0" w:space="0" w:color="auto"/>
            <w:bottom w:val="none" w:sz="0" w:space="0" w:color="auto"/>
            <w:right w:val="none" w:sz="0" w:space="0" w:color="auto"/>
          </w:divBdr>
        </w:div>
        <w:div w:id="1623029635">
          <w:marLeft w:val="907"/>
          <w:marRight w:val="0"/>
          <w:marTop w:val="38"/>
          <w:marBottom w:val="120"/>
          <w:divBdr>
            <w:top w:val="none" w:sz="0" w:space="0" w:color="auto"/>
            <w:left w:val="none" w:sz="0" w:space="0" w:color="auto"/>
            <w:bottom w:val="none" w:sz="0" w:space="0" w:color="auto"/>
            <w:right w:val="none" w:sz="0" w:space="0" w:color="auto"/>
          </w:divBdr>
        </w:div>
        <w:div w:id="106585038">
          <w:marLeft w:val="907"/>
          <w:marRight w:val="0"/>
          <w:marTop w:val="38"/>
          <w:marBottom w:val="120"/>
          <w:divBdr>
            <w:top w:val="none" w:sz="0" w:space="0" w:color="auto"/>
            <w:left w:val="none" w:sz="0" w:space="0" w:color="auto"/>
            <w:bottom w:val="none" w:sz="0" w:space="0" w:color="auto"/>
            <w:right w:val="none" w:sz="0" w:space="0" w:color="auto"/>
          </w:divBdr>
        </w:div>
        <w:div w:id="565843533">
          <w:marLeft w:val="907"/>
          <w:marRight w:val="0"/>
          <w:marTop w:val="38"/>
          <w:marBottom w:val="120"/>
          <w:divBdr>
            <w:top w:val="none" w:sz="0" w:space="0" w:color="auto"/>
            <w:left w:val="none" w:sz="0" w:space="0" w:color="auto"/>
            <w:bottom w:val="none" w:sz="0" w:space="0" w:color="auto"/>
            <w:right w:val="none" w:sz="0" w:space="0" w:color="auto"/>
          </w:divBdr>
        </w:div>
        <w:div w:id="107090662">
          <w:marLeft w:val="907"/>
          <w:marRight w:val="0"/>
          <w:marTop w:val="38"/>
          <w:marBottom w:val="120"/>
          <w:divBdr>
            <w:top w:val="none" w:sz="0" w:space="0" w:color="auto"/>
            <w:left w:val="none" w:sz="0" w:space="0" w:color="auto"/>
            <w:bottom w:val="none" w:sz="0" w:space="0" w:color="auto"/>
            <w:right w:val="none" w:sz="0" w:space="0" w:color="auto"/>
          </w:divBdr>
        </w:div>
      </w:divsChild>
    </w:div>
    <w:div w:id="442655840">
      <w:bodyDiv w:val="1"/>
      <w:marLeft w:val="0"/>
      <w:marRight w:val="0"/>
      <w:marTop w:val="0"/>
      <w:marBottom w:val="0"/>
      <w:divBdr>
        <w:top w:val="none" w:sz="0" w:space="0" w:color="auto"/>
        <w:left w:val="none" w:sz="0" w:space="0" w:color="auto"/>
        <w:bottom w:val="none" w:sz="0" w:space="0" w:color="auto"/>
        <w:right w:val="none" w:sz="0" w:space="0" w:color="auto"/>
      </w:divBdr>
    </w:div>
    <w:div w:id="457333469">
      <w:bodyDiv w:val="1"/>
      <w:marLeft w:val="0"/>
      <w:marRight w:val="0"/>
      <w:marTop w:val="0"/>
      <w:marBottom w:val="0"/>
      <w:divBdr>
        <w:top w:val="none" w:sz="0" w:space="0" w:color="auto"/>
        <w:left w:val="none" w:sz="0" w:space="0" w:color="auto"/>
        <w:bottom w:val="none" w:sz="0" w:space="0" w:color="auto"/>
        <w:right w:val="none" w:sz="0" w:space="0" w:color="auto"/>
      </w:divBdr>
    </w:div>
    <w:div w:id="471826377">
      <w:bodyDiv w:val="1"/>
      <w:marLeft w:val="0"/>
      <w:marRight w:val="0"/>
      <w:marTop w:val="0"/>
      <w:marBottom w:val="0"/>
      <w:divBdr>
        <w:top w:val="none" w:sz="0" w:space="0" w:color="auto"/>
        <w:left w:val="none" w:sz="0" w:space="0" w:color="auto"/>
        <w:bottom w:val="none" w:sz="0" w:space="0" w:color="auto"/>
        <w:right w:val="none" w:sz="0" w:space="0" w:color="auto"/>
      </w:divBdr>
    </w:div>
    <w:div w:id="641228693">
      <w:bodyDiv w:val="1"/>
      <w:marLeft w:val="0"/>
      <w:marRight w:val="0"/>
      <w:marTop w:val="0"/>
      <w:marBottom w:val="0"/>
      <w:divBdr>
        <w:top w:val="none" w:sz="0" w:space="0" w:color="auto"/>
        <w:left w:val="none" w:sz="0" w:space="0" w:color="auto"/>
        <w:bottom w:val="none" w:sz="0" w:space="0" w:color="auto"/>
        <w:right w:val="none" w:sz="0" w:space="0" w:color="auto"/>
      </w:divBdr>
    </w:div>
    <w:div w:id="815954233">
      <w:bodyDiv w:val="1"/>
      <w:marLeft w:val="0"/>
      <w:marRight w:val="0"/>
      <w:marTop w:val="0"/>
      <w:marBottom w:val="0"/>
      <w:divBdr>
        <w:top w:val="none" w:sz="0" w:space="0" w:color="auto"/>
        <w:left w:val="none" w:sz="0" w:space="0" w:color="auto"/>
        <w:bottom w:val="none" w:sz="0" w:space="0" w:color="auto"/>
        <w:right w:val="none" w:sz="0" w:space="0" w:color="auto"/>
      </w:divBdr>
    </w:div>
    <w:div w:id="866911054">
      <w:bodyDiv w:val="1"/>
      <w:marLeft w:val="0"/>
      <w:marRight w:val="0"/>
      <w:marTop w:val="0"/>
      <w:marBottom w:val="0"/>
      <w:divBdr>
        <w:top w:val="none" w:sz="0" w:space="0" w:color="auto"/>
        <w:left w:val="none" w:sz="0" w:space="0" w:color="auto"/>
        <w:bottom w:val="none" w:sz="0" w:space="0" w:color="auto"/>
        <w:right w:val="none" w:sz="0" w:space="0" w:color="auto"/>
      </w:divBdr>
    </w:div>
    <w:div w:id="960503347">
      <w:bodyDiv w:val="1"/>
      <w:marLeft w:val="0"/>
      <w:marRight w:val="0"/>
      <w:marTop w:val="0"/>
      <w:marBottom w:val="0"/>
      <w:divBdr>
        <w:top w:val="none" w:sz="0" w:space="0" w:color="auto"/>
        <w:left w:val="none" w:sz="0" w:space="0" w:color="auto"/>
        <w:bottom w:val="none" w:sz="0" w:space="0" w:color="auto"/>
        <w:right w:val="none" w:sz="0" w:space="0" w:color="auto"/>
      </w:divBdr>
    </w:div>
    <w:div w:id="983505507">
      <w:bodyDiv w:val="1"/>
      <w:marLeft w:val="0"/>
      <w:marRight w:val="0"/>
      <w:marTop w:val="0"/>
      <w:marBottom w:val="0"/>
      <w:divBdr>
        <w:top w:val="none" w:sz="0" w:space="0" w:color="auto"/>
        <w:left w:val="none" w:sz="0" w:space="0" w:color="auto"/>
        <w:bottom w:val="none" w:sz="0" w:space="0" w:color="auto"/>
        <w:right w:val="none" w:sz="0" w:space="0" w:color="auto"/>
      </w:divBdr>
    </w:div>
    <w:div w:id="1143961383">
      <w:bodyDiv w:val="1"/>
      <w:marLeft w:val="0"/>
      <w:marRight w:val="0"/>
      <w:marTop w:val="0"/>
      <w:marBottom w:val="0"/>
      <w:divBdr>
        <w:top w:val="none" w:sz="0" w:space="0" w:color="auto"/>
        <w:left w:val="none" w:sz="0" w:space="0" w:color="auto"/>
        <w:bottom w:val="none" w:sz="0" w:space="0" w:color="auto"/>
        <w:right w:val="none" w:sz="0" w:space="0" w:color="auto"/>
      </w:divBdr>
    </w:div>
    <w:div w:id="1171337950">
      <w:bodyDiv w:val="1"/>
      <w:marLeft w:val="0"/>
      <w:marRight w:val="0"/>
      <w:marTop w:val="0"/>
      <w:marBottom w:val="0"/>
      <w:divBdr>
        <w:top w:val="none" w:sz="0" w:space="0" w:color="auto"/>
        <w:left w:val="none" w:sz="0" w:space="0" w:color="auto"/>
        <w:bottom w:val="none" w:sz="0" w:space="0" w:color="auto"/>
        <w:right w:val="none" w:sz="0" w:space="0" w:color="auto"/>
      </w:divBdr>
    </w:div>
    <w:div w:id="1388918312">
      <w:bodyDiv w:val="1"/>
      <w:marLeft w:val="0"/>
      <w:marRight w:val="0"/>
      <w:marTop w:val="0"/>
      <w:marBottom w:val="0"/>
      <w:divBdr>
        <w:top w:val="none" w:sz="0" w:space="0" w:color="auto"/>
        <w:left w:val="none" w:sz="0" w:space="0" w:color="auto"/>
        <w:bottom w:val="none" w:sz="0" w:space="0" w:color="auto"/>
        <w:right w:val="none" w:sz="0" w:space="0" w:color="auto"/>
      </w:divBdr>
    </w:div>
    <w:div w:id="1560749435">
      <w:bodyDiv w:val="1"/>
      <w:marLeft w:val="0"/>
      <w:marRight w:val="0"/>
      <w:marTop w:val="0"/>
      <w:marBottom w:val="0"/>
      <w:divBdr>
        <w:top w:val="none" w:sz="0" w:space="0" w:color="auto"/>
        <w:left w:val="none" w:sz="0" w:space="0" w:color="auto"/>
        <w:bottom w:val="none" w:sz="0" w:space="0" w:color="auto"/>
        <w:right w:val="none" w:sz="0" w:space="0" w:color="auto"/>
      </w:divBdr>
    </w:div>
    <w:div w:id="1780686046">
      <w:bodyDiv w:val="1"/>
      <w:marLeft w:val="0"/>
      <w:marRight w:val="0"/>
      <w:marTop w:val="0"/>
      <w:marBottom w:val="0"/>
      <w:divBdr>
        <w:top w:val="none" w:sz="0" w:space="0" w:color="auto"/>
        <w:left w:val="none" w:sz="0" w:space="0" w:color="auto"/>
        <w:bottom w:val="none" w:sz="0" w:space="0" w:color="auto"/>
        <w:right w:val="none" w:sz="0" w:space="0" w:color="auto"/>
      </w:divBdr>
    </w:div>
    <w:div w:id="1951281476">
      <w:bodyDiv w:val="1"/>
      <w:marLeft w:val="0"/>
      <w:marRight w:val="0"/>
      <w:marTop w:val="0"/>
      <w:marBottom w:val="0"/>
      <w:divBdr>
        <w:top w:val="none" w:sz="0" w:space="0" w:color="auto"/>
        <w:left w:val="none" w:sz="0" w:space="0" w:color="auto"/>
        <w:bottom w:val="none" w:sz="0" w:space="0" w:color="auto"/>
        <w:right w:val="none" w:sz="0" w:space="0" w:color="auto"/>
      </w:divBdr>
      <w:divsChild>
        <w:div w:id="721442063">
          <w:marLeft w:val="274"/>
          <w:marRight w:val="0"/>
          <w:marTop w:val="77"/>
          <w:marBottom w:val="120"/>
          <w:divBdr>
            <w:top w:val="none" w:sz="0" w:space="0" w:color="auto"/>
            <w:left w:val="none" w:sz="0" w:space="0" w:color="auto"/>
            <w:bottom w:val="none" w:sz="0" w:space="0" w:color="auto"/>
            <w:right w:val="none" w:sz="0" w:space="0" w:color="auto"/>
          </w:divBdr>
        </w:div>
        <w:div w:id="1357005431">
          <w:marLeft w:val="907"/>
          <w:marRight w:val="0"/>
          <w:marTop w:val="38"/>
          <w:marBottom w:val="120"/>
          <w:divBdr>
            <w:top w:val="none" w:sz="0" w:space="0" w:color="auto"/>
            <w:left w:val="none" w:sz="0" w:space="0" w:color="auto"/>
            <w:bottom w:val="none" w:sz="0" w:space="0" w:color="auto"/>
            <w:right w:val="none" w:sz="0" w:space="0" w:color="auto"/>
          </w:divBdr>
        </w:div>
        <w:div w:id="2063628135">
          <w:marLeft w:val="907"/>
          <w:marRight w:val="0"/>
          <w:marTop w:val="38"/>
          <w:marBottom w:val="120"/>
          <w:divBdr>
            <w:top w:val="none" w:sz="0" w:space="0" w:color="auto"/>
            <w:left w:val="none" w:sz="0" w:space="0" w:color="auto"/>
            <w:bottom w:val="none" w:sz="0" w:space="0" w:color="auto"/>
            <w:right w:val="none" w:sz="0" w:space="0" w:color="auto"/>
          </w:divBdr>
        </w:div>
        <w:div w:id="1527475031">
          <w:marLeft w:val="907"/>
          <w:marRight w:val="0"/>
          <w:marTop w:val="38"/>
          <w:marBottom w:val="120"/>
          <w:divBdr>
            <w:top w:val="none" w:sz="0" w:space="0" w:color="auto"/>
            <w:left w:val="none" w:sz="0" w:space="0" w:color="auto"/>
            <w:bottom w:val="none" w:sz="0" w:space="0" w:color="auto"/>
            <w:right w:val="none" w:sz="0" w:space="0" w:color="auto"/>
          </w:divBdr>
        </w:div>
        <w:div w:id="520239186">
          <w:marLeft w:val="907"/>
          <w:marRight w:val="0"/>
          <w:marTop w:val="38"/>
          <w:marBottom w:val="120"/>
          <w:divBdr>
            <w:top w:val="none" w:sz="0" w:space="0" w:color="auto"/>
            <w:left w:val="none" w:sz="0" w:space="0" w:color="auto"/>
            <w:bottom w:val="none" w:sz="0" w:space="0" w:color="auto"/>
            <w:right w:val="none" w:sz="0" w:space="0" w:color="auto"/>
          </w:divBdr>
        </w:div>
        <w:div w:id="834033637">
          <w:marLeft w:val="907"/>
          <w:marRight w:val="0"/>
          <w:marTop w:val="38"/>
          <w:marBottom w:val="120"/>
          <w:divBdr>
            <w:top w:val="none" w:sz="0" w:space="0" w:color="auto"/>
            <w:left w:val="none" w:sz="0" w:space="0" w:color="auto"/>
            <w:bottom w:val="none" w:sz="0" w:space="0" w:color="auto"/>
            <w:right w:val="none" w:sz="0" w:space="0" w:color="auto"/>
          </w:divBdr>
        </w:div>
        <w:div w:id="2089500452">
          <w:marLeft w:val="907"/>
          <w:marRight w:val="0"/>
          <w:marTop w:val="38"/>
          <w:marBottom w:val="120"/>
          <w:divBdr>
            <w:top w:val="none" w:sz="0" w:space="0" w:color="auto"/>
            <w:left w:val="none" w:sz="0" w:space="0" w:color="auto"/>
            <w:bottom w:val="none" w:sz="0" w:space="0" w:color="auto"/>
            <w:right w:val="none" w:sz="0" w:space="0" w:color="auto"/>
          </w:divBdr>
        </w:div>
      </w:divsChild>
    </w:div>
    <w:div w:id="1959488776">
      <w:bodyDiv w:val="1"/>
      <w:marLeft w:val="0"/>
      <w:marRight w:val="0"/>
      <w:marTop w:val="0"/>
      <w:marBottom w:val="0"/>
      <w:divBdr>
        <w:top w:val="none" w:sz="0" w:space="0" w:color="auto"/>
        <w:left w:val="none" w:sz="0" w:space="0" w:color="auto"/>
        <w:bottom w:val="none" w:sz="0" w:space="0" w:color="auto"/>
        <w:right w:val="none" w:sz="0" w:space="0" w:color="auto"/>
      </w:divBdr>
    </w:div>
    <w:div w:id="2064255281">
      <w:bodyDiv w:val="1"/>
      <w:marLeft w:val="0"/>
      <w:marRight w:val="0"/>
      <w:marTop w:val="0"/>
      <w:marBottom w:val="0"/>
      <w:divBdr>
        <w:top w:val="none" w:sz="0" w:space="0" w:color="auto"/>
        <w:left w:val="none" w:sz="0" w:space="0" w:color="auto"/>
        <w:bottom w:val="none" w:sz="0" w:space="0" w:color="auto"/>
        <w:right w:val="none" w:sz="0" w:space="0" w:color="auto"/>
      </w:divBdr>
    </w:div>
    <w:div w:id="2128353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F332E-2874-48C2-B181-42F109E87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858</Words>
  <Characters>5226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6072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dc:creator>
  <cp:lastModifiedBy>ALU</cp:lastModifiedBy>
  <cp:revision>67</cp:revision>
  <cp:lastPrinted>2012-12-19T10:29:00Z</cp:lastPrinted>
  <dcterms:created xsi:type="dcterms:W3CDTF">2012-12-03T12:05:00Z</dcterms:created>
  <dcterms:modified xsi:type="dcterms:W3CDTF">2012-12-20T12:59:00Z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xx – E</vt:lpwstr>
  </property>
  <property fmtid="{D5CDD505-2E9C-101B-9397-08002B2CF9AE}" pid="3" name="Docdate">
    <vt:lpwstr>October 2011</vt:lpwstr>
  </property>
  <property fmtid="{D5CDD505-2E9C-101B-9397-08002B2CF9AE}" pid="4" name="Docorlang">
    <vt:lpwstr>English only Original: English</vt:lpwstr>
  </property>
  <property fmtid="{D5CDD505-2E9C-101B-9397-08002B2CF9AE}" pid="5" name="Docbluepink">
    <vt:lpwstr>X/16</vt:lpwstr>
  </property>
  <property fmtid="{D5CDD505-2E9C-101B-9397-08002B2CF9AE}" pid="6" name="Docdest">
    <vt:lpwstr/>
  </property>
  <property fmtid="{D5CDD505-2E9C-101B-9397-08002B2CF9AE}" pid="7" name="Docauthor">
    <vt:lpwstr>&lt;INSERT SOURCE(S)&gt;</vt:lpwstr>
  </property>
</Properties>
</file>