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7D5F32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 xml:space="preserve">3, 5, </w:t>
            </w:r>
            <w:r w:rsidR="007D5F32">
              <w:rPr>
                <w:b/>
                <w:smallCaps/>
                <w:sz w:val="20"/>
                <w:szCs w:val="19"/>
              </w:rPr>
              <w:t>12, 21 and 22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4C1A9F" w:rsidP="00E067AB">
            <w:pPr>
              <w:spacing w:before="0"/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TD-2</w:t>
            </w:r>
            <w:r w:rsidR="00E067AB">
              <w:rPr>
                <w:b/>
                <w:bCs/>
                <w:sz w:val="40"/>
              </w:rPr>
              <w:t>8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0565D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</w:t>
            </w:r>
            <w:r w:rsidR="00D0565D" w:rsidRPr="00A14FB6">
              <w:rPr>
                <w:sz w:val="20"/>
              </w:rPr>
              <w:t>9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FB04D8" w:rsidP="006C499C">
            <w:r>
              <w:t>2</w:t>
            </w:r>
            <w:r w:rsidR="008616A2">
              <w:t>/16</w:t>
            </w:r>
          </w:p>
        </w:tc>
        <w:tc>
          <w:tcPr>
            <w:tcW w:w="5276" w:type="dxa"/>
            <w:gridSpan w:val="3"/>
          </w:tcPr>
          <w:p w:rsidR="006C499C" w:rsidRPr="00A14FB6" w:rsidRDefault="007D5F32" w:rsidP="007D5F32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Brisbane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8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September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4C1A9F" w:rsidP="006C499C">
            <w:r>
              <w:t>GNU Gatekeeper Project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4C1A9F" w:rsidP="00E067AB">
            <w:pPr>
              <w:spacing w:after="120"/>
            </w:pPr>
            <w:r>
              <w:t>Proposed Amendment to H.</w:t>
            </w:r>
            <w:r w:rsidR="00E067AB">
              <w:t>225.0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FB04D8" w:rsidP="006C499C">
            <w:pPr>
              <w:spacing w:after="120"/>
            </w:pPr>
            <w:r>
              <w:t>Proposal</w:t>
            </w:r>
          </w:p>
        </w:tc>
      </w:tr>
      <w:bookmarkEnd w:id="1"/>
      <w:bookmarkEnd w:id="9"/>
    </w:tbl>
    <w:p w:rsidR="006C499C" w:rsidRPr="00A14FB6" w:rsidRDefault="006C499C" w:rsidP="006C499C"/>
    <w:p w:rsidR="006C499C" w:rsidRPr="00A14FB6" w:rsidRDefault="006C499C" w:rsidP="006C499C">
      <w:pPr>
        <w:pStyle w:val="Headingb"/>
      </w:pPr>
      <w:r w:rsidRPr="00A14FB6">
        <w:t>Summary</w:t>
      </w:r>
    </w:p>
    <w:p w:rsidR="006C499C" w:rsidRDefault="004C1A9F">
      <w:r>
        <w:t>This amendment formalizes the widely implemented call transfer mechanism in H.323 that relies upon the FACILITY message with a reason of “</w:t>
      </w:r>
      <w:proofErr w:type="spellStart"/>
      <w:r>
        <w:t>callForwarded</w:t>
      </w:r>
      <w:proofErr w:type="spellEnd"/>
      <w:r>
        <w:t>”.</w:t>
      </w:r>
    </w:p>
    <w:p w:rsidR="004C1A9F" w:rsidRPr="00A14FB6" w:rsidRDefault="004C1A9F">
      <w:r>
        <w:br w:type="column"/>
      </w:r>
    </w:p>
    <w:p w:rsidR="004C1A9F" w:rsidRPr="004C1A9F" w:rsidRDefault="004C1A9F" w:rsidP="004C1A9F">
      <w:pPr>
        <w:rPr>
          <w:b/>
        </w:rPr>
      </w:pPr>
      <w:r w:rsidRPr="004C1A9F">
        <w:rPr>
          <w:b/>
        </w:rPr>
        <w:t>Recommendation ITU-T H.</w:t>
      </w:r>
      <w:r w:rsidR="00E067AB">
        <w:rPr>
          <w:b/>
        </w:rPr>
        <w:t>225.0</w:t>
      </w:r>
    </w:p>
    <w:p w:rsidR="004C1A9F" w:rsidRDefault="004C1A9F" w:rsidP="004C1A9F"/>
    <w:p w:rsidR="004C1A9F" w:rsidRDefault="00E067AB" w:rsidP="004C1A9F">
      <w:pPr>
        <w:jc w:val="center"/>
        <w:rPr>
          <w:b/>
        </w:rPr>
      </w:pPr>
      <w:r w:rsidRPr="00E067AB">
        <w:rPr>
          <w:b/>
        </w:rPr>
        <w:t xml:space="preserve">Call signalling protocols and media stream </w:t>
      </w:r>
      <w:proofErr w:type="spellStart"/>
      <w:r w:rsidRPr="00E067AB">
        <w:rPr>
          <w:b/>
        </w:rPr>
        <w:t>packetization</w:t>
      </w:r>
      <w:proofErr w:type="spellEnd"/>
      <w:r w:rsidRPr="00E067AB">
        <w:rPr>
          <w:b/>
        </w:rPr>
        <w:t xml:space="preserve"> for packet-based multimedia communication systems  </w:t>
      </w:r>
    </w:p>
    <w:p w:rsidR="004C1A9F" w:rsidRDefault="004C1A9F" w:rsidP="004C1A9F">
      <w:pPr>
        <w:jc w:val="center"/>
        <w:rPr>
          <w:b/>
        </w:rPr>
      </w:pPr>
    </w:p>
    <w:p w:rsidR="004C1A9F" w:rsidRPr="004C1A9F" w:rsidRDefault="004C1A9F" w:rsidP="004C1A9F">
      <w:pPr>
        <w:jc w:val="center"/>
        <w:rPr>
          <w:b/>
        </w:rPr>
      </w:pPr>
      <w:r>
        <w:rPr>
          <w:b/>
        </w:rPr>
        <w:t>Amendment 1</w:t>
      </w:r>
    </w:p>
    <w:p w:rsidR="006C499C" w:rsidRPr="00A14FB6" w:rsidRDefault="004C1A9F" w:rsidP="00E067AB">
      <w:pPr>
        <w:pStyle w:val="Heading1"/>
      </w:pPr>
      <w:r>
        <w:t xml:space="preserve">Changes to Clause </w:t>
      </w:r>
      <w:r w:rsidR="00E067AB" w:rsidRPr="00E067AB">
        <w:t>7.2.2.16</w:t>
      </w:r>
    </w:p>
    <w:p w:rsidR="00E067AB" w:rsidRDefault="00E067AB" w:rsidP="00E067AB">
      <w:r>
        <w:t>7.2.2.16</w:t>
      </w:r>
      <w:r>
        <w:t xml:space="preserve"> </w:t>
      </w:r>
      <w:r>
        <w:t>Facility</w:t>
      </w:r>
    </w:p>
    <w:p w:rsidR="00E067AB" w:rsidRDefault="00E067AB" w:rsidP="00E067AB">
      <w:r>
        <w:t xml:space="preserve">In order to signal call redirection specific to H.323 procedures (call forwarding, </w:t>
      </w:r>
      <w:r w:rsidRPr="00E067AB">
        <w:rPr>
          <w:u w:val="single"/>
        </w:rPr>
        <w:t>call transfer,</w:t>
      </w:r>
      <w:r>
        <w:t xml:space="preserve"> redirecting a call to the MC, or forcing a call to be routed to the gatekeeper) or in case of supplementary service signalling according to ITU-T Rec. H.450, the User-user information element of the Facility message is used. This particular case shall be indicated by coding a Facility IE of length zero; i.e., the Facility information element shall consist of exactly 2 octets as follows:</w:t>
      </w:r>
    </w:p>
    <w:p w:rsidR="00E067AB" w:rsidRDefault="00E067AB" w:rsidP="00E067AB">
      <w:pPr>
        <w:ind w:left="810" w:hanging="810"/>
      </w:pPr>
      <w:r>
        <w:t>•</w:t>
      </w:r>
      <w:r>
        <w:tab/>
      </w:r>
      <w:r>
        <w:t>Octet No. 1 (information element identifier) shall be set to "00011100" ("1C'H) to indicate</w:t>
      </w:r>
      <w:r>
        <w:t xml:space="preserve"> </w:t>
      </w:r>
      <w:r>
        <w:t>the Facility IE.</w:t>
      </w:r>
    </w:p>
    <w:p w:rsidR="00E067AB" w:rsidRDefault="00E067AB" w:rsidP="00E067AB">
      <w:pPr>
        <w:ind w:left="810" w:hanging="810"/>
      </w:pPr>
      <w:r>
        <w:t>•</w:t>
      </w:r>
      <w:r>
        <w:tab/>
      </w:r>
      <w:r>
        <w:t>Octet No. 2 (information element length) shall be set to "0" to indicate that no further octets</w:t>
      </w:r>
      <w:r>
        <w:t xml:space="preserve"> </w:t>
      </w:r>
      <w:r>
        <w:t>belonging to this information element follow.</w:t>
      </w:r>
    </w:p>
    <w:p w:rsidR="00E067AB" w:rsidRDefault="00E067AB" w:rsidP="00E067AB">
      <w:r>
        <w:t xml:space="preserve">In order to indicate call forwarding </w:t>
      </w:r>
      <w:r w:rsidRPr="00E067AB">
        <w:rPr>
          <w:u w:val="single"/>
        </w:rPr>
        <w:t>or call transfer</w:t>
      </w:r>
      <w:r>
        <w:t xml:space="preserve">, the Facility IE shall be empty and the Facility-UUIE shall indicate in the </w:t>
      </w:r>
      <w:proofErr w:type="spellStart"/>
      <w:r>
        <w:t>alternativeAddress</w:t>
      </w:r>
      <w:proofErr w:type="spellEnd"/>
      <w:r>
        <w:t xml:space="preserve"> or the </w:t>
      </w:r>
      <w:proofErr w:type="spellStart"/>
      <w:r>
        <w:t>alternativeAliasAddress</w:t>
      </w:r>
      <w:proofErr w:type="spellEnd"/>
      <w:r>
        <w:t xml:space="preserve"> the terminal to which the call is to be redirected. In this case, the </w:t>
      </w:r>
      <w:proofErr w:type="spellStart"/>
      <w:r>
        <w:t>facilityReason</w:t>
      </w:r>
      <w:proofErr w:type="spellEnd"/>
      <w:r>
        <w:t xml:space="preserve"> shall be set to </w:t>
      </w:r>
      <w:proofErr w:type="spellStart"/>
      <w:r>
        <w:t>callForwarded</w:t>
      </w:r>
      <w:proofErr w:type="spellEnd"/>
      <w:r>
        <w:t>.</w:t>
      </w:r>
    </w:p>
    <w:p w:rsidR="006C499C" w:rsidRDefault="00E067AB" w:rsidP="00E067AB">
      <w:r>
        <w:t>...</w:t>
      </w:r>
    </w:p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8"/>
      <w:footerReference w:type="first" r:id="rId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D06" w:rsidRDefault="00C37D06">
      <w:r>
        <w:separator/>
      </w:r>
    </w:p>
  </w:endnote>
  <w:endnote w:type="continuationSeparator" w:id="0">
    <w:p w:rsidR="00C37D06" w:rsidRDefault="00C37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Ind w:w="-5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616"/>
      <w:gridCol w:w="4394"/>
      <w:gridCol w:w="3913"/>
    </w:tblGrid>
    <w:tr w:rsidR="008616A2" w:rsidTr="00912123">
      <w:trPr>
        <w:cantSplit/>
        <w:trHeight w:val="204"/>
      </w:trPr>
      <w:tc>
        <w:tcPr>
          <w:tcW w:w="1616" w:type="dxa"/>
          <w:tcBorders>
            <w:top w:val="single" w:sz="12" w:space="0" w:color="000000"/>
            <w:bottom w:val="single" w:sz="12" w:space="0" w:color="000000"/>
          </w:tcBorders>
          <w:tcMar>
            <w:top w:w="0" w:type="dxa"/>
            <w:left w:w="57" w:type="dxa"/>
            <w:bottom w:w="0" w:type="dxa"/>
            <w:right w:w="57" w:type="dxa"/>
          </w:tcMar>
        </w:tcPr>
        <w:p w:rsidR="008616A2" w:rsidRDefault="008616A2" w:rsidP="00912123">
          <w:pPr>
            <w:pStyle w:val="Standard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000000"/>
            <w:bottom w:val="single" w:sz="12" w:space="0" w:color="000000"/>
          </w:tcBorders>
          <w:tcMar>
            <w:top w:w="0" w:type="dxa"/>
            <w:left w:w="57" w:type="dxa"/>
            <w:bottom w:w="0" w:type="dxa"/>
            <w:right w:w="57" w:type="dxa"/>
          </w:tcMar>
        </w:tcPr>
        <w:p w:rsidR="008616A2" w:rsidRDefault="008616A2" w:rsidP="00912123">
          <w:pPr>
            <w:pStyle w:val="Standard"/>
            <w:rPr>
              <w:sz w:val="20"/>
            </w:rPr>
          </w:pPr>
          <w:r>
            <w:rPr>
              <w:sz w:val="20"/>
            </w:rPr>
            <w:t xml:space="preserve">Jan </w:t>
          </w:r>
          <w:proofErr w:type="spellStart"/>
          <w:r>
            <w:rPr>
              <w:sz w:val="20"/>
            </w:rPr>
            <w:t>Willamowius</w:t>
          </w:r>
          <w:proofErr w:type="spellEnd"/>
        </w:p>
        <w:p w:rsidR="008616A2" w:rsidRDefault="008616A2" w:rsidP="00912123">
          <w:pPr>
            <w:pStyle w:val="Standard"/>
            <w:spacing w:before="0"/>
            <w:rPr>
              <w:sz w:val="20"/>
            </w:rPr>
          </w:pPr>
          <w:r>
            <w:rPr>
              <w:sz w:val="20"/>
            </w:rPr>
            <w:t>GNU Gatekeeper Project</w:t>
          </w:r>
        </w:p>
        <w:p w:rsidR="008616A2" w:rsidRDefault="008616A2" w:rsidP="00912123">
          <w:pPr>
            <w:pStyle w:val="Standard"/>
            <w:spacing w:before="0"/>
            <w:rPr>
              <w:sz w:val="20"/>
            </w:rPr>
          </w:pPr>
          <w:r>
            <w:rPr>
              <w:sz w:val="20"/>
            </w:rPr>
            <w:t>Germany</w:t>
          </w:r>
        </w:p>
      </w:tc>
      <w:tc>
        <w:tcPr>
          <w:tcW w:w="3913" w:type="dxa"/>
          <w:tcBorders>
            <w:top w:val="single" w:sz="12" w:space="0" w:color="000000"/>
            <w:bottom w:val="single" w:sz="12" w:space="0" w:color="000000"/>
          </w:tcBorders>
          <w:tcMar>
            <w:top w:w="0" w:type="dxa"/>
            <w:left w:w="57" w:type="dxa"/>
            <w:bottom w:w="0" w:type="dxa"/>
            <w:right w:w="57" w:type="dxa"/>
          </w:tcMar>
        </w:tcPr>
        <w:p w:rsidR="008616A2" w:rsidRDefault="008616A2" w:rsidP="00912123">
          <w:pPr>
            <w:pStyle w:val="Standard"/>
            <w:rPr>
              <w:sz w:val="20"/>
            </w:rPr>
          </w:pPr>
          <w:r>
            <w:rPr>
              <w:sz w:val="20"/>
            </w:rPr>
            <w:t>Tel: +49 40 20981888</w:t>
          </w:r>
        </w:p>
        <w:p w:rsidR="008616A2" w:rsidRDefault="008616A2" w:rsidP="00912123">
          <w:pPr>
            <w:pStyle w:val="Standard"/>
            <w:spacing w:before="0"/>
            <w:rPr>
              <w:sz w:val="20"/>
            </w:rPr>
          </w:pPr>
          <w:r>
            <w:rPr>
              <w:sz w:val="20"/>
            </w:rPr>
            <w:t>Fax: +49 40 20981788</w:t>
          </w:r>
        </w:p>
        <w:p w:rsidR="008616A2" w:rsidRDefault="008616A2" w:rsidP="00912123">
          <w:pPr>
            <w:pStyle w:val="Standard"/>
            <w:spacing w:before="0"/>
            <w:rPr>
              <w:sz w:val="20"/>
            </w:rPr>
          </w:pPr>
          <w:r>
            <w:rPr>
              <w:sz w:val="20"/>
            </w:rPr>
            <w:t>Email: jan@willamowius.de</w:t>
          </w:r>
        </w:p>
      </w:tc>
    </w:tr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D06" w:rsidRDefault="00C37D06">
      <w:r>
        <w:separator/>
      </w:r>
    </w:p>
  </w:footnote>
  <w:footnote w:type="continuationSeparator" w:id="0">
    <w:p w:rsidR="00C37D06" w:rsidRDefault="00C37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E067AB">
      <w:rPr>
        <w:noProof/>
      </w:rPr>
      <w:t>2</w:t>
    </w:r>
    <w:r w:rsidRPr="00981DCE">
      <w:fldChar w:fldCharType="end"/>
    </w:r>
    <w:r w:rsidRPr="00981DCE">
      <w:t xml:space="preserve"> -</w:t>
    </w:r>
  </w:p>
  <w:p w:rsidR="006C499C" w:rsidRPr="00711FE1" w:rsidRDefault="004C1A9F" w:rsidP="006C499C">
    <w:pPr>
      <w:pStyle w:val="Header"/>
    </w:pPr>
    <w:r>
      <w:t>TD-2</w:t>
    </w:r>
    <w:r w:rsidR="00E067AB"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A9F"/>
    <w:rsid w:val="002444E1"/>
    <w:rsid w:val="004C1A9F"/>
    <w:rsid w:val="005267E7"/>
    <w:rsid w:val="00602AA7"/>
    <w:rsid w:val="006469E2"/>
    <w:rsid w:val="0067042E"/>
    <w:rsid w:val="00677DB3"/>
    <w:rsid w:val="00682BBD"/>
    <w:rsid w:val="0068394C"/>
    <w:rsid w:val="006C499C"/>
    <w:rsid w:val="006E68A9"/>
    <w:rsid w:val="006F3EE7"/>
    <w:rsid w:val="007570DD"/>
    <w:rsid w:val="00762E0E"/>
    <w:rsid w:val="0077413D"/>
    <w:rsid w:val="007B331C"/>
    <w:rsid w:val="007D5F32"/>
    <w:rsid w:val="008616A2"/>
    <w:rsid w:val="00891D47"/>
    <w:rsid w:val="009026BC"/>
    <w:rsid w:val="00937BCE"/>
    <w:rsid w:val="009C724D"/>
    <w:rsid w:val="00A14FB6"/>
    <w:rsid w:val="00A65213"/>
    <w:rsid w:val="00AC26B2"/>
    <w:rsid w:val="00AE566B"/>
    <w:rsid w:val="00AE68B3"/>
    <w:rsid w:val="00B8228C"/>
    <w:rsid w:val="00C03EC3"/>
    <w:rsid w:val="00C2315B"/>
    <w:rsid w:val="00C27061"/>
    <w:rsid w:val="00C37D06"/>
    <w:rsid w:val="00C63349"/>
    <w:rsid w:val="00CC667A"/>
    <w:rsid w:val="00D0565D"/>
    <w:rsid w:val="00DB1662"/>
    <w:rsid w:val="00DF54C8"/>
    <w:rsid w:val="00E067AB"/>
    <w:rsid w:val="00EB6B2D"/>
    <w:rsid w:val="00FA2B2B"/>
    <w:rsid w:val="00FB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rsid w:val="00FB04D8"/>
    <w:rPr>
      <w:color w:val="0000FF" w:themeColor="hyperlink"/>
      <w:u w:val="single"/>
    </w:rPr>
  </w:style>
  <w:style w:type="paragraph" w:customStyle="1" w:styleId="Standard">
    <w:name w:val="Standard"/>
    <w:rsid w:val="008616A2"/>
    <w:pPr>
      <w:tabs>
        <w:tab w:val="left" w:pos="794"/>
        <w:tab w:val="left" w:pos="1191"/>
        <w:tab w:val="left" w:pos="1588"/>
        <w:tab w:val="left" w:pos="1985"/>
      </w:tabs>
      <w:suppressAutoHyphens/>
      <w:autoSpaceDN w:val="0"/>
      <w:spacing w:before="120"/>
      <w:textAlignment w:val="baseline"/>
    </w:pPr>
    <w:rPr>
      <w:kern w:val="3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E067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rsid w:val="00FB04D8"/>
    <w:rPr>
      <w:color w:val="0000FF" w:themeColor="hyperlink"/>
      <w:u w:val="single"/>
    </w:rPr>
  </w:style>
  <w:style w:type="paragraph" w:customStyle="1" w:styleId="Standard">
    <w:name w:val="Standard"/>
    <w:rsid w:val="008616A2"/>
    <w:pPr>
      <w:tabs>
        <w:tab w:val="left" w:pos="794"/>
        <w:tab w:val="left" w:pos="1191"/>
        <w:tab w:val="left" w:pos="1588"/>
        <w:tab w:val="left" w:pos="1985"/>
      </w:tabs>
      <w:suppressAutoHyphens/>
      <w:autoSpaceDN w:val="0"/>
      <w:spacing w:before="120"/>
      <w:textAlignment w:val="baseline"/>
    </w:pPr>
    <w:rPr>
      <w:kern w:val="3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E067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Standards%20Work\ITU\2009\201209%20-%20ITU-T%20SG16%20WP2%20-%20Brisbane\AVD-template-pej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AVD-template-pej.dotx</Template>
  <TotalTime>4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3, 5, 21, 22, 24, and 25/16</vt:lpstr>
    </vt:vector>
  </TitlesOfParts>
  <Company>ITU</Company>
  <LinksUpToDate>false</LinksUpToDate>
  <CharactersWithSpaces>1756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3, 5, 21, 22, 24, and 25/16</dc:title>
  <dc:creator>Paul E. Jones</dc:creator>
  <cp:lastModifiedBy>Paul E. Jones</cp:lastModifiedBy>
  <cp:revision>3</cp:revision>
  <cp:lastPrinted>2002-08-01T12:30:00Z</cp:lastPrinted>
  <dcterms:created xsi:type="dcterms:W3CDTF">2012-09-24T04:33:00Z</dcterms:created>
  <dcterms:modified xsi:type="dcterms:W3CDTF">2012-09-24T04:39:00Z</dcterms:modified>
</cp:coreProperties>
</file>