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7D5F32">
            <w:pPr>
              <w:spacing w:before="0"/>
              <w:rPr>
                <w:b/>
                <w:smallCaps/>
                <w:sz w:val="19"/>
                <w:szCs w:val="19"/>
              </w:rPr>
            </w:pPr>
            <w:bookmarkStart w:id="0" w:name="dsg" w:colFirst="1" w:colLast="1"/>
            <w:bookmarkStart w:id="1" w:name="dtableau"/>
            <w:r w:rsidRPr="00A14FB6">
              <w:rPr>
                <w:b/>
                <w:smallCaps/>
                <w:sz w:val="20"/>
                <w:szCs w:val="19"/>
              </w:rPr>
              <w:t xml:space="preserve">Rapporteur Meeting of Questions </w:t>
            </w:r>
            <w:r w:rsidR="007D5F32">
              <w:rPr>
                <w:b/>
                <w:smallCaps/>
                <w:sz w:val="20"/>
                <w:szCs w:val="19"/>
              </w:rPr>
              <w:t xml:space="preserve">2, </w:t>
            </w:r>
            <w:r w:rsidR="00602AA7" w:rsidRPr="00A14FB6">
              <w:rPr>
                <w:b/>
                <w:smallCaps/>
                <w:sz w:val="20"/>
                <w:szCs w:val="19"/>
              </w:rPr>
              <w:t xml:space="preserve">3, 5, </w:t>
            </w:r>
            <w:r w:rsidR="007D5F32">
              <w:rPr>
                <w:b/>
                <w:smallCaps/>
                <w:sz w:val="20"/>
                <w:szCs w:val="19"/>
              </w:rPr>
              <w:t>12, 21 and 22</w:t>
            </w:r>
            <w:r w:rsidR="00602AA7" w:rsidRPr="00A14FB6">
              <w:rPr>
                <w:b/>
                <w:smallCaps/>
                <w:sz w:val="20"/>
                <w:szCs w:val="19"/>
              </w:rPr>
              <w:t>/16</w:t>
            </w:r>
          </w:p>
        </w:tc>
        <w:tc>
          <w:tcPr>
            <w:tcW w:w="3626" w:type="dxa"/>
            <w:vAlign w:val="center"/>
          </w:tcPr>
          <w:p w:rsidR="006C499C" w:rsidRPr="00A14FB6" w:rsidRDefault="00935ABE" w:rsidP="006C499C">
            <w:pPr>
              <w:spacing w:before="0"/>
              <w:jc w:val="right"/>
              <w:rPr>
                <w:b/>
                <w:bCs/>
                <w:sz w:val="40"/>
              </w:rPr>
            </w:pPr>
            <w:bookmarkStart w:id="2" w:name="docnumber"/>
            <w:r w:rsidRPr="00935ABE">
              <w:rPr>
                <w:b/>
                <w:bCs/>
                <w:sz w:val="40"/>
              </w:rPr>
              <w:t>TD</w:t>
            </w:r>
            <w:r w:rsidR="006C499C" w:rsidRPr="00935ABE">
              <w:rPr>
                <w:b/>
                <w:bCs/>
                <w:sz w:val="40"/>
              </w:rPr>
              <w:t>-</w:t>
            </w:r>
            <w:bookmarkEnd w:id="2"/>
            <w:r>
              <w:rPr>
                <w:b/>
                <w:bCs/>
                <w:sz w:val="40"/>
              </w:rPr>
              <w:t>17</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3"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5" w:name="dmeeting" w:colFirst="2" w:colLast="2"/>
            <w:bookmarkStart w:id="6" w:name="dbluepink" w:colFirst="1" w:colLast="1"/>
            <w:bookmarkEnd w:id="4"/>
            <w:r w:rsidRPr="00A14FB6">
              <w:rPr>
                <w:b/>
                <w:bCs/>
              </w:rPr>
              <w:t>Question(s):</w:t>
            </w:r>
          </w:p>
        </w:tc>
        <w:tc>
          <w:tcPr>
            <w:tcW w:w="3030" w:type="dxa"/>
          </w:tcPr>
          <w:p w:rsidR="006C499C" w:rsidRPr="00A14FB6" w:rsidRDefault="00935ABE" w:rsidP="006C499C">
            <w:r>
              <w:t>5</w:t>
            </w:r>
            <w:r w:rsidR="00FF5A32">
              <w:t>/16</w:t>
            </w:r>
            <w:bookmarkStart w:id="7" w:name="_GoBack"/>
            <w:bookmarkEnd w:id="7"/>
          </w:p>
        </w:tc>
        <w:tc>
          <w:tcPr>
            <w:tcW w:w="5276" w:type="dxa"/>
            <w:gridSpan w:val="3"/>
          </w:tcPr>
          <w:p w:rsidR="006C499C" w:rsidRPr="00A14FB6" w:rsidRDefault="007D5F32" w:rsidP="007D5F32">
            <w:pPr>
              <w:wordWrap w:val="0"/>
              <w:jc w:val="right"/>
              <w:rPr>
                <w:szCs w:val="24"/>
              </w:rPr>
            </w:pPr>
            <w:r>
              <w:rPr>
                <w:rFonts w:eastAsia="Malgun Gothic"/>
                <w:szCs w:val="24"/>
                <w:lang w:eastAsia="ko-KR"/>
              </w:rPr>
              <w:t>Brisbane</w:t>
            </w:r>
            <w:r w:rsidR="00602AA7" w:rsidRPr="00A14FB6">
              <w:rPr>
                <w:rFonts w:eastAsia="Malgun Gothic"/>
                <w:szCs w:val="24"/>
                <w:lang w:eastAsia="ko-KR"/>
              </w:rPr>
              <w:t xml:space="preserve">, </w:t>
            </w:r>
            <w:r w:rsidR="00DF54C8">
              <w:rPr>
                <w:rFonts w:eastAsia="Malgun Gothic"/>
                <w:szCs w:val="24"/>
                <w:lang w:eastAsia="ko-KR"/>
              </w:rPr>
              <w:t>2</w:t>
            </w:r>
            <w:r>
              <w:rPr>
                <w:rFonts w:eastAsia="Malgun Gothic"/>
                <w:szCs w:val="24"/>
                <w:lang w:eastAsia="ko-KR"/>
              </w:rPr>
              <w:t>4</w:t>
            </w:r>
            <w:r w:rsidR="00602AA7" w:rsidRPr="00A14FB6">
              <w:rPr>
                <w:rFonts w:eastAsia="Malgun Gothic"/>
                <w:szCs w:val="24"/>
                <w:lang w:eastAsia="ko-KR"/>
              </w:rPr>
              <w:t xml:space="preserve"> - </w:t>
            </w:r>
            <w:r w:rsidR="00DF54C8">
              <w:rPr>
                <w:rFonts w:eastAsia="Malgun Gothic"/>
                <w:szCs w:val="24"/>
                <w:lang w:eastAsia="ko-KR"/>
              </w:rPr>
              <w:t>2</w:t>
            </w:r>
            <w:r>
              <w:rPr>
                <w:rFonts w:eastAsia="Malgun Gothic"/>
                <w:szCs w:val="24"/>
                <w:lang w:eastAsia="ko-KR"/>
              </w:rPr>
              <w:t>8</w:t>
            </w:r>
            <w:r w:rsidR="00602AA7" w:rsidRPr="00A14FB6">
              <w:rPr>
                <w:rFonts w:eastAsia="Malgun Gothic"/>
                <w:szCs w:val="24"/>
                <w:lang w:eastAsia="ko-KR"/>
              </w:rPr>
              <w:t xml:space="preserve"> </w:t>
            </w:r>
            <w:r>
              <w:rPr>
                <w:rFonts w:eastAsia="Malgun Gothic"/>
                <w:szCs w:val="24"/>
                <w:lang w:eastAsia="ko-KR"/>
              </w:rPr>
              <w:t>September</w:t>
            </w:r>
            <w:r w:rsidR="00602AA7" w:rsidRPr="00A14FB6">
              <w:rPr>
                <w:rFonts w:eastAsia="Malgun Gothic"/>
                <w:szCs w:val="24"/>
                <w:lang w:eastAsia="ko-KR"/>
              </w:rPr>
              <w:t xml:space="preserve"> 201</w:t>
            </w:r>
            <w:r w:rsidR="00DF54C8">
              <w:rPr>
                <w:rFonts w:eastAsia="Malgun Gothic"/>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8" w:name="dtitle" w:colFirst="0" w:colLast="0"/>
            <w:bookmarkEnd w:id="5"/>
            <w:bookmarkEnd w:id="6"/>
            <w:r w:rsidRPr="00A14FB6">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9" w:name="dsource" w:colFirst="1" w:colLast="1"/>
            <w:bookmarkEnd w:id="8"/>
            <w:r w:rsidRPr="00A14FB6">
              <w:rPr>
                <w:b/>
                <w:bCs/>
              </w:rPr>
              <w:t>Source:</w:t>
            </w:r>
          </w:p>
        </w:tc>
        <w:tc>
          <w:tcPr>
            <w:tcW w:w="8306" w:type="dxa"/>
            <w:gridSpan w:val="4"/>
          </w:tcPr>
          <w:p w:rsidR="006C499C" w:rsidRPr="00A14FB6" w:rsidRDefault="006C499C" w:rsidP="006C499C">
            <w:r w:rsidRPr="00935ABE">
              <w:t>Rapporteur</w:t>
            </w:r>
            <w:r w:rsidR="00935ABE">
              <w:t xml:space="preserve"> Q5/16</w:t>
            </w:r>
          </w:p>
        </w:tc>
      </w:tr>
      <w:tr w:rsidR="006C499C" w:rsidRPr="00A14FB6">
        <w:trPr>
          <w:cantSplit/>
          <w:trHeight w:val="357"/>
        </w:trPr>
        <w:tc>
          <w:tcPr>
            <w:tcW w:w="1617" w:type="dxa"/>
          </w:tcPr>
          <w:p w:rsidR="006C499C" w:rsidRPr="00A14FB6" w:rsidRDefault="006C499C" w:rsidP="006C499C">
            <w:pPr>
              <w:spacing w:after="120"/>
            </w:pPr>
            <w:bookmarkStart w:id="10" w:name="dtitle1" w:colFirst="1" w:colLast="1"/>
            <w:bookmarkEnd w:id="9"/>
            <w:r w:rsidRPr="00A14FB6">
              <w:rPr>
                <w:b/>
                <w:bCs/>
              </w:rPr>
              <w:t>Title:</w:t>
            </w:r>
          </w:p>
        </w:tc>
        <w:tc>
          <w:tcPr>
            <w:tcW w:w="8306" w:type="dxa"/>
            <w:gridSpan w:val="4"/>
          </w:tcPr>
          <w:p w:rsidR="006C499C" w:rsidRPr="00A14FB6" w:rsidRDefault="00935ABE" w:rsidP="006C499C">
            <w:pPr>
              <w:spacing w:after="120"/>
            </w:pPr>
            <w:r w:rsidRPr="00645A13">
              <w:t xml:space="preserve">Q5/16 Living List: </w:t>
            </w:r>
            <w:r>
              <w:t>Input</w:t>
            </w:r>
            <w:r w:rsidRPr="00645A13">
              <w:t xml:space="preserve"> Draft</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A14FB6" w:rsidRDefault="00935ABE" w:rsidP="006C499C">
            <w:pPr>
              <w:spacing w:after="120"/>
            </w:pPr>
            <w:r>
              <w:t>Proposal</w:t>
            </w:r>
          </w:p>
        </w:tc>
      </w:tr>
      <w:bookmarkEnd w:id="1"/>
      <w:bookmarkEnd w:id="10"/>
    </w:tbl>
    <w:p w:rsidR="006C499C" w:rsidRPr="00A14FB6" w:rsidRDefault="006C499C" w:rsidP="006C499C"/>
    <w:p w:rsidR="00B45B75" w:rsidRPr="00093C27" w:rsidRDefault="00B45B75" w:rsidP="00B45B75">
      <w:pPr>
        <w:pStyle w:val="Headingb"/>
        <w:spacing w:before="240"/>
      </w:pPr>
      <w:bookmarkStart w:id="11" w:name="_Toc304818415"/>
      <w:r w:rsidRPr="00093C27">
        <w:t>1.</w:t>
      </w:r>
      <w:r w:rsidRPr="00093C27">
        <w:tab/>
        <w:t>Introduction</w:t>
      </w:r>
    </w:p>
    <w:p w:rsidR="00B45B75" w:rsidRDefault="00B45B75" w:rsidP="00B45B75">
      <w:pPr>
        <w:rPr>
          <w:lang w:eastAsia="zh-CN"/>
        </w:rPr>
      </w:pPr>
      <w:r w:rsidRPr="00740E3F">
        <w:rPr>
          <w:lang w:eastAsia="zh-CN"/>
        </w:rPr>
        <w:t xml:space="preserve">This document </w:t>
      </w:r>
      <w:r>
        <w:rPr>
          <w:lang w:eastAsia="zh-CN"/>
        </w:rPr>
        <w:t xml:space="preserve">contains the Rapporteur’s input draft for </w:t>
      </w:r>
      <w:r w:rsidRPr="00740E3F">
        <w:rPr>
          <w:lang w:eastAsia="zh-CN"/>
        </w:rPr>
        <w:t xml:space="preserve">the </w:t>
      </w:r>
      <w:r>
        <w:t>Q5/16 Living List</w:t>
      </w:r>
      <w:r>
        <w:rPr>
          <w:lang w:eastAsia="zh-CN"/>
        </w:rPr>
        <w:t>.</w:t>
      </w:r>
    </w:p>
    <w:p w:rsidR="00B45B75" w:rsidRDefault="00B45B75" w:rsidP="00B45B75">
      <w:pPr>
        <w:pStyle w:val="Headingb"/>
      </w:pPr>
      <w:r>
        <w:t>2.</w:t>
      </w:r>
      <w:r>
        <w:tab/>
        <w:t>Discussion</w:t>
      </w:r>
    </w:p>
    <w:p w:rsidR="00B45B75" w:rsidRDefault="00B45B75" w:rsidP="00B45B75">
      <w:pPr>
        <w:spacing w:before="60"/>
      </w:pPr>
      <w:r>
        <w:t xml:space="preserve">Annex A is identical to </w:t>
      </w:r>
      <w:hyperlink r:id="rId8" w:history="1">
        <w:r>
          <w:rPr>
            <w:rStyle w:val="Strong"/>
            <w:color w:val="0000FF"/>
            <w:u w:val="single"/>
          </w:rPr>
          <w:t>TD 769/WP2</w:t>
        </w:r>
      </w:hyperlink>
      <w:r>
        <w:t xml:space="preserve"> from the Geneva, 30 April - 11 May 2012 meeting.  </w:t>
      </w:r>
    </w:p>
    <w:p w:rsidR="00B45B75" w:rsidRPr="00882E18" w:rsidRDefault="00B45B75" w:rsidP="00B45B75">
      <w:pPr>
        <w:pStyle w:val="Headingb"/>
      </w:pPr>
      <w:r w:rsidRPr="00882E18">
        <w:t>3.</w:t>
      </w:r>
      <w:r w:rsidRPr="00882E18">
        <w:tab/>
        <w:t>Proposal</w:t>
      </w:r>
    </w:p>
    <w:p w:rsidR="00B45B75" w:rsidRDefault="00B45B75" w:rsidP="00B45B75">
      <w:pPr>
        <w:spacing w:before="60"/>
        <w:rPr>
          <w:lang w:eastAsia="zh-CN"/>
        </w:rPr>
      </w:pPr>
      <w:r>
        <w:rPr>
          <w:lang w:eastAsia="zh-CN"/>
        </w:rPr>
        <w:t>It is proposed to accept this document as the baseline text for the meeting.</w:t>
      </w:r>
    </w:p>
    <w:p w:rsidR="00935ABE" w:rsidRPr="00891559" w:rsidRDefault="00B45B75" w:rsidP="00B45B75">
      <w:pPr>
        <w:pStyle w:val="Heading1"/>
        <w:numPr>
          <w:ilvl w:val="0"/>
          <w:numId w:val="0"/>
        </w:numPr>
        <w:jc w:val="center"/>
      </w:pPr>
      <w:r w:rsidRPr="00891559">
        <w:t xml:space="preserve">Annex </w:t>
      </w:r>
      <w:r>
        <w:t>A</w:t>
      </w:r>
      <w:r w:rsidRPr="00891559">
        <w:t>:</w:t>
      </w:r>
      <w:r w:rsidR="00935ABE" w:rsidRPr="00891559">
        <w:br/>
        <w:t>Living List for Q5/16</w:t>
      </w:r>
      <w:bookmarkEnd w:id="11"/>
    </w:p>
    <w:p w:rsidR="00935ABE" w:rsidRPr="00891559" w:rsidRDefault="00935ABE" w:rsidP="00935ABE">
      <w:pPr>
        <w:pStyle w:val="Heading2Unnumbered"/>
      </w:pPr>
      <w:r>
        <w:t>A</w:t>
      </w:r>
      <w:r w:rsidRPr="00891559">
        <w:t>.1</w:t>
      </w:r>
      <w:r w:rsidRPr="00891559">
        <w:tab/>
        <w:t>Definitions</w:t>
      </w:r>
    </w:p>
    <w:p w:rsidR="00935ABE" w:rsidRPr="00891559" w:rsidRDefault="00935ABE" w:rsidP="00935ABE">
      <w:r w:rsidRPr="00891559">
        <w:t>Develop a definition of telepresence which distinguishes it from videoconferencing. This can include definitions of specific categories of telepresence. The working definition is:</w:t>
      </w:r>
    </w:p>
    <w:p w:rsidR="00935ABE" w:rsidRPr="00891559" w:rsidRDefault="00935ABE" w:rsidP="00935ABE">
      <w:pPr>
        <w:ind w:left="709"/>
      </w:pPr>
      <w:r w:rsidRPr="00891559">
        <w:rPr>
          <w:b/>
        </w:rPr>
        <w:t>Telepresence</w:t>
      </w:r>
      <w:r w:rsidRPr="00891559">
        <w:t xml:space="preserve"> - An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rsidR="00935ABE" w:rsidRPr="00891559" w:rsidRDefault="00935ABE" w:rsidP="00935ABE">
      <w:r w:rsidRPr="00891559">
        <w:t>Also develop a common vocabulary to describe telepresence equipment, the telepresence environment, and various attributes of the telepresence experience.</w:t>
      </w:r>
    </w:p>
    <w:p w:rsidR="00935ABE" w:rsidRPr="00891559" w:rsidRDefault="00E15CFE" w:rsidP="00935ABE">
      <w:hyperlink r:id="rId9" w:history="1">
        <w:r w:rsidR="00935ABE" w:rsidRPr="00891559">
          <w:rPr>
            <w:rStyle w:val="Hyperlink"/>
          </w:rPr>
          <w:t>AVD-4013</w:t>
        </w:r>
      </w:hyperlink>
      <w:r w:rsidR="00935ABE" w:rsidRPr="00891559">
        <w:t xml:space="preserve">, and </w:t>
      </w:r>
      <w:hyperlink r:id="rId10" w:history="1">
        <w:r w:rsidR="00935ABE" w:rsidRPr="00891559">
          <w:rPr>
            <w:rStyle w:val="Hyperlink"/>
          </w:rPr>
          <w:t>AVD-4024</w:t>
        </w:r>
      </w:hyperlink>
      <w:r w:rsidR="00935ABE" w:rsidRPr="00891559">
        <w:t xml:space="preserve"> propose some definitions and describe some attributes. Progressing this work through the Definitions AHG (</w:t>
      </w:r>
      <w:hyperlink r:id="rId11" w:history="1">
        <w:r w:rsidR="00935ABE" w:rsidRPr="00891559">
          <w:rPr>
            <w:rStyle w:val="Hyperlink"/>
          </w:rPr>
          <w:t>TD 547/WP2</w:t>
        </w:r>
      </w:hyperlink>
      <w:r w:rsidR="00935ABE" w:rsidRPr="00891559">
        <w:t xml:space="preserve">) and contributions would be useful to our work. </w:t>
      </w:r>
    </w:p>
    <w:p w:rsidR="00935ABE" w:rsidRPr="00891559" w:rsidRDefault="00935ABE" w:rsidP="00935ABE">
      <w:pPr>
        <w:pStyle w:val="Heading2Unnumbered"/>
      </w:pPr>
      <w:r>
        <w:t>A</w:t>
      </w:r>
      <w:r w:rsidRPr="00891559">
        <w:t>.2</w:t>
      </w:r>
      <w:r w:rsidRPr="00891559">
        <w:tab/>
        <w:t>Reference Model (System Components, Connections)</w:t>
      </w:r>
    </w:p>
    <w:p w:rsidR="00935ABE" w:rsidRPr="00891559" w:rsidRDefault="00935ABE" w:rsidP="00935ABE">
      <w:r w:rsidRPr="00891559">
        <w:t xml:space="preserve">Develop a reference model that includes both infrastructure components, terminals, and other room equipment. </w:t>
      </w:r>
      <w:hyperlink r:id="rId12" w:history="1">
        <w:r w:rsidRPr="00891559">
          <w:rPr>
            <w:rStyle w:val="Hyperlink"/>
          </w:rPr>
          <w:t>AVD-3971a</w:t>
        </w:r>
      </w:hyperlink>
      <w:r w:rsidRPr="00891559">
        <w:t xml:space="preserve"> , </w:t>
      </w:r>
      <w:hyperlink r:id="rId13" w:history="1">
        <w:r w:rsidRPr="00891559">
          <w:rPr>
            <w:rStyle w:val="Hyperlink"/>
          </w:rPr>
          <w:t>AVD-3972a</w:t>
        </w:r>
      </w:hyperlink>
      <w:r w:rsidRPr="00891559">
        <w:t xml:space="preserve">, </w:t>
      </w:r>
      <w:hyperlink r:id="rId14" w:history="1">
        <w:r w:rsidRPr="00891559">
          <w:rPr>
            <w:rStyle w:val="Hyperlink"/>
          </w:rPr>
          <w:t>COM16-573</w:t>
        </w:r>
      </w:hyperlink>
      <w:r w:rsidRPr="00891559">
        <w:t xml:space="preserve">, </w:t>
      </w:r>
      <w:hyperlink r:id="rId15" w:history="1">
        <w:r w:rsidRPr="00891559">
          <w:rPr>
            <w:rStyle w:val="Hyperlink"/>
          </w:rPr>
          <w:t>COM16-574</w:t>
        </w:r>
      </w:hyperlink>
      <w:r w:rsidRPr="00891559">
        <w:t xml:space="preserve">, </w:t>
      </w:r>
      <w:hyperlink r:id="rId16" w:history="1">
        <w:r w:rsidRPr="00891559">
          <w:rPr>
            <w:rStyle w:val="Hyperlink"/>
          </w:rPr>
          <w:t>COM16-578</w:t>
        </w:r>
      </w:hyperlink>
      <w:r w:rsidRPr="00891559">
        <w:t xml:space="preserve">, and </w:t>
      </w:r>
      <w:hyperlink r:id="rId17" w:history="1">
        <w:r w:rsidRPr="00891559">
          <w:rPr>
            <w:rStyle w:val="Hyperlink"/>
          </w:rPr>
          <w:t>COM16-581</w:t>
        </w:r>
      </w:hyperlink>
      <w:r w:rsidRPr="00891559">
        <w:t xml:space="preserve"> include block diagrams that are useful as a starting point. ITU-T Rec. F.700 may also be a useful starting point. </w:t>
      </w:r>
    </w:p>
    <w:p w:rsidR="00935ABE" w:rsidRPr="00891559" w:rsidRDefault="00935ABE" w:rsidP="00935ABE">
      <w:pPr>
        <w:pStyle w:val="Heading2Unnumbered"/>
      </w:pPr>
      <w:r>
        <w:lastRenderedPageBreak/>
        <w:t>A</w:t>
      </w:r>
      <w:r w:rsidRPr="00891559">
        <w:t>.3</w:t>
      </w:r>
      <w:r w:rsidRPr="00891559">
        <w:tab/>
        <w:t>Use cases and Interoperability Scenarios</w:t>
      </w:r>
    </w:p>
    <w:p w:rsidR="00935ABE" w:rsidRPr="00891559" w:rsidRDefault="00935ABE" w:rsidP="00935ABE">
      <w:r w:rsidRPr="00891559">
        <w:t xml:space="preserve">Develop use cases and describe the interoperability problems that need to be solved. </w:t>
      </w:r>
      <w:hyperlink r:id="rId18" w:history="1">
        <w:r w:rsidRPr="00891559">
          <w:rPr>
            <w:rStyle w:val="Hyperlink"/>
          </w:rPr>
          <w:t>AVD-3971a</w:t>
        </w:r>
      </w:hyperlink>
      <w:r w:rsidRPr="00891559">
        <w:t xml:space="preserve"> provides some input on interoperability issues and </w:t>
      </w:r>
      <w:hyperlink r:id="rId19" w:history="1">
        <w:r w:rsidRPr="00891559">
          <w:rPr>
            <w:rStyle w:val="Hyperlink"/>
          </w:rPr>
          <w:t>AVD-4024</w:t>
        </w:r>
      </w:hyperlink>
      <w:r w:rsidRPr="00891559">
        <w:t xml:space="preserve"> captures several desirable characteristics and implies several use cases. See also </w:t>
      </w:r>
      <w:hyperlink r:id="rId20" w:history="1">
        <w:r w:rsidRPr="00891559">
          <w:rPr>
            <w:rStyle w:val="Hyperlink"/>
          </w:rPr>
          <w:t>COM16-580</w:t>
        </w:r>
      </w:hyperlink>
      <w:r w:rsidRPr="00891559">
        <w:t xml:space="preserve">, </w:t>
      </w:r>
      <w:hyperlink r:id="rId21" w:history="1">
        <w:r w:rsidRPr="00891559">
          <w:rPr>
            <w:rStyle w:val="Hyperlink"/>
          </w:rPr>
          <w:t>COM16-576</w:t>
        </w:r>
      </w:hyperlink>
      <w:r w:rsidRPr="00891559">
        <w:t xml:space="preserve">, and </w:t>
      </w:r>
      <w:hyperlink r:id="rId22" w:history="1">
        <w:r w:rsidRPr="00891559">
          <w:rPr>
            <w:rStyle w:val="Hyperlink"/>
          </w:rPr>
          <w:t>COM16-581</w:t>
        </w:r>
      </w:hyperlink>
      <w:r w:rsidRPr="00891559">
        <w:t>.</w:t>
      </w:r>
    </w:p>
    <w:p w:rsidR="00935ABE" w:rsidRPr="00891559" w:rsidRDefault="00935ABE" w:rsidP="00935ABE">
      <w:pPr>
        <w:pStyle w:val="Heading2Unnumbered"/>
      </w:pPr>
      <w:r>
        <w:t>A</w:t>
      </w:r>
      <w:r w:rsidRPr="00891559">
        <w:t>.4</w:t>
      </w:r>
      <w:r w:rsidRPr="00891559">
        <w:tab/>
        <w:t>Requirements for Recommendations</w:t>
      </w:r>
    </w:p>
    <w:p w:rsidR="00935ABE" w:rsidRPr="00891559" w:rsidRDefault="00935ABE" w:rsidP="00935ABE">
      <w:r w:rsidRPr="00891559">
        <w:t>List agreed specific requirements which need to be addressed through new Recommendations and extensions to existing Recommendations. Include priorities, which will be used to develop the timetable of the work program.</w:t>
      </w:r>
    </w:p>
    <w:p w:rsidR="00935ABE" w:rsidRPr="00891559" w:rsidRDefault="00935ABE" w:rsidP="00935ABE">
      <w:pPr>
        <w:pStyle w:val="Heading2Unnumbered"/>
      </w:pPr>
      <w:r>
        <w:t>A</w:t>
      </w:r>
      <w:r w:rsidRPr="00891559">
        <w:t>.5</w:t>
      </w:r>
      <w:r w:rsidRPr="00891559">
        <w:tab/>
        <w:t>Quality of Experience</w:t>
      </w:r>
    </w:p>
    <w:p w:rsidR="00935ABE" w:rsidRPr="00891559" w:rsidRDefault="00935ABE" w:rsidP="00935ABE">
      <w:r w:rsidRPr="00891559">
        <w:t xml:space="preserve">List QoE aspects necessary to achieve high end-user satisfaction in Telepresence Systems for study. </w:t>
      </w:r>
      <w:hyperlink r:id="rId23" w:history="1">
        <w:r w:rsidRPr="00891559">
          <w:rPr>
            <w:rStyle w:val="Hyperlink"/>
          </w:rPr>
          <w:t>AVD-4013</w:t>
        </w:r>
      </w:hyperlink>
      <w:r w:rsidRPr="00891559">
        <w:t xml:space="preserve"> provides a starting point. SG 12 input has been provided in </w:t>
      </w:r>
      <w:hyperlink r:id="rId24" w:history="1">
        <w:r w:rsidRPr="00891559">
          <w:rPr>
            <w:rStyle w:val="Hyperlink"/>
          </w:rPr>
          <w:t>TD 363/Gen</w:t>
        </w:r>
      </w:hyperlink>
      <w:r w:rsidRPr="00891559">
        <w:t xml:space="preserve">, </w:t>
      </w:r>
      <w:hyperlink r:id="rId25" w:history="1">
        <w:r w:rsidRPr="00891559">
          <w:rPr>
            <w:rStyle w:val="Hyperlink"/>
          </w:rPr>
          <w:t>COM12–C</w:t>
        </w:r>
        <w:r>
          <w:rPr>
            <w:rStyle w:val="Hyperlink"/>
          </w:rPr>
          <w:t>.</w:t>
        </w:r>
        <w:r w:rsidRPr="00891559">
          <w:rPr>
            <w:rStyle w:val="Hyperlink"/>
          </w:rPr>
          <w:t>178</w:t>
        </w:r>
      </w:hyperlink>
      <w:r w:rsidRPr="00891559">
        <w:t xml:space="preserve">, </w:t>
      </w:r>
      <w:hyperlink r:id="rId26" w:history="1">
        <w:r w:rsidRPr="00891559">
          <w:rPr>
            <w:rStyle w:val="Hyperlink"/>
          </w:rPr>
          <w:t>COM12–C</w:t>
        </w:r>
        <w:r>
          <w:rPr>
            <w:rStyle w:val="Hyperlink"/>
          </w:rPr>
          <w:t>.</w:t>
        </w:r>
        <w:r w:rsidRPr="00891559">
          <w:rPr>
            <w:rStyle w:val="Hyperlink"/>
          </w:rPr>
          <w:t>179</w:t>
        </w:r>
      </w:hyperlink>
      <w:r w:rsidRPr="00891559">
        <w:t xml:space="preserve">, </w:t>
      </w:r>
      <w:hyperlink r:id="rId27" w:history="1">
        <w:r w:rsidRPr="00891559">
          <w:rPr>
            <w:rStyle w:val="Hyperlink"/>
          </w:rPr>
          <w:t>COM12–C</w:t>
        </w:r>
        <w:r>
          <w:rPr>
            <w:rStyle w:val="Hyperlink"/>
          </w:rPr>
          <w:t>.</w:t>
        </w:r>
        <w:r w:rsidRPr="00891559">
          <w:rPr>
            <w:rStyle w:val="Hyperlink"/>
          </w:rPr>
          <w:t>190</w:t>
        </w:r>
      </w:hyperlink>
      <w:r w:rsidRPr="00891559">
        <w:t xml:space="preserve">, </w:t>
      </w:r>
      <w:hyperlink r:id="rId28" w:history="1">
        <w:r w:rsidRPr="00891559">
          <w:rPr>
            <w:rStyle w:val="Hyperlink"/>
          </w:rPr>
          <w:t>COM12–C</w:t>
        </w:r>
        <w:r>
          <w:rPr>
            <w:rStyle w:val="Hyperlink"/>
          </w:rPr>
          <w:t>.</w:t>
        </w:r>
        <w:r w:rsidRPr="00891559">
          <w:rPr>
            <w:rStyle w:val="Hyperlink"/>
          </w:rPr>
          <w:t>191</w:t>
        </w:r>
      </w:hyperlink>
      <w:r w:rsidRPr="00891559">
        <w:t>.</w:t>
      </w:r>
    </w:p>
    <w:p w:rsidR="00935ABE" w:rsidRPr="00891559" w:rsidRDefault="00935ABE" w:rsidP="00935ABE">
      <w:pPr>
        <w:pStyle w:val="Heading2Unnumbered"/>
      </w:pPr>
      <w:r>
        <w:t>A</w:t>
      </w:r>
      <w:r w:rsidRPr="00891559">
        <w:t>.6</w:t>
      </w:r>
      <w:r w:rsidRPr="00891559">
        <w:tab/>
      </w:r>
      <w:r w:rsidRPr="00891559">
        <w:rPr>
          <w:rFonts w:hint="eastAsia"/>
          <w:lang w:eastAsia="ko-KR"/>
        </w:rPr>
        <w:t>Differences between videoconferencing and telepresence</w:t>
      </w:r>
    </w:p>
    <w:p w:rsidR="00935ABE" w:rsidRPr="00891559" w:rsidRDefault="00935ABE" w:rsidP="00935ABE">
      <w:pPr>
        <w:rPr>
          <w:rFonts w:eastAsia="Malgun Gothic"/>
          <w:lang w:eastAsia="ko-KR"/>
        </w:rPr>
      </w:pPr>
      <w:r w:rsidRPr="00891559">
        <w:t xml:space="preserve">The text below is taken from </w:t>
      </w:r>
      <w:hyperlink r:id="rId29" w:history="1">
        <w:r w:rsidRPr="00891559">
          <w:rPr>
            <w:rStyle w:val="Hyperlink"/>
          </w:rPr>
          <w:t>AVD-4086</w:t>
        </w:r>
      </w:hyperlink>
      <w:r w:rsidRPr="00891559">
        <w:t>. Experts believe that this material could be useful as introductory or explanatory material.</w:t>
      </w:r>
    </w:p>
    <w:p w:rsidR="00935ABE" w:rsidRPr="00891559" w:rsidRDefault="00935ABE" w:rsidP="00935ABE">
      <w:r w:rsidRPr="00891559">
        <w:rPr>
          <w:rFonts w:hint="eastAsia"/>
        </w:rPr>
        <w:t>Telepresence looks like high-quality videoconferencing, but it is composed of more functional and advanced emotional technologies such as gaze control, eye-line detection, and so on.</w:t>
      </w:r>
    </w:p>
    <w:p w:rsidR="00935ABE" w:rsidRPr="00891559" w:rsidRDefault="00935ABE" w:rsidP="00935ABE">
      <w:pPr>
        <w:rPr>
          <w:rFonts w:eastAsia="Malgun Gothic"/>
          <w:lang w:eastAsia="ko-KR"/>
        </w:rPr>
      </w:pPr>
      <w:r w:rsidRPr="00891559">
        <w:t>Videoconference, which</w:t>
      </w:r>
      <w:r w:rsidRPr="00891559">
        <w:rPr>
          <w:rFonts w:hint="eastAsia"/>
        </w:rPr>
        <w:t xml:space="preserve"> is defined in F.703, provides real-time bidirectional transfer of voice and moving colour picture communications. The main </w:t>
      </w:r>
      <w:r w:rsidRPr="00891559">
        <w:t>point of difference between videoconference and telepresence is</w:t>
      </w:r>
      <w:r w:rsidRPr="00891559">
        <w:rPr>
          <w:rFonts w:hint="eastAsia"/>
        </w:rPr>
        <w:t xml:space="preserve"> feeling of immersive and realism. Videoconference only </w:t>
      </w:r>
      <w:r w:rsidRPr="00891559">
        <w:t>satisfies</w:t>
      </w:r>
      <w:r w:rsidRPr="00891559">
        <w:rPr>
          <w:rFonts w:hint="eastAsia"/>
        </w:rPr>
        <w:t xml:space="preserve"> that user can see remote user</w:t>
      </w:r>
      <w:r w:rsidRPr="00891559">
        <w:t>’</w:t>
      </w:r>
      <w:r w:rsidRPr="00891559">
        <w:rPr>
          <w:rFonts w:hint="eastAsia"/>
        </w:rPr>
        <w:t>s movement or face whereas telepresence aims at strong sense of realism and presence. Telepresence provides not only high-density video and CD quality spatial audio but also emotional realism functions such as</w:t>
      </w:r>
      <w:r w:rsidRPr="00891559">
        <w:rPr>
          <w:rFonts w:eastAsia="Malgun Gothic" w:hint="eastAsia"/>
          <w:lang w:eastAsia="ko-KR"/>
        </w:rPr>
        <w:t xml:space="preserve"> eye contact, eye line, camera control, gaze control and </w:t>
      </w:r>
      <w:r w:rsidRPr="00891559">
        <w:rPr>
          <w:rFonts w:eastAsia="Malgun Gothic"/>
          <w:lang w:eastAsia="ko-KR"/>
        </w:rPr>
        <w:t>life-size</w:t>
      </w:r>
      <w:r w:rsidRPr="00891559">
        <w:rPr>
          <w:rFonts w:eastAsia="Malgun Gothic" w:hint="eastAsia"/>
          <w:lang w:eastAsia="ko-KR"/>
        </w:rPr>
        <w:t xml:space="preserve"> video as if remote participants seem to be located in front of user. It also </w:t>
      </w:r>
      <w:r w:rsidRPr="00891559">
        <w:rPr>
          <w:rFonts w:eastAsia="Malgun Gothic"/>
          <w:lang w:eastAsia="ko-KR"/>
        </w:rPr>
        <w:t>support</w:t>
      </w:r>
      <w:r w:rsidRPr="00891559">
        <w:rPr>
          <w:rFonts w:eastAsia="Malgun Gothic" w:hint="eastAsia"/>
          <w:lang w:eastAsia="ko-KR"/>
        </w:rPr>
        <w:t>s multiple displays, microphones and speakers whereas videoconference is usually composed of one audio-visual device. In addition, i</w:t>
      </w:r>
      <w:r w:rsidRPr="00891559">
        <w:rPr>
          <w:rFonts w:eastAsia="Malgun Gothic"/>
          <w:lang w:eastAsia="ko-KR"/>
        </w:rPr>
        <w:t>n order to achieve realistic experiences</w:t>
      </w:r>
      <w:r w:rsidRPr="00891559">
        <w:rPr>
          <w:rFonts w:eastAsia="Malgun Gothic" w:hint="eastAsia"/>
          <w:lang w:eastAsia="ko-KR"/>
        </w:rPr>
        <w:t xml:space="preserve"> on remote user</w:t>
      </w:r>
      <w:r w:rsidRPr="00891559">
        <w:rPr>
          <w:rFonts w:eastAsia="Malgun Gothic"/>
          <w:lang w:eastAsia="ko-KR"/>
        </w:rPr>
        <w:t>’</w:t>
      </w:r>
      <w:r w:rsidRPr="00891559">
        <w:rPr>
          <w:rFonts w:eastAsia="Malgun Gothic" w:hint="eastAsia"/>
          <w:lang w:eastAsia="ko-KR"/>
        </w:rPr>
        <w:t>s presence</w:t>
      </w:r>
      <w:r w:rsidRPr="00891559">
        <w:rPr>
          <w:rFonts w:eastAsia="Malgun Gothic"/>
          <w:lang w:eastAsia="ko-KR"/>
        </w:rPr>
        <w:t xml:space="preserve">, </w:t>
      </w:r>
      <w:r w:rsidRPr="00891559">
        <w:rPr>
          <w:rFonts w:eastAsia="Malgun Gothic" w:hint="eastAsia"/>
          <w:lang w:eastAsia="ko-KR"/>
        </w:rPr>
        <w:t xml:space="preserve">telepresence </w:t>
      </w:r>
      <w:r w:rsidRPr="00891559">
        <w:t>provide</w:t>
      </w:r>
      <w:r w:rsidRPr="00891559">
        <w:rPr>
          <w:rFonts w:hint="eastAsia"/>
        </w:rPr>
        <w:t>s</w:t>
      </w:r>
      <w:r w:rsidRPr="00891559">
        <w:t xml:space="preserve"> </w:t>
      </w:r>
      <w:r w:rsidRPr="00891559">
        <w:rPr>
          <w:rFonts w:hint="eastAsia"/>
        </w:rPr>
        <w:t xml:space="preserve">cooperation functions such as remote presentation and file transfer as well as </w:t>
      </w:r>
      <w:r w:rsidRPr="00891559">
        <w:t>high-quality audio-visual multimedia</w:t>
      </w:r>
      <w:r w:rsidRPr="00891559">
        <w:rPr>
          <w:rFonts w:eastAsia="Malgun Gothic"/>
          <w:lang w:eastAsia="ko-KR"/>
        </w:rPr>
        <w:t xml:space="preserve"> stream</w:t>
      </w:r>
      <w:r w:rsidRPr="00891559">
        <w:rPr>
          <w:rFonts w:eastAsia="Malgun Gothic" w:hint="eastAsia"/>
          <w:lang w:eastAsia="ko-KR"/>
        </w:rPr>
        <w:t>.</w:t>
      </w:r>
    </w:p>
    <w:p w:rsidR="00935ABE" w:rsidRPr="00891559" w:rsidRDefault="00935ABE" w:rsidP="00935ABE">
      <w:pPr>
        <w:pStyle w:val="Heading2Unnumbered"/>
      </w:pPr>
      <w:r>
        <w:t>A</w:t>
      </w:r>
      <w:r w:rsidRPr="00891559">
        <w:t>.7</w:t>
      </w:r>
      <w:r w:rsidRPr="00891559">
        <w:tab/>
        <w:t>Telepresence Use Cases Involving Everyday Terminals</w:t>
      </w:r>
    </w:p>
    <w:p w:rsidR="00935ABE" w:rsidRPr="00891559" w:rsidRDefault="00935ABE" w:rsidP="00935ABE">
      <w:pPr>
        <w:rPr>
          <w:rFonts w:eastAsia="Malgun Gothic"/>
          <w:lang w:eastAsia="ko-KR"/>
        </w:rPr>
      </w:pPr>
      <w:r w:rsidRPr="00891559">
        <w:t xml:space="preserve">The text below is taken from </w:t>
      </w:r>
      <w:hyperlink r:id="rId30" w:history="1">
        <w:r w:rsidRPr="00891559">
          <w:rPr>
            <w:rStyle w:val="Hyperlink"/>
          </w:rPr>
          <w:t>AVD-4088</w:t>
        </w:r>
      </w:hyperlink>
      <w:r w:rsidRPr="00891559">
        <w:t>. The experts believe that these use cases could be of value in assessing interoperability.</w:t>
      </w:r>
    </w:p>
    <w:p w:rsidR="00935ABE" w:rsidRPr="00891559" w:rsidRDefault="00935ABE" w:rsidP="00935ABE">
      <w:pPr>
        <w:pStyle w:val="Heading3Unnumbered"/>
      </w:pPr>
      <w:r>
        <w:t>A</w:t>
      </w:r>
      <w:r w:rsidRPr="00891559">
        <w:t>.7.1</w:t>
      </w:r>
      <w:r w:rsidRPr="00891559">
        <w:tab/>
      </w:r>
      <w:r>
        <w:tab/>
      </w:r>
      <w:r w:rsidRPr="00891559">
        <w:t>Unified communications terminals for business</w:t>
      </w:r>
    </w:p>
    <w:p w:rsidR="00935ABE" w:rsidRPr="00891559" w:rsidRDefault="00935ABE" w:rsidP="00935ABE">
      <w:r w:rsidRPr="00891559">
        <w:t>Figure 1 shows a unified communications use case. In this use case a tablet is connected to a conference speakerphone. The benefits of Telepresence in this use case include better talker identification and less fatigue.</w:t>
      </w:r>
    </w:p>
    <w:p w:rsidR="00935ABE" w:rsidRPr="00891559" w:rsidRDefault="00935ABE" w:rsidP="00935AB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935ABE" w:rsidRPr="004D4C9E" w:rsidTr="001D3D36">
        <w:tc>
          <w:tcPr>
            <w:tcW w:w="9855" w:type="dxa"/>
          </w:tcPr>
          <w:p w:rsidR="00935ABE" w:rsidRPr="004D4C9E" w:rsidRDefault="00935ABE" w:rsidP="001D3D36">
            <w:pPr>
              <w:pStyle w:val="Figure"/>
            </w:pPr>
            <w:r w:rsidRPr="004D4C9E">
              <w:rPr>
                <w:noProof/>
                <w:lang w:val="en-US"/>
              </w:rPr>
              <w:lastRenderedPageBreak/>
              <w:drawing>
                <wp:inline distT="0" distB="0" distL="0" distR="0" wp14:anchorId="26C8EBFF" wp14:editId="05125A6D">
                  <wp:extent cx="914400" cy="364490"/>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914400" cy="364490"/>
                          </a:xfrm>
                          <a:prstGeom prst="rect">
                            <a:avLst/>
                          </a:prstGeom>
                          <a:noFill/>
                          <a:ln w="9525">
                            <a:noFill/>
                            <a:miter lim="800000"/>
                            <a:headEnd/>
                            <a:tailEnd/>
                          </a:ln>
                        </pic:spPr>
                      </pic:pic>
                    </a:graphicData>
                  </a:graphic>
                </wp:inline>
              </w:drawing>
            </w:r>
            <w:r w:rsidRPr="004D4C9E">
              <w:rPr>
                <w:noProof/>
                <w:lang w:val="en-US"/>
              </w:rPr>
              <w:drawing>
                <wp:inline distT="0" distB="0" distL="0" distR="0" wp14:anchorId="2C23B156" wp14:editId="7056EA62">
                  <wp:extent cx="6092190" cy="1997075"/>
                  <wp:effectExtent l="19050" t="0" r="381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6092190" cy="1997075"/>
                          </a:xfrm>
                          <a:prstGeom prst="rect">
                            <a:avLst/>
                          </a:prstGeom>
                          <a:noFill/>
                          <a:ln w="9525">
                            <a:noFill/>
                            <a:miter lim="800000"/>
                            <a:headEnd/>
                            <a:tailEnd/>
                          </a:ln>
                        </pic:spPr>
                      </pic:pic>
                    </a:graphicData>
                  </a:graphic>
                </wp:inline>
              </w:drawing>
            </w:r>
          </w:p>
        </w:tc>
      </w:tr>
    </w:tbl>
    <w:p w:rsidR="00935ABE" w:rsidRPr="00891559" w:rsidRDefault="00935ABE" w:rsidP="00935ABE">
      <w:pPr>
        <w:pStyle w:val="FigureNotitle"/>
      </w:pPr>
      <w:r w:rsidRPr="00891559">
        <w:t>Figure 1</w:t>
      </w:r>
      <w:r>
        <w:t>:</w:t>
      </w:r>
      <w:r w:rsidRPr="00891559">
        <w:t xml:space="preserve"> Unified communications use case</w:t>
      </w:r>
    </w:p>
    <w:p w:rsidR="00935ABE" w:rsidRPr="00891559" w:rsidRDefault="00935ABE" w:rsidP="00935ABE">
      <w:pPr>
        <w:pStyle w:val="Heading3Unnumbered"/>
      </w:pPr>
      <w:r>
        <w:t>A</w:t>
      </w:r>
      <w:r w:rsidRPr="00891559">
        <w:t>.7.2</w:t>
      </w:r>
      <w:r w:rsidRPr="00891559">
        <w:tab/>
        <w:t>Home terminals for connecting family</w:t>
      </w:r>
    </w:p>
    <w:p w:rsidR="00935ABE" w:rsidRPr="00891559" w:rsidRDefault="00935ABE" w:rsidP="00935ABE">
      <w:r w:rsidRPr="00891559">
        <w:t xml:space="preserve">Figure 2 shows a home terminal use case. In this use case a student using a laptop is calling home to family using a telepresence-enabled TV. The greater “sense of presence” is important in this situation. Note that some playback systems (e.g., home theatre, vehicle, binaural headset) will result in sounds being perceived from behind the listener.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935ABE" w:rsidRPr="004D4C9E" w:rsidTr="001D3D36">
        <w:trPr>
          <w:cantSplit/>
        </w:trPr>
        <w:tc>
          <w:tcPr>
            <w:tcW w:w="9855" w:type="dxa"/>
          </w:tcPr>
          <w:p w:rsidR="00935ABE" w:rsidRPr="004D4C9E" w:rsidRDefault="00935ABE" w:rsidP="001D3D36">
            <w:pPr>
              <w:pStyle w:val="Figure"/>
            </w:pPr>
            <w:r w:rsidRPr="004D4C9E">
              <w:rPr>
                <w:noProof/>
                <w:lang w:val="en-US"/>
              </w:rPr>
              <w:drawing>
                <wp:inline distT="0" distB="0" distL="0" distR="0" wp14:anchorId="7CC46A54" wp14:editId="16300491">
                  <wp:extent cx="914400" cy="364490"/>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a:stretch>
                            <a:fillRect/>
                          </a:stretch>
                        </pic:blipFill>
                        <pic:spPr bwMode="auto">
                          <a:xfrm>
                            <a:off x="0" y="0"/>
                            <a:ext cx="914400" cy="364490"/>
                          </a:xfrm>
                          <a:prstGeom prst="rect">
                            <a:avLst/>
                          </a:prstGeom>
                          <a:noFill/>
                          <a:ln w="9525">
                            <a:noFill/>
                            <a:miter lim="800000"/>
                            <a:headEnd/>
                            <a:tailEnd/>
                          </a:ln>
                        </pic:spPr>
                      </pic:pic>
                    </a:graphicData>
                  </a:graphic>
                </wp:inline>
              </w:drawing>
            </w:r>
            <w:r w:rsidRPr="004D4C9E">
              <w:rPr>
                <w:noProof/>
                <w:lang w:val="en-US"/>
              </w:rPr>
              <w:drawing>
                <wp:inline distT="0" distB="0" distL="0" distR="0" wp14:anchorId="4B2BDF4E" wp14:editId="6D2288C0">
                  <wp:extent cx="6092190" cy="1991360"/>
                  <wp:effectExtent l="19050" t="0" r="381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srcRect/>
                          <a:stretch>
                            <a:fillRect/>
                          </a:stretch>
                        </pic:blipFill>
                        <pic:spPr bwMode="auto">
                          <a:xfrm>
                            <a:off x="0" y="0"/>
                            <a:ext cx="6092190" cy="1991360"/>
                          </a:xfrm>
                          <a:prstGeom prst="rect">
                            <a:avLst/>
                          </a:prstGeom>
                          <a:noFill/>
                          <a:ln w="9525">
                            <a:noFill/>
                            <a:miter lim="800000"/>
                            <a:headEnd/>
                            <a:tailEnd/>
                          </a:ln>
                        </pic:spPr>
                      </pic:pic>
                    </a:graphicData>
                  </a:graphic>
                </wp:inline>
              </w:drawing>
            </w:r>
          </w:p>
        </w:tc>
      </w:tr>
    </w:tbl>
    <w:p w:rsidR="00935ABE" w:rsidRPr="00A42AC6" w:rsidRDefault="00935ABE" w:rsidP="00935ABE">
      <w:pPr>
        <w:pStyle w:val="FigureNotitle"/>
      </w:pPr>
      <w:r w:rsidRPr="00A42AC6">
        <w:t>Figure 2: Home terminal use case</w:t>
      </w:r>
    </w:p>
    <w:p w:rsidR="00935ABE" w:rsidRPr="00891559" w:rsidRDefault="00935ABE" w:rsidP="00935ABE">
      <w:pPr>
        <w:pStyle w:val="Heading3Unnumbered"/>
      </w:pPr>
      <w:r>
        <w:t>A</w:t>
      </w:r>
      <w:r w:rsidRPr="00891559">
        <w:t>.7.3</w:t>
      </w:r>
      <w:r>
        <w:tab/>
      </w:r>
      <w:r w:rsidRPr="00891559">
        <w:t>Automotive terminals for reduced driver distraction</w:t>
      </w:r>
    </w:p>
    <w:p w:rsidR="00935ABE" w:rsidRPr="00891559" w:rsidRDefault="00935ABE" w:rsidP="00935ABE">
      <w:r w:rsidRPr="00891559">
        <w:t xml:space="preserve">Figure 3 shows an automotive terminal use case. In this use case employees in a vehicle are calling into a conference room. Although the exact benefits still need to be quantified, Telepresence systems have the potential to reduce driver distraction. This use case also illustrates how spatial capture and playback is decoupled from signal transport. Peripherals provide spatial capture and playback. Mobile phones provide signal transport.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935ABE" w:rsidRPr="004D4C9E" w:rsidTr="001D3D36">
        <w:trPr>
          <w:cantSplit/>
        </w:trPr>
        <w:tc>
          <w:tcPr>
            <w:tcW w:w="9855" w:type="dxa"/>
          </w:tcPr>
          <w:p w:rsidR="00935ABE" w:rsidRPr="004D4C9E" w:rsidRDefault="00935ABE" w:rsidP="001D3D36">
            <w:pPr>
              <w:pStyle w:val="Figure"/>
            </w:pPr>
            <w:r w:rsidRPr="004D4C9E">
              <w:rPr>
                <w:noProof/>
                <w:lang w:val="en-US"/>
              </w:rPr>
              <w:lastRenderedPageBreak/>
              <w:drawing>
                <wp:inline distT="0" distB="0" distL="0" distR="0" wp14:anchorId="4420EFE5" wp14:editId="3EA00D9E">
                  <wp:extent cx="914400" cy="364490"/>
                  <wp:effectExtent l="19050" t="0" r="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srcRect/>
                          <a:stretch>
                            <a:fillRect/>
                          </a:stretch>
                        </pic:blipFill>
                        <pic:spPr bwMode="auto">
                          <a:xfrm>
                            <a:off x="0" y="0"/>
                            <a:ext cx="914400" cy="364490"/>
                          </a:xfrm>
                          <a:prstGeom prst="rect">
                            <a:avLst/>
                          </a:prstGeom>
                          <a:noFill/>
                          <a:ln w="9525">
                            <a:noFill/>
                            <a:miter lim="800000"/>
                            <a:headEnd/>
                            <a:tailEnd/>
                          </a:ln>
                        </pic:spPr>
                      </pic:pic>
                    </a:graphicData>
                  </a:graphic>
                </wp:inline>
              </w:drawing>
            </w:r>
            <w:r w:rsidRPr="004D4C9E">
              <w:rPr>
                <w:noProof/>
                <w:lang w:val="en-US"/>
              </w:rPr>
              <w:drawing>
                <wp:inline distT="0" distB="0" distL="0" distR="0" wp14:anchorId="1D372FAE" wp14:editId="692CF269">
                  <wp:extent cx="6097905" cy="2081530"/>
                  <wp:effectExtent l="1905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srcRect/>
                          <a:stretch>
                            <a:fillRect/>
                          </a:stretch>
                        </pic:blipFill>
                        <pic:spPr bwMode="auto">
                          <a:xfrm>
                            <a:off x="0" y="0"/>
                            <a:ext cx="6097905" cy="2081530"/>
                          </a:xfrm>
                          <a:prstGeom prst="rect">
                            <a:avLst/>
                          </a:prstGeom>
                          <a:noFill/>
                          <a:ln w="9525">
                            <a:noFill/>
                            <a:miter lim="800000"/>
                            <a:headEnd/>
                            <a:tailEnd/>
                          </a:ln>
                        </pic:spPr>
                      </pic:pic>
                    </a:graphicData>
                  </a:graphic>
                </wp:inline>
              </w:drawing>
            </w:r>
          </w:p>
        </w:tc>
      </w:tr>
    </w:tbl>
    <w:p w:rsidR="00935ABE" w:rsidRPr="00891559" w:rsidRDefault="00935ABE" w:rsidP="00935ABE">
      <w:pPr>
        <w:pStyle w:val="FigureNotitle"/>
      </w:pPr>
      <w:r>
        <w:t>Figure 3:</w:t>
      </w:r>
      <w:r w:rsidRPr="00891559">
        <w:t xml:space="preserve"> Automotive terminal use case</w:t>
      </w:r>
    </w:p>
    <w:p w:rsidR="00935ABE" w:rsidRPr="00891559" w:rsidRDefault="00935ABE" w:rsidP="00935ABE">
      <w:pPr>
        <w:pStyle w:val="Heading3Unnumbered"/>
      </w:pPr>
      <w:r>
        <w:t>A</w:t>
      </w:r>
      <w:r w:rsidRPr="00891559">
        <w:t>.7.4</w:t>
      </w:r>
      <w:r w:rsidRPr="00891559">
        <w:tab/>
        <w:t>Medical terminals for better situation awareness</w:t>
      </w:r>
    </w:p>
    <w:p w:rsidR="00935ABE" w:rsidRPr="00891559" w:rsidRDefault="00935ABE" w:rsidP="00935ABE">
      <w:r w:rsidRPr="00891559">
        <w:t xml:space="preserve">Figure 4 shows a medical terminal use case. A Telepresence terminal built-in to the hospital bed is communicating with a tablet at the nursing station. The nurse has better situation awareness and the patient can hear nurse better. Note that TeleMedicine applications may have more stringent requirements than the use case described here.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935ABE" w:rsidTr="001D3D36">
        <w:trPr>
          <w:cantSplit/>
        </w:trPr>
        <w:tc>
          <w:tcPr>
            <w:tcW w:w="9855" w:type="dxa"/>
          </w:tcPr>
          <w:p w:rsidR="00935ABE" w:rsidRDefault="00935ABE" w:rsidP="001D3D36">
            <w:pPr>
              <w:pStyle w:val="Figure"/>
            </w:pPr>
            <w:r w:rsidRPr="00891559">
              <w:rPr>
                <w:noProof/>
                <w:lang w:val="en-US"/>
              </w:rPr>
              <w:drawing>
                <wp:inline distT="0" distB="0" distL="0" distR="0" wp14:anchorId="668F4D9B" wp14:editId="22A118D7">
                  <wp:extent cx="914400" cy="364490"/>
                  <wp:effectExtent l="19050" t="0" r="0" b="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914400" cy="364490"/>
                          </a:xfrm>
                          <a:prstGeom prst="rect">
                            <a:avLst/>
                          </a:prstGeom>
                          <a:noFill/>
                          <a:ln w="9525">
                            <a:noFill/>
                            <a:miter lim="800000"/>
                            <a:headEnd/>
                            <a:tailEnd/>
                          </a:ln>
                        </pic:spPr>
                      </pic:pic>
                    </a:graphicData>
                  </a:graphic>
                </wp:inline>
              </w:drawing>
            </w:r>
            <w:r w:rsidRPr="00891559">
              <w:rPr>
                <w:noProof/>
                <w:lang w:val="en-US"/>
              </w:rPr>
              <w:drawing>
                <wp:inline distT="0" distB="0" distL="0" distR="0" wp14:anchorId="1942A84E" wp14:editId="2D3F74A8">
                  <wp:extent cx="6092190" cy="1991360"/>
                  <wp:effectExtent l="19050" t="0" r="3810" b="0"/>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srcRect/>
                          <a:stretch>
                            <a:fillRect/>
                          </a:stretch>
                        </pic:blipFill>
                        <pic:spPr bwMode="auto">
                          <a:xfrm>
                            <a:off x="0" y="0"/>
                            <a:ext cx="6092190" cy="1991360"/>
                          </a:xfrm>
                          <a:prstGeom prst="rect">
                            <a:avLst/>
                          </a:prstGeom>
                          <a:noFill/>
                          <a:ln w="9525">
                            <a:noFill/>
                            <a:miter lim="800000"/>
                            <a:headEnd/>
                            <a:tailEnd/>
                          </a:ln>
                        </pic:spPr>
                      </pic:pic>
                    </a:graphicData>
                  </a:graphic>
                </wp:inline>
              </w:drawing>
            </w:r>
          </w:p>
          <w:p w:rsidR="00935ABE" w:rsidRDefault="00935ABE" w:rsidP="001D3D36">
            <w:pPr>
              <w:pStyle w:val="Figure"/>
            </w:pPr>
          </w:p>
        </w:tc>
      </w:tr>
    </w:tbl>
    <w:p w:rsidR="00935ABE" w:rsidRPr="00891559" w:rsidRDefault="00935ABE" w:rsidP="00935ABE">
      <w:pPr>
        <w:pStyle w:val="FigureNotitle"/>
      </w:pPr>
      <w:r>
        <w:t>Figure 4:</w:t>
      </w:r>
      <w:r w:rsidRPr="00891559">
        <w:t xml:space="preserve"> Medical terminals use case</w:t>
      </w:r>
    </w:p>
    <w:p w:rsidR="00935ABE" w:rsidRPr="00891559" w:rsidRDefault="00935ABE" w:rsidP="00935ABE">
      <w:pPr>
        <w:pStyle w:val="Heading3Unnumbered"/>
      </w:pPr>
      <w:r>
        <w:t>A</w:t>
      </w:r>
      <w:r w:rsidRPr="00891559">
        <w:t>.7.5</w:t>
      </w:r>
      <w:r w:rsidRPr="00891559">
        <w:tab/>
        <w:t>Personal computers for improved collaboration</w:t>
      </w:r>
    </w:p>
    <w:p w:rsidR="00935ABE" w:rsidRPr="00891559" w:rsidRDefault="00935ABE" w:rsidP="00935ABE">
      <w:r w:rsidRPr="00891559">
        <w:t xml:space="preserve">Figure 5 shows the personal computer use case. Connected laptops are everywhere. Headphones shown at one of the locations enable localizing sound sources behind the listener.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935ABE" w:rsidRPr="004D4C9E" w:rsidTr="001D3D36">
        <w:trPr>
          <w:cantSplit/>
        </w:trPr>
        <w:tc>
          <w:tcPr>
            <w:tcW w:w="9855" w:type="dxa"/>
          </w:tcPr>
          <w:p w:rsidR="00935ABE" w:rsidRPr="004D4C9E" w:rsidRDefault="00935ABE" w:rsidP="001D3D36">
            <w:pPr>
              <w:pStyle w:val="Figure"/>
            </w:pPr>
            <w:r w:rsidRPr="00891559">
              <w:rPr>
                <w:noProof/>
                <w:lang w:val="en-US"/>
              </w:rPr>
              <w:lastRenderedPageBreak/>
              <w:drawing>
                <wp:inline distT="0" distB="0" distL="0" distR="0" wp14:anchorId="7A43C1C3" wp14:editId="146D414A">
                  <wp:extent cx="914400" cy="364490"/>
                  <wp:effectExtent l="19050" t="0" r="0"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914400" cy="364490"/>
                          </a:xfrm>
                          <a:prstGeom prst="rect">
                            <a:avLst/>
                          </a:prstGeom>
                          <a:noFill/>
                          <a:ln w="9525">
                            <a:noFill/>
                            <a:miter lim="800000"/>
                            <a:headEnd/>
                            <a:tailEnd/>
                          </a:ln>
                        </pic:spPr>
                      </pic:pic>
                    </a:graphicData>
                  </a:graphic>
                </wp:inline>
              </w:drawing>
            </w:r>
            <w:r w:rsidRPr="00891559">
              <w:rPr>
                <w:noProof/>
                <w:lang w:val="en-US"/>
              </w:rPr>
              <w:drawing>
                <wp:inline distT="0" distB="0" distL="0" distR="0" wp14:anchorId="3E6E797E" wp14:editId="2F37A6CC">
                  <wp:extent cx="6092190" cy="1991360"/>
                  <wp:effectExtent l="19050" t="0" r="3810" b="0"/>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6092190" cy="1991360"/>
                          </a:xfrm>
                          <a:prstGeom prst="rect">
                            <a:avLst/>
                          </a:prstGeom>
                          <a:noFill/>
                          <a:ln w="9525">
                            <a:noFill/>
                            <a:miter lim="800000"/>
                            <a:headEnd/>
                            <a:tailEnd/>
                          </a:ln>
                        </pic:spPr>
                      </pic:pic>
                    </a:graphicData>
                  </a:graphic>
                </wp:inline>
              </w:drawing>
            </w:r>
          </w:p>
        </w:tc>
      </w:tr>
    </w:tbl>
    <w:p w:rsidR="00935ABE" w:rsidRPr="00891559" w:rsidRDefault="00935ABE" w:rsidP="00935ABE">
      <w:pPr>
        <w:pStyle w:val="FigureNotitle"/>
      </w:pPr>
      <w:r w:rsidRPr="00891559">
        <w:t>Figure 5</w:t>
      </w:r>
      <w:r>
        <w:t>:</w:t>
      </w:r>
      <w:r w:rsidRPr="00891559">
        <w:t xml:space="preserve"> Personal computer use case</w:t>
      </w:r>
    </w:p>
    <w:p w:rsidR="00935ABE" w:rsidRPr="00891559" w:rsidRDefault="00935ABE" w:rsidP="00935ABE">
      <w:pPr>
        <w:pStyle w:val="Heading3Unnumbered"/>
      </w:pPr>
      <w:r>
        <w:t>A</w:t>
      </w:r>
      <w:r w:rsidRPr="00891559">
        <w:t>.7.6</w:t>
      </w:r>
      <w:r w:rsidRPr="00891559">
        <w:tab/>
        <w:t>Multi-party conferencing</w:t>
      </w:r>
    </w:p>
    <w:p w:rsidR="00935ABE" w:rsidRPr="00891559" w:rsidRDefault="00935ABE" w:rsidP="00935ABE">
      <w:r w:rsidRPr="00891559">
        <w:t xml:space="preserve">Figure 6 shows the multi-party conferencing use case. Multi-party conferencing can be enhanced by localizing the image of each party from a different location. </w:t>
      </w:r>
    </w:p>
    <w:tbl>
      <w:tblPr>
        <w:tblW w:w="0" w:type="auto"/>
        <w:jc w:val="center"/>
        <w:tblLook w:val="04A0" w:firstRow="1" w:lastRow="0" w:firstColumn="1" w:lastColumn="0" w:noHBand="0" w:noVBand="1"/>
      </w:tblPr>
      <w:tblGrid>
        <w:gridCol w:w="8766"/>
      </w:tblGrid>
      <w:tr w:rsidR="00935ABE" w:rsidRPr="004D4C9E" w:rsidTr="001D3D36">
        <w:trPr>
          <w:cantSplit/>
          <w:jc w:val="center"/>
        </w:trPr>
        <w:tc>
          <w:tcPr>
            <w:tcW w:w="8766" w:type="dxa"/>
          </w:tcPr>
          <w:p w:rsidR="00935ABE" w:rsidRPr="004D4C9E" w:rsidRDefault="00935ABE" w:rsidP="001D3D36">
            <w:pPr>
              <w:pStyle w:val="Figure"/>
            </w:pPr>
            <w:r w:rsidRPr="004D4C9E">
              <w:rPr>
                <w:noProof/>
                <w:lang w:val="en-US"/>
              </w:rPr>
              <w:drawing>
                <wp:inline distT="0" distB="0" distL="0" distR="0" wp14:anchorId="57FBF8B3" wp14:editId="7880BCC5">
                  <wp:extent cx="914400" cy="364490"/>
                  <wp:effectExtent l="19050" t="0" r="0" b="0"/>
                  <wp:docPr id="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srcRect/>
                          <a:stretch>
                            <a:fillRect/>
                          </a:stretch>
                        </pic:blipFill>
                        <pic:spPr bwMode="auto">
                          <a:xfrm>
                            <a:off x="0" y="0"/>
                            <a:ext cx="914400" cy="364490"/>
                          </a:xfrm>
                          <a:prstGeom prst="rect">
                            <a:avLst/>
                          </a:prstGeom>
                          <a:noFill/>
                          <a:ln w="9525">
                            <a:noFill/>
                            <a:miter lim="800000"/>
                            <a:headEnd/>
                            <a:tailEnd/>
                          </a:ln>
                        </pic:spPr>
                      </pic:pic>
                    </a:graphicData>
                  </a:graphic>
                </wp:inline>
              </w:drawing>
            </w:r>
            <w:r w:rsidRPr="004D4C9E">
              <w:rPr>
                <w:noProof/>
                <w:lang w:val="en-US"/>
              </w:rPr>
              <w:drawing>
                <wp:inline distT="0" distB="0" distL="0" distR="0" wp14:anchorId="7DD6D849" wp14:editId="363458FD">
                  <wp:extent cx="5401310" cy="3078420"/>
                  <wp:effectExtent l="19050" t="0" r="8890" b="0"/>
                  <wp:docPr id="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5400184" cy="3077778"/>
                          </a:xfrm>
                          <a:prstGeom prst="rect">
                            <a:avLst/>
                          </a:prstGeom>
                          <a:noFill/>
                          <a:ln w="9525">
                            <a:noFill/>
                            <a:miter lim="800000"/>
                            <a:headEnd/>
                            <a:tailEnd/>
                          </a:ln>
                        </pic:spPr>
                      </pic:pic>
                    </a:graphicData>
                  </a:graphic>
                </wp:inline>
              </w:drawing>
            </w:r>
          </w:p>
        </w:tc>
      </w:tr>
    </w:tbl>
    <w:p w:rsidR="00935ABE" w:rsidRPr="00891559" w:rsidRDefault="00935ABE" w:rsidP="00935ABE">
      <w:pPr>
        <w:pStyle w:val="FigureNotitle"/>
      </w:pPr>
      <w:r>
        <w:t>Figure 6:</w:t>
      </w:r>
      <w:r w:rsidRPr="00891559">
        <w:t xml:space="preserve"> Multi-party conferencing use case</w:t>
      </w:r>
    </w:p>
    <w:p w:rsidR="00935ABE" w:rsidRPr="00891559" w:rsidRDefault="00935ABE" w:rsidP="00935ABE">
      <w:pPr>
        <w:pStyle w:val="Heading2Unnumbered"/>
      </w:pPr>
      <w:r>
        <w:lastRenderedPageBreak/>
        <w:t>A</w:t>
      </w:r>
      <w:r w:rsidRPr="00891559">
        <w:t>.</w:t>
      </w:r>
      <w:r w:rsidRPr="00891559">
        <w:rPr>
          <w:rFonts w:eastAsia="Malgun Gothic" w:hint="eastAsia"/>
          <w:lang w:eastAsia="ko-KR"/>
        </w:rPr>
        <w:t>8</w:t>
      </w:r>
      <w:r w:rsidRPr="00891559">
        <w:tab/>
      </w:r>
      <w:r w:rsidRPr="00891559">
        <w:rPr>
          <w:lang w:eastAsia="zh-CN"/>
        </w:rPr>
        <w:t>S</w:t>
      </w:r>
      <w:r w:rsidRPr="00891559">
        <w:rPr>
          <w:rFonts w:hint="eastAsia"/>
          <w:lang w:eastAsia="zh-CN"/>
        </w:rPr>
        <w:t xml:space="preserve">ome </w:t>
      </w:r>
      <w:r w:rsidRPr="00891559">
        <w:rPr>
          <w:lang w:eastAsia="zh-CN"/>
        </w:rPr>
        <w:t>D</w:t>
      </w:r>
      <w:r w:rsidRPr="00891559">
        <w:rPr>
          <w:rFonts w:hint="eastAsia"/>
          <w:lang w:eastAsia="zh-CN"/>
        </w:rPr>
        <w:t>efinitions related to Telepresence</w:t>
      </w:r>
      <w:r w:rsidRPr="00891559">
        <w:t xml:space="preserve"> Systems Components</w:t>
      </w:r>
    </w:p>
    <w:p w:rsidR="00935ABE" w:rsidRPr="004D4C9E" w:rsidRDefault="00935ABE" w:rsidP="00935ABE">
      <w:pPr>
        <w:keepNext/>
        <w:rPr>
          <w:highlight w:val="yellow"/>
        </w:rPr>
      </w:pPr>
      <w:r w:rsidRPr="004D4C9E">
        <w:rPr>
          <w:highlight w:val="yellow"/>
        </w:rPr>
        <w:t>[</w:t>
      </w:r>
      <w:r w:rsidRPr="004D4C9E">
        <w:rPr>
          <w:b/>
          <w:bCs/>
          <w:highlight w:val="yellow"/>
        </w:rPr>
        <w:t xml:space="preserve">Editorial note: </w:t>
      </w:r>
      <w:r w:rsidRPr="004D4C9E">
        <w:rPr>
          <w:highlight w:val="yellow"/>
        </w:rPr>
        <w:t xml:space="preserve">The text below is taken from </w:t>
      </w:r>
      <w:hyperlink r:id="rId38" w:history="1">
        <w:r w:rsidRPr="004D4C9E">
          <w:rPr>
            <w:rStyle w:val="Hyperlink"/>
            <w:highlight w:val="yellow"/>
          </w:rPr>
          <w:t>AVD-4082</w:t>
        </w:r>
      </w:hyperlink>
      <w:r w:rsidRPr="004D4C9E">
        <w:rPr>
          <w:highlight w:val="yellow"/>
        </w:rPr>
        <w:t>. Some additional work is needed to align these definitions with the architecture document usage. Further contributions on this are solicited on this topic.]</w:t>
      </w:r>
    </w:p>
    <w:p w:rsidR="00935ABE" w:rsidRPr="00891559" w:rsidRDefault="00935ABE" w:rsidP="00935ABE">
      <w:pPr>
        <w:pStyle w:val="Figure"/>
        <w:rPr>
          <w:rFonts w:ascii="SimSun" w:eastAsia="SimSun" w:cs="SimSun"/>
          <w:color w:val="000000"/>
          <w:sz w:val="20"/>
          <w:lang w:val="en-US" w:eastAsia="zh-CN"/>
        </w:rPr>
      </w:pPr>
      <w:r w:rsidRPr="00891559">
        <w:object w:dxaOrig="8785" w:dyaOrig="56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5pt;height:281.05pt" o:ole="">
            <v:imagedata r:id="rId39" o:title=""/>
          </v:shape>
          <o:OLEObject Type="Embed" ProgID="Visio.Drawing.11" ShapeID="_x0000_i1025" DrawAspect="Content" ObjectID="_1409567563" r:id="rId40"/>
        </w:object>
      </w:r>
    </w:p>
    <w:p w:rsidR="00935ABE" w:rsidRPr="00891559" w:rsidRDefault="00935ABE" w:rsidP="00935ABE">
      <w:pPr>
        <w:pStyle w:val="FigureNotitle"/>
      </w:pPr>
      <w:r>
        <w:t>Figure 7:</w:t>
      </w:r>
      <w:r w:rsidRPr="00891559">
        <w:t xml:space="preserve"> </w:t>
      </w:r>
      <w:r w:rsidRPr="004D4C9E">
        <w:rPr>
          <w:highlight w:val="yellow"/>
        </w:rPr>
        <w:t>[MISSING TITLE]</w:t>
      </w:r>
    </w:p>
    <w:p w:rsidR="00935ABE" w:rsidRPr="00891559" w:rsidRDefault="00935ABE" w:rsidP="00935ABE">
      <w:pPr>
        <w:rPr>
          <w:rFonts w:eastAsia="SimSun"/>
          <w:i/>
          <w:iCs/>
          <w:color w:val="000000"/>
          <w:sz w:val="21"/>
          <w:szCs w:val="21"/>
          <w:lang w:val="en-US" w:eastAsia="zh-CN"/>
        </w:rPr>
      </w:pPr>
      <w:r w:rsidRPr="00891559">
        <w:rPr>
          <w:b/>
        </w:rPr>
        <w:t>Telepresence</w:t>
      </w:r>
      <w:r w:rsidRPr="00891559">
        <w:t xml:space="preserve"> - An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w:t>
      </w:r>
      <w:r w:rsidRPr="004D4C9E">
        <w:t>size.</w:t>
      </w:r>
      <w:r w:rsidRPr="004D4C9E">
        <w:rPr>
          <w:rFonts w:hint="eastAsia"/>
        </w:rPr>
        <w:t xml:space="preserve"> </w:t>
      </w:r>
      <w:r w:rsidRPr="004D4C9E">
        <w:rPr>
          <w:i/>
          <w:iCs/>
        </w:rPr>
        <w:t xml:space="preserve">[NOTE </w:t>
      </w:r>
      <w:r w:rsidRPr="004D4C9E">
        <w:rPr>
          <w:rFonts w:hint="eastAsia"/>
          <w:i/>
          <w:iCs/>
        </w:rPr>
        <w:t>–</w:t>
      </w:r>
      <w:r w:rsidRPr="004D4C9E">
        <w:rPr>
          <w:i/>
          <w:iCs/>
        </w:rPr>
        <w:t xml:space="preserve"> </w:t>
      </w:r>
      <w:r w:rsidRPr="004D4C9E">
        <w:rPr>
          <w:rFonts w:hint="eastAsia"/>
          <w:i/>
          <w:iCs/>
        </w:rPr>
        <w:t>From</w:t>
      </w:r>
      <w:r w:rsidRPr="004D4C9E">
        <w:rPr>
          <w:i/>
          <w:iCs/>
        </w:rPr>
        <w:t xml:space="preserve"> Living List for Q5/16</w:t>
      </w:r>
      <w:r w:rsidRPr="004D4C9E">
        <w:rPr>
          <w:rFonts w:hint="eastAsia"/>
          <w:i/>
          <w:iCs/>
        </w:rPr>
        <w:t xml:space="preserve"> </w:t>
      </w:r>
      <w:r w:rsidRPr="004D4C9E">
        <w:rPr>
          <w:i/>
          <w:iCs/>
        </w:rPr>
        <w:t>]</w:t>
      </w:r>
    </w:p>
    <w:p w:rsidR="00935ABE" w:rsidRPr="00891559" w:rsidRDefault="00935ABE" w:rsidP="00935ABE">
      <w:pPr>
        <w:widowControl w:val="0"/>
        <w:overflowPunct/>
        <w:textAlignment w:val="auto"/>
        <w:rPr>
          <w:rFonts w:eastAsia="SimSun"/>
          <w:color w:val="000000"/>
          <w:szCs w:val="24"/>
          <w:lang w:val="en-US" w:eastAsia="zh-CN"/>
        </w:rPr>
      </w:pPr>
      <w:r w:rsidRPr="00891559">
        <w:rPr>
          <w:rFonts w:eastAsia="SimSun"/>
          <w:b/>
          <w:bCs/>
          <w:color w:val="000000"/>
          <w:szCs w:val="24"/>
          <w:lang w:val="en-US" w:eastAsia="zh-CN"/>
        </w:rPr>
        <w:t>Telepresence system</w:t>
      </w:r>
      <w:r w:rsidRPr="00891559">
        <w:rPr>
          <w:rFonts w:eastAsia="SimSun"/>
          <w:color w:val="000000"/>
          <w:szCs w:val="24"/>
          <w:lang w:val="en-US" w:eastAsia="zh-CN"/>
        </w:rPr>
        <w:t xml:space="preserve">: A complete telepresence system consists of telepresence network </w:t>
      </w:r>
      <w:r w:rsidRPr="00891559">
        <w:rPr>
          <w:lang w:val="en-US"/>
        </w:rPr>
        <w:t>subsystem</w:t>
      </w:r>
      <w:r w:rsidRPr="00891559">
        <w:rPr>
          <w:rFonts w:eastAsia="SimSun"/>
          <w:color w:val="000000"/>
          <w:szCs w:val="24"/>
          <w:lang w:val="en-US" w:eastAsia="zh-CN"/>
        </w:rPr>
        <w:t xml:space="preserve"> and telepresence terminal </w:t>
      </w:r>
      <w:r w:rsidRPr="00891559">
        <w:rPr>
          <w:lang w:val="en-US"/>
        </w:rPr>
        <w:t>subsystem</w:t>
      </w:r>
      <w:r w:rsidRPr="00891559">
        <w:rPr>
          <w:rFonts w:eastAsia="SimSun"/>
          <w:color w:val="000000"/>
          <w:szCs w:val="24"/>
          <w:lang w:val="en-US" w:eastAsia="zh-CN"/>
        </w:rPr>
        <w:t>, which function together to provide the user experience of Telepresence.</w:t>
      </w:r>
      <w:r w:rsidRPr="00891559">
        <w:rPr>
          <w:rFonts w:eastAsia="SimSun" w:hint="eastAsia"/>
          <w:color w:val="000000"/>
          <w:szCs w:val="24"/>
          <w:lang w:val="en-US" w:eastAsia="zh-CN"/>
        </w:rPr>
        <w:t xml:space="preserve"> </w:t>
      </w:r>
    </w:p>
    <w:p w:rsidR="00935ABE" w:rsidRPr="00891559" w:rsidRDefault="00935ABE" w:rsidP="00935ABE">
      <w:pPr>
        <w:widowControl w:val="0"/>
        <w:overflowPunct/>
        <w:textAlignment w:val="auto"/>
        <w:rPr>
          <w:rFonts w:eastAsia="SimSun"/>
          <w:color w:val="000000"/>
          <w:szCs w:val="24"/>
          <w:lang w:val="en-US" w:eastAsia="zh-CN"/>
        </w:rPr>
      </w:pPr>
      <w:r w:rsidRPr="00891559">
        <w:rPr>
          <w:rFonts w:eastAsia="SimSun"/>
          <w:b/>
          <w:bCs/>
          <w:color w:val="000000"/>
          <w:szCs w:val="24"/>
          <w:lang w:val="en-US" w:eastAsia="zh-CN"/>
        </w:rPr>
        <w:t>Telepresence network subsystem</w:t>
      </w:r>
      <w:r w:rsidRPr="00891559">
        <w:rPr>
          <w:rFonts w:eastAsia="SimSun"/>
          <w:color w:val="000000"/>
          <w:szCs w:val="24"/>
          <w:lang w:val="en-US" w:eastAsia="zh-CN"/>
        </w:rPr>
        <w:t xml:space="preserve"> include Telepresence MCU, Gatekeeper, Gateway, etc, providing registration and management </w:t>
      </w:r>
      <w:r w:rsidRPr="00891559">
        <w:rPr>
          <w:rFonts w:eastAsia="SimSun" w:hint="eastAsia"/>
          <w:color w:val="000000"/>
          <w:szCs w:val="24"/>
          <w:lang w:val="en-US" w:eastAsia="zh-CN"/>
        </w:rPr>
        <w:t xml:space="preserve">of </w:t>
      </w:r>
      <w:r w:rsidRPr="00891559">
        <w:rPr>
          <w:rFonts w:eastAsia="SimSun"/>
          <w:color w:val="000000"/>
          <w:szCs w:val="24"/>
          <w:lang w:val="en-US" w:eastAsia="zh-CN"/>
        </w:rPr>
        <w:t>Telepresence terminal and user, and control of Telepresence call setup, media negotiation and meeting control, appropriate translation between transmission formats, etc.</w:t>
      </w:r>
      <w:r w:rsidRPr="00891559">
        <w:rPr>
          <w:rFonts w:eastAsia="SimSun" w:hint="eastAsia"/>
          <w:color w:val="000000"/>
          <w:szCs w:val="24"/>
          <w:lang w:val="en-US" w:eastAsia="zh-CN"/>
        </w:rPr>
        <w:t xml:space="preserve"> </w:t>
      </w:r>
    </w:p>
    <w:p w:rsidR="00935ABE" w:rsidRPr="00891559" w:rsidRDefault="00935ABE" w:rsidP="00935ABE">
      <w:pPr>
        <w:widowControl w:val="0"/>
        <w:overflowPunct/>
        <w:textAlignment w:val="auto"/>
        <w:rPr>
          <w:rFonts w:eastAsia="SimSun"/>
          <w:color w:val="000000"/>
          <w:szCs w:val="24"/>
          <w:lang w:val="en-US" w:eastAsia="zh-CN"/>
        </w:rPr>
      </w:pPr>
      <w:r w:rsidRPr="00891559">
        <w:rPr>
          <w:rFonts w:eastAsia="SimSun"/>
          <w:b/>
          <w:bCs/>
          <w:color w:val="000000"/>
          <w:szCs w:val="24"/>
          <w:lang w:val="en-US" w:eastAsia="zh-CN"/>
        </w:rPr>
        <w:t>Telepresence terminal subsystem</w:t>
      </w:r>
      <w:r w:rsidRPr="00891559">
        <w:rPr>
          <w:rFonts w:eastAsia="SimSun" w:hint="eastAsia"/>
          <w:b/>
          <w:bCs/>
          <w:color w:val="000000"/>
          <w:szCs w:val="24"/>
          <w:lang w:val="en-US" w:eastAsia="zh-CN"/>
        </w:rPr>
        <w:t xml:space="preserve"> </w:t>
      </w:r>
      <w:r w:rsidRPr="00891559">
        <w:rPr>
          <w:rFonts w:eastAsia="SimSun"/>
          <w:color w:val="000000"/>
          <w:szCs w:val="24"/>
          <w:lang w:val="en-US" w:eastAsia="zh-CN"/>
        </w:rPr>
        <w:t>include telepresence terminal, microphones, loudspeakers, cameras, displays, centre control devices, meeting room environment (such as furniture, lighting, independent walls, conference tables, chairs), all chosen to optimi</w:t>
      </w:r>
      <w:r w:rsidRPr="00891559">
        <w:rPr>
          <w:rFonts w:eastAsia="SimSun" w:hint="eastAsia"/>
          <w:color w:val="000000"/>
          <w:szCs w:val="24"/>
          <w:lang w:val="en-US" w:eastAsia="zh-CN"/>
        </w:rPr>
        <w:t>z</w:t>
      </w:r>
      <w:r w:rsidRPr="00891559">
        <w:rPr>
          <w:rFonts w:eastAsia="SimSun"/>
          <w:color w:val="000000"/>
          <w:szCs w:val="24"/>
          <w:lang w:val="en-US" w:eastAsia="zh-CN"/>
        </w:rPr>
        <w:t xml:space="preserve">e the user experience of Telepresence. </w:t>
      </w:r>
    </w:p>
    <w:p w:rsidR="00935ABE" w:rsidRPr="00891559" w:rsidRDefault="00935ABE" w:rsidP="00935ABE">
      <w:pPr>
        <w:widowControl w:val="0"/>
        <w:overflowPunct/>
        <w:textAlignment w:val="auto"/>
        <w:rPr>
          <w:rFonts w:eastAsia="SimSun"/>
          <w:i/>
          <w:iCs/>
          <w:color w:val="000000"/>
          <w:szCs w:val="24"/>
          <w:lang w:val="en-US" w:eastAsia="zh-CN"/>
        </w:rPr>
      </w:pPr>
      <w:r w:rsidRPr="00891559">
        <w:rPr>
          <w:rFonts w:eastAsia="SimSun"/>
          <w:b/>
          <w:bCs/>
          <w:color w:val="000000"/>
          <w:szCs w:val="24"/>
          <w:lang w:val="en-US" w:eastAsia="zh-CN"/>
        </w:rPr>
        <w:t>Telepresence terminal</w:t>
      </w:r>
      <w:r w:rsidRPr="00891559">
        <w:rPr>
          <w:rFonts w:eastAsia="SimSun"/>
          <w:color w:val="000000"/>
          <w:szCs w:val="24"/>
          <w:lang w:val="en-US" w:eastAsia="zh-CN"/>
        </w:rPr>
        <w:t xml:space="preserve">: A telepresence terminal is a </w:t>
      </w:r>
      <w:r w:rsidRPr="00891559">
        <w:rPr>
          <w:rFonts w:eastAsia="SimSun" w:hint="eastAsia"/>
          <w:color w:val="000000"/>
          <w:szCs w:val="24"/>
          <w:lang w:val="en-US" w:eastAsia="zh-CN"/>
        </w:rPr>
        <w:t>component</w:t>
      </w:r>
      <w:r w:rsidRPr="00891559">
        <w:rPr>
          <w:rFonts w:eastAsia="SimSun"/>
          <w:color w:val="000000"/>
          <w:szCs w:val="24"/>
          <w:lang w:val="en-US" w:eastAsia="zh-CN"/>
        </w:rPr>
        <w:t xml:space="preserve"> on the network which provides for real-time, two-way communications with another telepresence terminal, Gateway, or telepresence MCU. This communication consists of control, indications, audio, moving color video pictures, and/or data between the two terminals. It's used to provide the user experience of Telepresence. </w:t>
      </w:r>
      <w:r w:rsidRPr="00891559">
        <w:rPr>
          <w:rFonts w:eastAsia="SimSun"/>
          <w:i/>
          <w:iCs/>
          <w:color w:val="000000"/>
          <w:szCs w:val="24"/>
          <w:lang w:val="en-US" w:eastAsia="zh-CN"/>
        </w:rPr>
        <w:t xml:space="preserve">[NOTE </w:t>
      </w:r>
      <w:r w:rsidRPr="00891559">
        <w:rPr>
          <w:rFonts w:eastAsia="SimSun" w:hint="eastAsia"/>
          <w:color w:val="2F2F2F"/>
          <w:sz w:val="18"/>
          <w:szCs w:val="18"/>
          <w:lang w:val="en-US" w:eastAsia="zh-CN"/>
        </w:rPr>
        <w:t>–</w:t>
      </w:r>
      <w:r w:rsidRPr="00891559">
        <w:rPr>
          <w:rFonts w:eastAsia="SimSun" w:hint="eastAsia"/>
          <w:i/>
          <w:iCs/>
          <w:color w:val="000000"/>
          <w:szCs w:val="24"/>
          <w:lang w:val="en-US" w:eastAsia="zh-CN"/>
        </w:rPr>
        <w:t>R</w:t>
      </w:r>
      <w:r w:rsidRPr="00891559">
        <w:rPr>
          <w:rFonts w:eastAsia="SimSun"/>
          <w:i/>
          <w:iCs/>
          <w:color w:val="000000"/>
          <w:szCs w:val="24"/>
          <w:lang w:val="en-US" w:eastAsia="zh-CN"/>
        </w:rPr>
        <w:t>eference to ITU-T Rec. H.323 “</w:t>
      </w:r>
      <w:r w:rsidRPr="00891559">
        <w:rPr>
          <w:rFonts w:eastAsia="SimSun" w:hint="eastAsia"/>
          <w:i/>
          <w:iCs/>
          <w:color w:val="000000"/>
          <w:szCs w:val="24"/>
          <w:lang w:val="en-US" w:eastAsia="zh-CN"/>
        </w:rPr>
        <w:t>terminal</w:t>
      </w:r>
      <w:r w:rsidRPr="00891559">
        <w:rPr>
          <w:rFonts w:eastAsia="SimSun"/>
          <w:i/>
          <w:iCs/>
          <w:color w:val="000000"/>
          <w:szCs w:val="24"/>
          <w:lang w:val="en-US" w:eastAsia="zh-CN"/>
        </w:rPr>
        <w:t>”]</w:t>
      </w:r>
    </w:p>
    <w:p w:rsidR="00935ABE" w:rsidRPr="00891559" w:rsidRDefault="00935ABE" w:rsidP="00935ABE">
      <w:pPr>
        <w:widowControl w:val="0"/>
        <w:overflowPunct/>
        <w:textAlignment w:val="auto"/>
        <w:rPr>
          <w:rFonts w:eastAsia="SimSun"/>
          <w:i/>
          <w:iCs/>
          <w:color w:val="000000"/>
          <w:szCs w:val="24"/>
          <w:lang w:val="en-US" w:eastAsia="zh-CN"/>
        </w:rPr>
      </w:pPr>
      <w:r w:rsidRPr="00891559">
        <w:rPr>
          <w:rFonts w:eastAsia="SimSun"/>
          <w:b/>
          <w:bCs/>
          <w:color w:val="000000"/>
          <w:szCs w:val="24"/>
          <w:lang w:val="en-US" w:eastAsia="zh-CN"/>
        </w:rPr>
        <w:lastRenderedPageBreak/>
        <w:t>Telepresence MCU</w:t>
      </w:r>
      <w:r w:rsidRPr="00891559">
        <w:rPr>
          <w:rFonts w:eastAsia="SimSun"/>
          <w:color w:val="000000"/>
          <w:szCs w:val="24"/>
          <w:lang w:val="en-US" w:eastAsia="zh-CN"/>
        </w:rPr>
        <w:t xml:space="preserve">: </w:t>
      </w:r>
      <w:r w:rsidRPr="00891559">
        <w:rPr>
          <w:rFonts w:eastAsia="SimSun" w:hint="eastAsia"/>
          <w:color w:val="000000"/>
          <w:szCs w:val="24"/>
          <w:lang w:val="en-US" w:eastAsia="zh-CN"/>
        </w:rPr>
        <w:t>The</w:t>
      </w:r>
      <w:r w:rsidRPr="00891559">
        <w:rPr>
          <w:rFonts w:eastAsia="SimSun"/>
          <w:color w:val="000000"/>
          <w:szCs w:val="24"/>
          <w:lang w:val="en-US" w:eastAsia="zh-CN"/>
        </w:rPr>
        <w:t xml:space="preserve"> telepresence MCU is a </w:t>
      </w:r>
      <w:r w:rsidRPr="00891559">
        <w:rPr>
          <w:rFonts w:eastAsia="SimSun" w:hint="eastAsia"/>
          <w:color w:val="000000"/>
          <w:szCs w:val="24"/>
          <w:lang w:val="en-US" w:eastAsia="zh-CN"/>
        </w:rPr>
        <w:t>component</w:t>
      </w:r>
      <w:r w:rsidRPr="00891559">
        <w:rPr>
          <w:rFonts w:eastAsia="SimSun"/>
          <w:color w:val="000000"/>
          <w:szCs w:val="24"/>
          <w:lang w:val="en-US" w:eastAsia="zh-CN"/>
        </w:rPr>
        <w:t xml:space="preserve"> on the network which provides the capability for three or more telepresence terminals and Gateways to participate in a multipoint conference. It may also connect two telepresence terminals in a point-to-point conference which may later develop into a multipoint conference. It's used to provide the user experience of Telepresence. </w:t>
      </w:r>
      <w:r w:rsidRPr="00891559">
        <w:rPr>
          <w:rFonts w:eastAsia="SimSun"/>
          <w:i/>
          <w:iCs/>
          <w:color w:val="000000"/>
          <w:szCs w:val="24"/>
          <w:lang w:val="en-US" w:eastAsia="zh-CN"/>
        </w:rPr>
        <w:t xml:space="preserve">[NOTE </w:t>
      </w:r>
      <w:r w:rsidRPr="00891559">
        <w:rPr>
          <w:rFonts w:eastAsia="SimSun" w:hint="eastAsia"/>
          <w:color w:val="2F2F2F"/>
          <w:sz w:val="18"/>
          <w:szCs w:val="18"/>
          <w:lang w:val="en-US" w:eastAsia="zh-CN"/>
        </w:rPr>
        <w:t>–</w:t>
      </w:r>
      <w:r w:rsidRPr="00891559">
        <w:rPr>
          <w:rFonts w:eastAsia="SimSun" w:hint="eastAsia"/>
          <w:i/>
          <w:iCs/>
          <w:color w:val="000000"/>
          <w:szCs w:val="24"/>
          <w:lang w:val="en-US" w:eastAsia="zh-CN"/>
        </w:rPr>
        <w:t>R</w:t>
      </w:r>
      <w:r w:rsidRPr="00891559">
        <w:rPr>
          <w:rFonts w:eastAsia="SimSun"/>
          <w:i/>
          <w:iCs/>
          <w:color w:val="000000"/>
          <w:szCs w:val="24"/>
          <w:lang w:val="en-US" w:eastAsia="zh-CN"/>
        </w:rPr>
        <w:t>eference to ITU-T Rec. H.323 “MCU”]</w:t>
      </w:r>
    </w:p>
    <w:p w:rsidR="00935ABE" w:rsidRDefault="00935ABE" w:rsidP="00935ABE">
      <w:pPr>
        <w:pStyle w:val="Heading2Unnumbered"/>
      </w:pPr>
      <w:r>
        <w:t xml:space="preserve">A.9 </w:t>
      </w:r>
      <w:r>
        <w:rPr>
          <w:rFonts w:hint="eastAsia"/>
        </w:rPr>
        <w:t>One-way delay on natural response with lip-sync</w:t>
      </w:r>
    </w:p>
    <w:p w:rsidR="00935ABE" w:rsidRDefault="00935ABE" w:rsidP="00935ABE">
      <w:pPr>
        <w:pStyle w:val="Heading2Unnumbered"/>
      </w:pPr>
      <w:r>
        <w:t xml:space="preserve">This clause is taken from </w:t>
      </w:r>
      <w:hyperlink r:id="rId41" w:history="1">
        <w:r>
          <w:rPr>
            <w:rStyle w:val="Hyperlink"/>
          </w:rPr>
          <w:t>COM16-837</w:t>
        </w:r>
      </w:hyperlink>
    </w:p>
    <w:p w:rsidR="00935ABE" w:rsidRDefault="00935ABE" w:rsidP="00935ABE">
      <w:pPr>
        <w:pStyle w:val="Heading2Unnumbered"/>
      </w:pPr>
      <w:r>
        <w:rPr>
          <w:rFonts w:hint="eastAsia"/>
        </w:rPr>
        <w:t xml:space="preserve">A key factor of the natural </w:t>
      </w:r>
      <w:r>
        <w:t>response</w:t>
      </w:r>
      <w:r>
        <w:rPr>
          <w:rFonts w:hint="eastAsia"/>
        </w:rPr>
        <w:t xml:space="preserve"> is round trip delay on voice (audio), and a key factor of lip-sync is time-gap between voice and video. Regarding one way transmission delay (a half of round-trip delay), a b</w:t>
      </w:r>
      <w:r>
        <w:t>aseline</w:t>
      </w:r>
      <w:r>
        <w:rPr>
          <w:rFonts w:hint="eastAsia"/>
        </w:rPr>
        <w:t xml:space="preserve"> figure for discussion is 183ms (150ms of G114 + 33ms of 30fps) when video comes after voice.  Alternative figure is 258 ms (225ms of G114 </w:t>
      </w:r>
      <w:r>
        <w:t>Appendix</w:t>
      </w:r>
      <w:r>
        <w:rPr>
          <w:rFonts w:hint="eastAsia"/>
        </w:rPr>
        <w:t xml:space="preserve"> II for IP network +33ms of 30fps).  </w:t>
      </w:r>
    </w:p>
    <w:p w:rsidR="00935ABE" w:rsidRDefault="00935ABE" w:rsidP="00935ABE">
      <w:pPr>
        <w:rPr>
          <w:lang w:eastAsia="ja-JP"/>
        </w:rPr>
      </w:pPr>
      <w:r>
        <w:rPr>
          <w:rFonts w:hint="eastAsia"/>
          <w:lang w:eastAsia="ja-JP"/>
        </w:rPr>
        <w:t xml:space="preserve">There are two issues to be </w:t>
      </w:r>
      <w:r>
        <w:rPr>
          <w:lang w:eastAsia="ja-JP"/>
        </w:rPr>
        <w:t>discussed</w:t>
      </w:r>
      <w:r>
        <w:rPr>
          <w:rFonts w:hint="eastAsia"/>
          <w:lang w:eastAsia="ja-JP"/>
        </w:rPr>
        <w:t xml:space="preserve"> (R</w:t>
      </w:r>
      <w:r>
        <w:rPr>
          <w:lang w:eastAsia="ja-JP"/>
        </w:rPr>
        <w:t>elative</w:t>
      </w:r>
      <w:r>
        <w:rPr>
          <w:rFonts w:hint="eastAsia"/>
          <w:lang w:eastAsia="ja-JP"/>
        </w:rPr>
        <w:t xml:space="preserve"> timing and Network-QoS).</w:t>
      </w:r>
    </w:p>
    <w:p w:rsidR="00935ABE" w:rsidRDefault="00935ABE" w:rsidP="00935ABE">
      <w:pPr>
        <w:rPr>
          <w:lang w:eastAsia="ja-JP"/>
        </w:rPr>
      </w:pPr>
      <w:r>
        <w:rPr>
          <w:rFonts w:hint="eastAsia"/>
          <w:lang w:eastAsia="ja-JP"/>
        </w:rPr>
        <w:t xml:space="preserve">The first is to determine </w:t>
      </w:r>
      <w:r>
        <w:rPr>
          <w:lang w:eastAsia="ja-JP"/>
        </w:rPr>
        <w:t>acceptable</w:t>
      </w:r>
      <w:r>
        <w:rPr>
          <w:rFonts w:hint="eastAsia"/>
          <w:lang w:eastAsia="ja-JP"/>
        </w:rPr>
        <w:t xml:space="preserve"> time-gap between voice and video to implement lip-sync.  This </w:t>
      </w:r>
      <w:r>
        <w:rPr>
          <w:lang w:eastAsia="ja-JP"/>
        </w:rPr>
        <w:t>contribution</w:t>
      </w:r>
      <w:r>
        <w:rPr>
          <w:rFonts w:hint="eastAsia"/>
          <w:lang w:eastAsia="ja-JP"/>
        </w:rPr>
        <w:t xml:space="preserve"> indicates the time-gap within 1 frame (33ms when 30fps), as a guideline for discussion.  There are some references (ITU-R, etc.), but those are for </w:t>
      </w:r>
      <w:r>
        <w:rPr>
          <w:lang w:eastAsia="ja-JP"/>
        </w:rPr>
        <w:t>broadcasting</w:t>
      </w:r>
      <w:r>
        <w:rPr>
          <w:rFonts w:hint="eastAsia"/>
          <w:lang w:eastAsia="ja-JP"/>
        </w:rPr>
        <w:t xml:space="preserve"> services.  </w:t>
      </w:r>
      <w:r>
        <w:rPr>
          <w:lang w:eastAsia="ja-JP"/>
        </w:rPr>
        <w:t>According</w:t>
      </w:r>
      <w:r>
        <w:rPr>
          <w:rFonts w:hint="eastAsia"/>
          <w:lang w:eastAsia="ja-JP"/>
        </w:rPr>
        <w:t xml:space="preserve"> to ITU-R BT.1359-1, subjective </w:t>
      </w:r>
      <w:r>
        <w:rPr>
          <w:lang w:eastAsia="ja-JP"/>
        </w:rPr>
        <w:t>evaluation</w:t>
      </w:r>
      <w:r>
        <w:rPr>
          <w:rFonts w:hint="eastAsia"/>
          <w:lang w:eastAsia="ja-JP"/>
        </w:rPr>
        <w:t xml:space="preserve"> ratings from 5.0 to 4.5 are from 22.5ms to 45ms.  (Figure </w:t>
      </w:r>
      <w:r>
        <w:rPr>
          <w:lang w:eastAsia="ja-JP"/>
        </w:rPr>
        <w:t>A.9.</w:t>
      </w:r>
      <w:r>
        <w:rPr>
          <w:rFonts w:hint="eastAsia"/>
          <w:lang w:eastAsia="ja-JP"/>
        </w:rPr>
        <w:t>4)</w:t>
      </w:r>
    </w:p>
    <w:p w:rsidR="00935ABE" w:rsidRDefault="00935ABE" w:rsidP="00935ABE">
      <w:pPr>
        <w:rPr>
          <w:lang w:eastAsia="ja-JP"/>
        </w:rPr>
      </w:pPr>
      <w:r>
        <w:rPr>
          <w:rFonts w:hint="eastAsia"/>
          <w:lang w:eastAsia="ja-JP"/>
        </w:rPr>
        <w:t xml:space="preserve">Q5/16 should study the relative timing </w:t>
      </w:r>
      <w:r>
        <w:rPr>
          <w:lang w:eastAsia="ja-JP"/>
        </w:rPr>
        <w:t>issue</w:t>
      </w:r>
      <w:r>
        <w:rPr>
          <w:rFonts w:hint="eastAsia"/>
          <w:lang w:eastAsia="ja-JP"/>
        </w:rPr>
        <w:t xml:space="preserve"> not for broadcasting service but for video conferencing service (realtime and </w:t>
      </w:r>
      <w:r>
        <w:rPr>
          <w:rFonts w:hint="eastAsia"/>
          <w:u w:val="single"/>
          <w:lang w:eastAsia="ja-JP"/>
        </w:rPr>
        <w:t>interactive</w:t>
      </w:r>
      <w:r>
        <w:rPr>
          <w:rFonts w:hint="eastAsia"/>
          <w:lang w:eastAsia="ja-JP"/>
        </w:rPr>
        <w:t xml:space="preserve"> </w:t>
      </w:r>
      <w:r>
        <w:rPr>
          <w:lang w:eastAsia="ja-JP"/>
        </w:rPr>
        <w:t>simultaneously</w:t>
      </w:r>
      <w:r>
        <w:rPr>
          <w:rFonts w:hint="eastAsia"/>
          <w:lang w:eastAsia="ja-JP"/>
        </w:rPr>
        <w:t>).</w:t>
      </w:r>
    </w:p>
    <w:p w:rsidR="00935ABE" w:rsidRDefault="00935ABE" w:rsidP="00935ABE">
      <w:pPr>
        <w:rPr>
          <w:lang w:eastAsia="ja-JP"/>
        </w:rPr>
      </w:pPr>
      <w:r>
        <w:rPr>
          <w:rFonts w:hint="eastAsia"/>
          <w:lang w:eastAsia="ja-JP"/>
        </w:rPr>
        <w:t xml:space="preserve">Note:  Extra delay may be added to voice for </w:t>
      </w:r>
      <w:r>
        <w:rPr>
          <w:lang w:eastAsia="ja-JP"/>
        </w:rPr>
        <w:t>implementing</w:t>
      </w:r>
      <w:r>
        <w:rPr>
          <w:rFonts w:hint="eastAsia"/>
          <w:lang w:eastAsia="ja-JP"/>
        </w:rPr>
        <w:t xml:space="preserve"> the </w:t>
      </w:r>
      <w:r>
        <w:rPr>
          <w:lang w:eastAsia="ja-JP"/>
        </w:rPr>
        <w:t>“</w:t>
      </w:r>
      <w:r>
        <w:rPr>
          <w:rFonts w:hint="eastAsia"/>
          <w:lang w:eastAsia="ja-JP"/>
        </w:rPr>
        <w:t>lip-sync</w:t>
      </w:r>
      <w:r>
        <w:rPr>
          <w:lang w:eastAsia="ja-JP"/>
        </w:rPr>
        <w:t>”</w:t>
      </w:r>
      <w:r>
        <w:rPr>
          <w:rFonts w:hint="eastAsia"/>
          <w:lang w:eastAsia="ja-JP"/>
        </w:rPr>
        <w:t xml:space="preserve">, but its upper limit on voice is 150ms (or 225 ms) for </w:t>
      </w:r>
      <w:r>
        <w:rPr>
          <w:lang w:eastAsia="ja-JP"/>
        </w:rPr>
        <w:t>implementing</w:t>
      </w:r>
      <w:r>
        <w:rPr>
          <w:rFonts w:hint="eastAsia"/>
          <w:lang w:eastAsia="ja-JP"/>
        </w:rPr>
        <w:t xml:space="preserve"> </w:t>
      </w:r>
      <w:r>
        <w:rPr>
          <w:lang w:eastAsia="ja-JP"/>
        </w:rPr>
        <w:t>“</w:t>
      </w:r>
      <w:r>
        <w:rPr>
          <w:rFonts w:hint="eastAsia"/>
          <w:lang w:eastAsia="ja-JP"/>
        </w:rPr>
        <w:t xml:space="preserve">natural </w:t>
      </w:r>
      <w:r>
        <w:rPr>
          <w:lang w:eastAsia="ja-JP"/>
        </w:rPr>
        <w:t>response”</w:t>
      </w:r>
      <w:r>
        <w:rPr>
          <w:rFonts w:hint="eastAsia"/>
          <w:lang w:eastAsia="ja-JP"/>
        </w:rPr>
        <w:t xml:space="preserve"> as </w:t>
      </w:r>
      <w:r>
        <w:rPr>
          <w:lang w:eastAsia="ja-JP"/>
        </w:rPr>
        <w:t>specified</w:t>
      </w:r>
      <w:r>
        <w:rPr>
          <w:rFonts w:hint="eastAsia"/>
          <w:lang w:eastAsia="ja-JP"/>
        </w:rPr>
        <w:t xml:space="preserve"> in G114.</w:t>
      </w:r>
    </w:p>
    <w:p w:rsidR="00935ABE" w:rsidRDefault="00935ABE" w:rsidP="00935ABE">
      <w:pPr>
        <w:rPr>
          <w:lang w:eastAsia="ja-JP"/>
        </w:rPr>
      </w:pPr>
      <w:r>
        <w:rPr>
          <w:rFonts w:hint="eastAsia"/>
          <w:lang w:eastAsia="ja-JP"/>
        </w:rPr>
        <w:t xml:space="preserve">The second issue is end-to-end QoS management of networks to transport video streams.  As higher compression of video needs longer encoding and decoding time, </w:t>
      </w:r>
      <w:r>
        <w:rPr>
          <w:lang w:eastAsia="ja-JP"/>
        </w:rPr>
        <w:t>allocated</w:t>
      </w:r>
      <w:r>
        <w:rPr>
          <w:rFonts w:hint="eastAsia"/>
          <w:lang w:eastAsia="ja-JP"/>
        </w:rPr>
        <w:t xml:space="preserve"> delay within transmission networks </w:t>
      </w:r>
      <w:r>
        <w:rPr>
          <w:lang w:eastAsia="ja-JP"/>
        </w:rPr>
        <w:t>must be reduced</w:t>
      </w:r>
      <w:r>
        <w:rPr>
          <w:rFonts w:hint="eastAsia"/>
          <w:lang w:eastAsia="ja-JP"/>
        </w:rPr>
        <w:t xml:space="preserve">.  </w:t>
      </w:r>
      <w:r>
        <w:rPr>
          <w:lang w:eastAsia="ja-JP"/>
        </w:rPr>
        <w:t>This is because</w:t>
      </w:r>
      <w:r>
        <w:rPr>
          <w:rFonts w:hint="eastAsia"/>
          <w:lang w:eastAsia="ja-JP"/>
        </w:rPr>
        <w:t xml:space="preserve"> </w:t>
      </w:r>
      <w:r>
        <w:rPr>
          <w:lang w:eastAsia="ja-JP"/>
        </w:rPr>
        <w:t xml:space="preserve">the </w:t>
      </w:r>
      <w:r>
        <w:rPr>
          <w:rFonts w:hint="eastAsia"/>
          <w:lang w:eastAsia="ja-JP"/>
        </w:rPr>
        <w:t xml:space="preserve">absolute time for the natural </w:t>
      </w:r>
      <w:r>
        <w:rPr>
          <w:lang w:eastAsia="ja-JP"/>
        </w:rPr>
        <w:t>response</w:t>
      </w:r>
      <w:r>
        <w:rPr>
          <w:rFonts w:hint="eastAsia"/>
          <w:lang w:eastAsia="ja-JP"/>
        </w:rPr>
        <w:t xml:space="preserve"> with lip-sync is limited </w:t>
      </w:r>
      <w:r>
        <w:rPr>
          <w:lang w:eastAsia="ja-JP"/>
        </w:rPr>
        <w:t>regardless</w:t>
      </w:r>
      <w:r>
        <w:rPr>
          <w:rFonts w:hint="eastAsia"/>
          <w:lang w:eastAsia="ja-JP"/>
        </w:rPr>
        <w:t xml:space="preserve"> of coding technology or networking technology used.</w:t>
      </w:r>
    </w:p>
    <w:p w:rsidR="00935ABE" w:rsidRDefault="00935ABE" w:rsidP="00935ABE">
      <w:pPr>
        <w:rPr>
          <w:lang w:eastAsia="ja-JP"/>
        </w:rPr>
      </w:pPr>
      <w:r>
        <w:rPr>
          <w:rFonts w:hint="eastAsia"/>
          <w:lang w:eastAsia="ja-JP"/>
        </w:rPr>
        <w:t xml:space="preserve">In order to </w:t>
      </w:r>
      <w:r>
        <w:rPr>
          <w:lang w:eastAsia="ja-JP"/>
        </w:rPr>
        <w:t>determine</w:t>
      </w:r>
      <w:r>
        <w:rPr>
          <w:rFonts w:hint="eastAsia"/>
          <w:lang w:eastAsia="ja-JP"/>
        </w:rPr>
        <w:t xml:space="preserve"> specific figure (time) for one-way delay on video, the transmission delay varying in a network needs to be considered.  If the delay could be specified less than 258 ms, end-to-end QoS management of networks may be needed to avoid </w:t>
      </w:r>
      <w:r>
        <w:rPr>
          <w:lang w:eastAsia="ja-JP"/>
        </w:rPr>
        <w:t>unpredictable</w:t>
      </w:r>
      <w:r>
        <w:rPr>
          <w:rFonts w:hint="eastAsia"/>
          <w:lang w:eastAsia="ja-JP"/>
        </w:rPr>
        <w:t xml:space="preserve"> delay in the networks.</w:t>
      </w:r>
    </w:p>
    <w:p w:rsidR="00935ABE" w:rsidRDefault="00935ABE" w:rsidP="00935ABE">
      <w:pPr>
        <w:jc w:val="center"/>
        <w:rPr>
          <w:lang w:eastAsia="ja-JP"/>
        </w:rPr>
      </w:pPr>
      <w:r>
        <w:rPr>
          <w:rFonts w:hint="eastAsia"/>
          <w:lang w:eastAsia="ja-JP"/>
        </w:rPr>
        <w:t xml:space="preserve">Figure </w:t>
      </w:r>
      <w:r>
        <w:rPr>
          <w:lang w:eastAsia="ja-JP"/>
        </w:rPr>
        <w:t>.A.9.</w:t>
      </w:r>
      <w:r>
        <w:rPr>
          <w:rFonts w:hint="eastAsia"/>
          <w:lang w:eastAsia="ja-JP"/>
        </w:rPr>
        <w:t>1</w:t>
      </w:r>
    </w:p>
    <w:p w:rsidR="00935ABE" w:rsidRDefault="00935ABE" w:rsidP="00935ABE">
      <w:pPr>
        <w:rPr>
          <w:lang w:eastAsia="ja-JP"/>
        </w:rPr>
      </w:pPr>
      <w:r>
        <w:rPr>
          <w:rFonts w:hint="eastAsia"/>
          <w:lang w:eastAsia="ja-JP"/>
        </w:rPr>
        <w:lastRenderedPageBreak/>
        <w:tab/>
      </w:r>
      <w:r>
        <w:rPr>
          <w:rFonts w:hint="eastAsia"/>
          <w:lang w:eastAsia="ja-JP"/>
        </w:rPr>
        <w:tab/>
      </w:r>
      <w:r>
        <w:rPr>
          <w:noProof/>
          <w:lang w:val="en-US"/>
        </w:rPr>
        <w:drawing>
          <wp:inline distT="0" distB="0" distL="0" distR="0" wp14:anchorId="6056D119" wp14:editId="7DA0A204">
            <wp:extent cx="5099685" cy="32238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srcRect/>
                    <a:stretch>
                      <a:fillRect/>
                    </a:stretch>
                  </pic:blipFill>
                  <pic:spPr bwMode="auto">
                    <a:xfrm>
                      <a:off x="0" y="0"/>
                      <a:ext cx="5099685" cy="3223895"/>
                    </a:xfrm>
                    <a:prstGeom prst="rect">
                      <a:avLst/>
                    </a:prstGeom>
                    <a:noFill/>
                    <a:ln w="9525">
                      <a:noFill/>
                      <a:miter lim="800000"/>
                      <a:headEnd/>
                      <a:tailEnd/>
                    </a:ln>
                    <a:effectLst/>
                  </pic:spPr>
                </pic:pic>
              </a:graphicData>
            </a:graphic>
          </wp:inline>
        </w:drawing>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lang w:eastAsia="ja-JP"/>
        </w:rPr>
        <w:t>Figure</w:t>
      </w:r>
      <w:r>
        <w:rPr>
          <w:rFonts w:hint="eastAsia"/>
          <w:lang w:eastAsia="ja-JP"/>
        </w:rPr>
        <w:t xml:space="preserve"> </w:t>
      </w:r>
      <w:r>
        <w:rPr>
          <w:lang w:eastAsia="ja-JP"/>
        </w:rPr>
        <w:t>A.9.</w:t>
      </w:r>
      <w:r>
        <w:rPr>
          <w:rFonts w:hint="eastAsia"/>
          <w:lang w:eastAsia="ja-JP"/>
        </w:rPr>
        <w:t>2</w:t>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ab/>
      </w:r>
      <w:r>
        <w:rPr>
          <w:rFonts w:hint="eastAsia"/>
          <w:lang w:eastAsia="ja-JP"/>
        </w:rPr>
        <w:tab/>
      </w:r>
      <w:r>
        <w:rPr>
          <w:noProof/>
          <w:lang w:val="en-US"/>
        </w:rPr>
        <w:drawing>
          <wp:inline distT="0" distB="0" distL="0" distR="0" wp14:anchorId="6BD0E37B" wp14:editId="47B3C6A4">
            <wp:extent cx="4646295" cy="3093085"/>
            <wp:effectExtent l="1905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srcRect/>
                    <a:stretch>
                      <a:fillRect/>
                    </a:stretch>
                  </pic:blipFill>
                  <pic:spPr bwMode="auto">
                    <a:xfrm>
                      <a:off x="0" y="0"/>
                      <a:ext cx="4646295" cy="3093085"/>
                    </a:xfrm>
                    <a:prstGeom prst="rect">
                      <a:avLst/>
                    </a:prstGeom>
                    <a:noFill/>
                    <a:ln w="9525">
                      <a:noFill/>
                      <a:miter lim="800000"/>
                      <a:headEnd/>
                      <a:tailEnd/>
                    </a:ln>
                    <a:effectLst/>
                  </pic:spPr>
                </pic:pic>
              </a:graphicData>
            </a:graphic>
          </wp:inline>
        </w:drawing>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lang w:eastAsia="ja-JP"/>
        </w:rPr>
        <w:t>Figure</w:t>
      </w:r>
      <w:r>
        <w:rPr>
          <w:rFonts w:hint="eastAsia"/>
          <w:lang w:eastAsia="ja-JP"/>
        </w:rPr>
        <w:t xml:space="preserve"> </w:t>
      </w:r>
      <w:r>
        <w:rPr>
          <w:lang w:eastAsia="ja-JP"/>
        </w:rPr>
        <w:t>A.9.</w:t>
      </w:r>
      <w:r>
        <w:rPr>
          <w:rFonts w:hint="eastAsia"/>
          <w:lang w:eastAsia="ja-JP"/>
        </w:rPr>
        <w:t>3</w:t>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lastRenderedPageBreak/>
        <w:tab/>
      </w:r>
      <w:r>
        <w:rPr>
          <w:rFonts w:hint="eastAsia"/>
          <w:lang w:eastAsia="ja-JP"/>
        </w:rPr>
        <w:tab/>
      </w:r>
      <w:r>
        <w:rPr>
          <w:noProof/>
          <w:lang w:val="en-US"/>
        </w:rPr>
        <w:drawing>
          <wp:inline distT="0" distB="0" distL="0" distR="0" wp14:anchorId="479A6918" wp14:editId="09BE8E7F">
            <wp:extent cx="4604385" cy="3209290"/>
            <wp:effectExtent l="1905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srcRect/>
                    <a:stretch>
                      <a:fillRect/>
                    </a:stretch>
                  </pic:blipFill>
                  <pic:spPr bwMode="auto">
                    <a:xfrm>
                      <a:off x="0" y="0"/>
                      <a:ext cx="4604385" cy="3209290"/>
                    </a:xfrm>
                    <a:prstGeom prst="rect">
                      <a:avLst/>
                    </a:prstGeom>
                    <a:noFill/>
                    <a:ln w="9525">
                      <a:noFill/>
                      <a:miter lim="800000"/>
                      <a:headEnd/>
                      <a:tailEnd/>
                    </a:ln>
                    <a:effectLst/>
                  </pic:spPr>
                </pic:pic>
              </a:graphicData>
            </a:graphic>
          </wp:inline>
        </w:drawing>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t xml:space="preserve">Figure </w:t>
      </w:r>
      <w:r>
        <w:rPr>
          <w:lang w:eastAsia="ja-JP"/>
        </w:rPr>
        <w:t>A.9.</w:t>
      </w:r>
      <w:r>
        <w:rPr>
          <w:rFonts w:hint="eastAsia"/>
          <w:lang w:eastAsia="ja-JP"/>
        </w:rPr>
        <w:t>4</w:t>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r>
      <w:r>
        <w:rPr>
          <w:rFonts w:hint="eastAsia"/>
          <w:lang w:eastAsia="ja-JP"/>
        </w:rPr>
        <w:tab/>
        <w:t xml:space="preserve"> ITU-R BT.1359-1 (Fig.2)</w:t>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ab/>
      </w:r>
      <w:r>
        <w:rPr>
          <w:noProof/>
          <w:lang w:val="en-US"/>
        </w:rPr>
        <w:drawing>
          <wp:inline distT="0" distB="0" distL="0" distR="0" wp14:anchorId="449FACBB" wp14:editId="3CB264D7">
            <wp:extent cx="5659755" cy="299910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a:stretch>
                      <a:fillRect/>
                    </a:stretch>
                  </pic:blipFill>
                  <pic:spPr bwMode="auto">
                    <a:xfrm>
                      <a:off x="0" y="0"/>
                      <a:ext cx="5659755" cy="2999105"/>
                    </a:xfrm>
                    <a:prstGeom prst="rect">
                      <a:avLst/>
                    </a:prstGeom>
                    <a:noFill/>
                    <a:ln w="9525">
                      <a:noFill/>
                      <a:miter lim="800000"/>
                      <a:headEnd/>
                      <a:tailEnd/>
                    </a:ln>
                    <a:effectLst/>
                  </pic:spPr>
                </pic:pic>
              </a:graphicData>
            </a:graphic>
          </wp:inline>
        </w:drawing>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ab/>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w:t>
      </w:r>
      <w:r>
        <w:rPr>
          <w:lang w:eastAsia="ja-JP"/>
        </w:rPr>
        <w:t>Supplementary</w:t>
      </w:r>
      <w:r>
        <w:rPr>
          <w:rFonts w:hint="eastAsia"/>
          <w:lang w:eastAsia="ja-JP"/>
        </w:rPr>
        <w:t xml:space="preserve"> information on </w:t>
      </w:r>
      <w:r>
        <w:rPr>
          <w:lang w:eastAsia="ja-JP"/>
        </w:rPr>
        <w:t>relative</w:t>
      </w:r>
      <w:r>
        <w:rPr>
          <w:rFonts w:hint="eastAsia"/>
          <w:lang w:eastAsia="ja-JP"/>
        </w:rPr>
        <w:t xml:space="preserve"> timing of video</w:t>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Inf-1: Less than 1 frame (33ms) after voice, or less than 3 frames (99ms) before voice (JBC/1981)</w:t>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Inf-2: Less than 40 ms after voice, or less than 60ms before voice (EBU/2006)</w:t>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Inf-3: Less than 45 ms after voice, or less than 125ms before voice (ITU-R/1998)</w:t>
      </w:r>
    </w:p>
    <w:p w:rsidR="00935ABE" w:rsidRDefault="00935ABE" w:rsidP="00935ABE">
      <w:pPr>
        <w:tabs>
          <w:tab w:val="clear" w:pos="794"/>
          <w:tab w:val="clear" w:pos="1191"/>
          <w:tab w:val="clear" w:pos="1588"/>
          <w:tab w:val="clear" w:pos="1985"/>
        </w:tabs>
        <w:overflowPunct/>
        <w:autoSpaceDE/>
        <w:autoSpaceDN/>
        <w:adjustRightInd/>
        <w:spacing w:before="0"/>
        <w:textAlignment w:val="auto"/>
        <w:rPr>
          <w:lang w:eastAsia="ja-JP"/>
        </w:rPr>
      </w:pPr>
    </w:p>
    <w:p w:rsidR="00935ABE" w:rsidRDefault="00935ABE" w:rsidP="00935ABE">
      <w:pPr>
        <w:pStyle w:val="Heading2Unnumbered"/>
      </w:pPr>
      <w:r>
        <w:t>A.10 Potential guidelines for Telepresence Systems</w:t>
      </w:r>
    </w:p>
    <w:p w:rsidR="00935ABE" w:rsidRDefault="00935ABE" w:rsidP="00935ABE">
      <w:pPr>
        <w:pStyle w:val="Heading2Unnumbered"/>
      </w:pPr>
      <w:r>
        <w:t xml:space="preserve">This clause is taken from </w:t>
      </w:r>
      <w:hyperlink r:id="rId46" w:history="1">
        <w:r>
          <w:rPr>
            <w:rStyle w:val="Hyperlink"/>
          </w:rPr>
          <w:t>COM16-931</w:t>
        </w:r>
      </w:hyperlink>
      <w:r>
        <w:t xml:space="preserve">. Q5 experts viewed this text as potentially useful, but also indicated that references in H.TPS-AV needed to be reviewed first, as some of this material is duplicative.  </w:t>
      </w:r>
    </w:p>
    <w:p w:rsidR="00935ABE" w:rsidRDefault="00935ABE" w:rsidP="00935ABE">
      <w:pPr>
        <w:rPr>
          <w:lang w:eastAsia="zh-CN"/>
        </w:rPr>
      </w:pPr>
      <w:r>
        <w:t>H.TPS-AV</w:t>
      </w:r>
      <w:r w:rsidRPr="00CB7E28">
        <w:rPr>
          <w:lang w:eastAsia="zh-CN"/>
        </w:rPr>
        <w:t xml:space="preserve"> </w:t>
      </w:r>
      <w:r>
        <w:rPr>
          <w:lang w:eastAsia="zh-CN"/>
        </w:rPr>
        <w:t xml:space="preserve">draft </w:t>
      </w:r>
      <w:r w:rsidRPr="00CB7E28">
        <w:rPr>
          <w:lang w:eastAsia="zh-CN"/>
        </w:rPr>
        <w:t>defines the audio/video/environment parameters for telepresence system</w:t>
      </w:r>
      <w:r>
        <w:rPr>
          <w:lang w:eastAsia="zh-CN"/>
        </w:rPr>
        <w:t xml:space="preserve">s. Properly setting and measuring some of these parameters is essential to </w:t>
      </w:r>
      <w:r>
        <w:t>guarantee an optimal audio QoS</w:t>
      </w:r>
      <w:r>
        <w:rPr>
          <w:lang w:eastAsia="zh-CN"/>
        </w:rPr>
        <w:t xml:space="preserve">. </w:t>
      </w:r>
    </w:p>
    <w:p w:rsidR="00935ABE" w:rsidRDefault="00935ABE" w:rsidP="00935ABE">
      <w:pPr>
        <w:rPr>
          <w:lang w:eastAsia="ja-JP"/>
        </w:rPr>
      </w:pPr>
      <w:r>
        <w:rPr>
          <w:lang w:eastAsia="zh-CN"/>
        </w:rPr>
        <w:t xml:space="preserve">For instance, </w:t>
      </w:r>
      <w:r>
        <w:t xml:space="preserve">the </w:t>
      </w:r>
      <w:r w:rsidRPr="005C5F6C">
        <w:t xml:space="preserve">audio alignment process </w:t>
      </w:r>
      <w:r>
        <w:t xml:space="preserve">- </w:t>
      </w:r>
      <w:r w:rsidRPr="005C5F6C">
        <w:t>set</w:t>
      </w:r>
      <w:r>
        <w:t>ting</w:t>
      </w:r>
      <w:r w:rsidRPr="005C5F6C">
        <w:t xml:space="preserve"> the gain of the microphone preamplifier and of the loudspeakers a</w:t>
      </w:r>
      <w:r>
        <w:t xml:space="preserve">mplifier – must be well described. Such process shall be reproducible and the most representative. The audio alignment should be checked regularly </w:t>
      </w:r>
      <w:r>
        <w:rPr>
          <w:lang w:eastAsia="ja-JP"/>
        </w:rPr>
        <w:t>to verify that the system is still well operational. This verification would help in guaranteeing a given QoS for the end-user, and a constant user-experience.</w:t>
      </w:r>
    </w:p>
    <w:p w:rsidR="00935ABE" w:rsidRDefault="00935ABE" w:rsidP="00935ABE">
      <w:pPr>
        <w:rPr>
          <w:lang w:eastAsia="ja-JP"/>
        </w:rPr>
      </w:pPr>
      <w:r>
        <w:rPr>
          <w:lang w:eastAsia="zh-CN"/>
        </w:rPr>
        <w:t xml:space="preserve">Guidelines </w:t>
      </w:r>
      <w:r>
        <w:t>concerning microphones and loudspeakers placements and directivity would also be useful</w:t>
      </w:r>
      <w:r w:rsidRPr="005C5F6C">
        <w:t>.</w:t>
      </w:r>
      <w:r>
        <w:t xml:space="preserve"> For instance, it would be worth mentioning that </w:t>
      </w:r>
      <w:r>
        <w:rPr>
          <w:lang w:eastAsia="ja-JP"/>
        </w:rPr>
        <w:t>the microphones should be placed in such a way to avoid noise transmission by solid vibration and, if possible, in such way that they cannot be hit, covered or moved by a conferee.</w:t>
      </w:r>
    </w:p>
    <w:p w:rsidR="00935ABE" w:rsidRPr="00F227DA" w:rsidRDefault="00935ABE" w:rsidP="00935ABE">
      <w:r>
        <w:t>Other guidelines addressing the limitation of the reverberation time could be helpful, e.g.:</w:t>
      </w:r>
    </w:p>
    <w:p w:rsidR="00935ABE" w:rsidRDefault="00935ABE" w:rsidP="00935ABE">
      <w:pPr>
        <w:numPr>
          <w:ilvl w:val="0"/>
          <w:numId w:val="8"/>
        </w:numPr>
        <w:tabs>
          <w:tab w:val="clear" w:pos="794"/>
          <w:tab w:val="clear" w:pos="1191"/>
          <w:tab w:val="clear" w:pos="1588"/>
          <w:tab w:val="clear" w:pos="1985"/>
        </w:tabs>
        <w:ind w:left="567" w:hanging="567"/>
      </w:pPr>
      <w:r>
        <w:t xml:space="preserve">The floor should be covered by a thick carpet. </w:t>
      </w:r>
    </w:p>
    <w:p w:rsidR="00935ABE" w:rsidRDefault="00935ABE" w:rsidP="00935ABE">
      <w:pPr>
        <w:numPr>
          <w:ilvl w:val="0"/>
          <w:numId w:val="8"/>
        </w:numPr>
        <w:tabs>
          <w:tab w:val="clear" w:pos="794"/>
          <w:tab w:val="clear" w:pos="1191"/>
          <w:tab w:val="clear" w:pos="1588"/>
          <w:tab w:val="clear" w:pos="1985"/>
        </w:tabs>
        <w:ind w:left="567" w:hanging="567"/>
      </w:pPr>
      <w:r>
        <w:t>Special care has to be taken for the rear wall, because reflections on this wall are responsible for a great part of the echo. Therefore, the rear wall should be covered with a very absorbent material, and, if possible, shaped in order to divert from the microphones the reflections of the direct sounds coming from the frontal loudspeakers.</w:t>
      </w:r>
    </w:p>
    <w:p w:rsidR="00935ABE" w:rsidRDefault="00935ABE" w:rsidP="00935ABE">
      <w:pPr>
        <w:pStyle w:val="Heading2Unnumbered"/>
      </w:pPr>
      <w:r>
        <w:t>A.10.1 Audio Alignment for Sound Capture</w:t>
      </w:r>
    </w:p>
    <w:p w:rsidR="00935ABE" w:rsidRDefault="00935ABE" w:rsidP="00935ABE">
      <w:r>
        <w:rPr>
          <w:lang w:eastAsia="ja-JP"/>
        </w:rPr>
        <w:t>The purposes of the audio alignment for the sound capture are:</w:t>
      </w:r>
    </w:p>
    <w:p w:rsidR="00935ABE" w:rsidRPr="006C3499" w:rsidRDefault="00935ABE" w:rsidP="00935ABE">
      <w:pPr>
        <w:numPr>
          <w:ilvl w:val="0"/>
          <w:numId w:val="9"/>
        </w:numPr>
        <w:tabs>
          <w:tab w:val="clear" w:pos="794"/>
          <w:tab w:val="clear" w:pos="1191"/>
          <w:tab w:val="clear" w:pos="1588"/>
          <w:tab w:val="clear" w:pos="1985"/>
        </w:tabs>
        <w:ind w:left="567" w:hanging="567"/>
      </w:pPr>
      <w:r>
        <w:t xml:space="preserve">Set the microphone preamplifiers gain value in order to use the whole dynamic of the AD </w:t>
      </w:r>
      <w:r w:rsidRPr="006C3499">
        <w:t>converter without saturating it.</w:t>
      </w:r>
    </w:p>
    <w:p w:rsidR="00935ABE" w:rsidRDefault="00935ABE" w:rsidP="00935ABE">
      <w:pPr>
        <w:numPr>
          <w:ilvl w:val="0"/>
          <w:numId w:val="9"/>
        </w:numPr>
        <w:tabs>
          <w:tab w:val="clear" w:pos="794"/>
          <w:tab w:val="clear" w:pos="1191"/>
          <w:tab w:val="clear" w:pos="1588"/>
          <w:tab w:val="clear" w:pos="1985"/>
        </w:tabs>
        <w:ind w:left="567" w:hanging="567"/>
      </w:pPr>
      <w:r w:rsidRPr="006C3499">
        <w:t>Set the microphone preamplifiers gain value of all the microphones in all the rooms in communication in such way that the same sound pressure levels at any conferee position create the same electrical value before the AD conversion</w:t>
      </w:r>
      <w:r>
        <w:t>.</w:t>
      </w:r>
      <w:r w:rsidRPr="006C3499">
        <w:t xml:space="preserve"> </w:t>
      </w:r>
    </w:p>
    <w:p w:rsidR="00935ABE" w:rsidRDefault="00935ABE" w:rsidP="00935ABE">
      <w:pPr>
        <w:pStyle w:val="Heading2Unnumbered"/>
      </w:pPr>
      <w:r>
        <w:t>A.10.2 Audio Alignment for Sound Rendering</w:t>
      </w:r>
    </w:p>
    <w:p w:rsidR="00935ABE" w:rsidRDefault="00935ABE" w:rsidP="00935ABE">
      <w:pPr>
        <w:rPr>
          <w:lang w:eastAsia="ja-JP"/>
        </w:rPr>
      </w:pPr>
      <w:r>
        <w:rPr>
          <w:lang w:eastAsia="ja-JP"/>
        </w:rPr>
        <w:t xml:space="preserve">The purposes of the audio alignment for the sound </w:t>
      </w:r>
      <w:r>
        <w:t>rendering</w:t>
      </w:r>
      <w:r>
        <w:rPr>
          <w:lang w:eastAsia="ja-JP"/>
        </w:rPr>
        <w:t xml:space="preserve"> are:</w:t>
      </w:r>
    </w:p>
    <w:p w:rsidR="00935ABE" w:rsidRDefault="00935ABE" w:rsidP="00935ABE">
      <w:pPr>
        <w:numPr>
          <w:ilvl w:val="0"/>
          <w:numId w:val="10"/>
        </w:numPr>
        <w:tabs>
          <w:tab w:val="clear" w:pos="794"/>
          <w:tab w:val="clear" w:pos="1191"/>
          <w:tab w:val="clear" w:pos="1588"/>
          <w:tab w:val="clear" w:pos="1985"/>
        </w:tabs>
        <w:ind w:left="567" w:hanging="567"/>
        <w:rPr>
          <w:lang w:eastAsia="ja-JP"/>
        </w:rPr>
      </w:pPr>
      <w:r>
        <w:rPr>
          <w:lang w:eastAsia="ja-JP"/>
        </w:rPr>
        <w:t xml:space="preserve">Set the loudspeakers gain value in order to obtain a comfortable sound level at the conferee's positions (not too low and not too loud). </w:t>
      </w:r>
    </w:p>
    <w:p w:rsidR="00935ABE" w:rsidRDefault="00935ABE" w:rsidP="00935ABE">
      <w:pPr>
        <w:numPr>
          <w:ilvl w:val="0"/>
          <w:numId w:val="10"/>
        </w:numPr>
        <w:tabs>
          <w:tab w:val="clear" w:pos="794"/>
          <w:tab w:val="clear" w:pos="1191"/>
          <w:tab w:val="clear" w:pos="1588"/>
          <w:tab w:val="clear" w:pos="1985"/>
        </w:tabs>
        <w:ind w:left="567" w:hanging="567"/>
      </w:pPr>
      <w:r>
        <w:rPr>
          <w:lang w:eastAsia="ja-JP"/>
        </w:rPr>
        <w:t>Set the loudspeakers gain value so that the same electrical value received from the distant rooms after DA conversion generate the same sound pressure level at conferee's positions.</w:t>
      </w:r>
    </w:p>
    <w:p w:rsidR="00935ABE" w:rsidRPr="00891559" w:rsidRDefault="00935ABE" w:rsidP="00935ABE">
      <w:pPr>
        <w:pStyle w:val="Heading2Unnumbered"/>
      </w:pPr>
      <w:r>
        <w:lastRenderedPageBreak/>
        <w:t>A.11</w:t>
      </w:r>
      <w:r w:rsidRPr="00891559">
        <w:tab/>
        <w:t>Bibliography</w:t>
      </w:r>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S. Zhao (2003), Toward a taxonomy of copresence, “Presence: Teleoperators &amp; Virtual Environments”, 2003 - MIT Press.</w:t>
      </w:r>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 xml:space="preserve">W. A. Ijsselsteijn et al (2001), Toward a Core Bibliography of Presence, </w:t>
      </w:r>
      <w:r w:rsidRPr="00891559">
        <w:rPr>
          <w:i/>
        </w:rPr>
        <w:t>CyberPsychology &amp; Behavior</w:t>
      </w:r>
      <w:r w:rsidRPr="00891559">
        <w:t>. April 2001, Vol. 4, No. 2: 317-321</w:t>
      </w:r>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 xml:space="preserve">M. Minsky (1980), Telepresence, </w:t>
      </w:r>
      <w:r w:rsidRPr="00891559">
        <w:rPr>
          <w:i/>
        </w:rPr>
        <w:t>Omni</w:t>
      </w:r>
      <w:r w:rsidRPr="00891559">
        <w:t>, June 1980, pp. 45-51.</w:t>
      </w:r>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 xml:space="preserve">K. M. Lee, (2004), Presence, Explicated. </w:t>
      </w:r>
      <w:r w:rsidRPr="00891559">
        <w:rPr>
          <w:i/>
        </w:rPr>
        <w:t>Communication Theory</w:t>
      </w:r>
      <w:r w:rsidRPr="00891559">
        <w:t>, 2004, 14: 27–50.</w:t>
      </w:r>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 xml:space="preserve">Ontario Telepresence Project, Final Report, 1995, </w:t>
      </w:r>
      <w:hyperlink r:id="rId47" w:history="1">
        <w:r w:rsidRPr="00891559">
          <w:rPr>
            <w:rStyle w:val="Hyperlink"/>
          </w:rPr>
          <w:t>http://www.dgp.toronto.edu/tp/techdocs/Final_Report.pdf</w:t>
        </w:r>
      </w:hyperlink>
      <w:r w:rsidRPr="00891559">
        <w:t>.</w:t>
      </w:r>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 xml:space="preserve">Bill Buxton, Ontario Telepresence Project Videos, </w:t>
      </w:r>
      <w:hyperlink r:id="rId48" w:history="1">
        <w:r w:rsidRPr="00891559">
          <w:rPr>
            <w:rStyle w:val="Hyperlink"/>
          </w:rPr>
          <w:t>http://www.billbuxton.com/buxtonOTPVideos.html</w:t>
        </w:r>
      </w:hyperlink>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Steve Harrison (editor), (2009), Media Space 20+ Years of Mediated Life (Computer Supported Cooperative Work), Springer, NY, 2009.</w:t>
      </w:r>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S. W. Littlejohn and K. A. Foss (2005). Theories of Human Communication, Thomson Wadsworth Communication, pp. 107–108.</w:t>
      </w:r>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Adam Kendon (2004) , Gesture: Visible Action as Utterance, Cambridge University Press, 2004.</w:t>
      </w:r>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Fernando Poyatos (2002), Nonverbal Communication Across Disciplines: Paralanguage, Kinesics, Silence, Personal and Environmental Interaction, John Benjamins Publishing, 2002</w:t>
      </w:r>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R. A. Bolt (1980). Put that there: Voice and gesture at the graphics interface. Computer Graphics, 14(3):262–270, 1980.</w:t>
      </w:r>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S. Qu and J. Chai (2008). Incorporating Temporal and Semantic Information with Eye Gaze for Automatic Word Acquisition in Multimodal Conversational Systems. In Proceedings of the Conference on Empirical Methods in Natural Language Processing (EMNLP), pages 244-253, 2008.</w:t>
      </w:r>
    </w:p>
    <w:p w:rsidR="00935ABE" w:rsidRPr="00891559" w:rsidRDefault="00935ABE" w:rsidP="00935ABE">
      <w:pPr>
        <w:numPr>
          <w:ilvl w:val="0"/>
          <w:numId w:val="7"/>
        </w:numPr>
        <w:tabs>
          <w:tab w:val="clear" w:pos="794"/>
          <w:tab w:val="clear" w:pos="1191"/>
          <w:tab w:val="clear" w:pos="1588"/>
          <w:tab w:val="clear" w:pos="1985"/>
        </w:tabs>
        <w:ind w:left="567" w:hanging="567"/>
      </w:pPr>
      <w:r w:rsidRPr="00891559">
        <w:t>S. Qu and J. Chai (2008). Beyond attention: The Role of Deictic Gesture in Intention Recognition in Multimodal Conversational Interfaces. In Proceedings of the International Conference on Intelligent User Interfaces (IUI), pages 237-246, 2008.</w:t>
      </w:r>
    </w:p>
    <w:p w:rsidR="00935ABE" w:rsidRPr="00891559" w:rsidRDefault="00935ABE" w:rsidP="00935ABE">
      <w:pPr>
        <w:numPr>
          <w:ilvl w:val="0"/>
          <w:numId w:val="7"/>
        </w:numPr>
        <w:tabs>
          <w:tab w:val="clear" w:pos="794"/>
          <w:tab w:val="clear" w:pos="1191"/>
          <w:tab w:val="clear" w:pos="1588"/>
          <w:tab w:val="clear" w:pos="1985"/>
        </w:tabs>
        <w:ind w:left="567" w:hanging="567"/>
        <w:rPr>
          <w:lang w:val="en-US"/>
        </w:rPr>
      </w:pPr>
      <w:r w:rsidRPr="00891559">
        <w:rPr>
          <w:lang w:val="en-US"/>
        </w:rPr>
        <w:t>IESNA (2005) – Fundamentals of Lighting for Videoconferencing</w:t>
      </w:r>
    </w:p>
    <w:p w:rsidR="006C499C" w:rsidRPr="00A14FB6" w:rsidRDefault="006C499C"/>
    <w:p w:rsidR="006C499C" w:rsidRPr="00A14FB6" w:rsidRDefault="006C499C" w:rsidP="006C499C">
      <w:pPr>
        <w:jc w:val="center"/>
      </w:pPr>
      <w:r w:rsidRPr="00A14FB6">
        <w:t>__________________</w:t>
      </w:r>
    </w:p>
    <w:sectPr w:rsidR="006C499C" w:rsidRPr="00A14FB6" w:rsidSect="006C499C">
      <w:headerReference w:type="default" r:id="rId49"/>
      <w:footerReference w:type="first" r:id="rId50"/>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5CFE" w:rsidRDefault="00E15CFE">
      <w:r>
        <w:separator/>
      </w:r>
    </w:p>
  </w:endnote>
  <w:endnote w:type="continuationSeparator" w:id="0">
    <w:p w:rsidR="00E15CFE" w:rsidRDefault="00E15C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6C499C" w:rsidRPr="00F331C5">
      <w:trPr>
        <w:cantSplit/>
        <w:trHeight w:val="204"/>
      </w:trPr>
      <w:tc>
        <w:tcPr>
          <w:tcW w:w="1617" w:type="dxa"/>
          <w:tcBorders>
            <w:top w:val="single" w:sz="12" w:space="0" w:color="auto"/>
            <w:bottom w:val="single" w:sz="12" w:space="0" w:color="auto"/>
          </w:tcBorders>
        </w:tcPr>
        <w:p w:rsidR="006C499C" w:rsidRPr="00F331C5" w:rsidRDefault="006C499C" w:rsidP="006C499C">
          <w:pPr>
            <w:rPr>
              <w:b/>
              <w:bCs/>
              <w:sz w:val="20"/>
            </w:rPr>
          </w:pPr>
          <w:bookmarkStart w:id="12" w:name="dcontact"/>
          <w:r w:rsidRPr="00F331C5">
            <w:rPr>
              <w:b/>
              <w:bCs/>
              <w:sz w:val="20"/>
            </w:rPr>
            <w:t>Contact:</w:t>
          </w:r>
        </w:p>
      </w:tc>
      <w:tc>
        <w:tcPr>
          <w:tcW w:w="4394" w:type="dxa"/>
          <w:tcBorders>
            <w:top w:val="single" w:sz="12" w:space="0" w:color="auto"/>
            <w:bottom w:val="single" w:sz="12" w:space="0" w:color="auto"/>
          </w:tcBorders>
        </w:tcPr>
        <w:p w:rsidR="006C499C" w:rsidRPr="00935ABE" w:rsidRDefault="00935ABE" w:rsidP="006C499C">
          <w:pPr>
            <w:rPr>
              <w:sz w:val="20"/>
            </w:rPr>
          </w:pPr>
          <w:r w:rsidRPr="00935ABE">
            <w:rPr>
              <w:sz w:val="20"/>
            </w:rPr>
            <w:t>Stephen Botzko</w:t>
          </w:r>
        </w:p>
        <w:p w:rsidR="006C499C" w:rsidRPr="00935ABE" w:rsidRDefault="00935ABE" w:rsidP="006C499C">
          <w:pPr>
            <w:spacing w:before="0"/>
            <w:rPr>
              <w:sz w:val="20"/>
            </w:rPr>
          </w:pPr>
          <w:r w:rsidRPr="00935ABE">
            <w:rPr>
              <w:sz w:val="20"/>
            </w:rPr>
            <w:t>Polycom</w:t>
          </w:r>
        </w:p>
        <w:p w:rsidR="006C499C" w:rsidRPr="00F331C5" w:rsidRDefault="00935ABE" w:rsidP="006C499C">
          <w:pPr>
            <w:spacing w:before="0"/>
            <w:rPr>
              <w:sz w:val="20"/>
            </w:rPr>
          </w:pPr>
          <w:r>
            <w:rPr>
              <w:sz w:val="20"/>
            </w:rPr>
            <w:t>USA</w:t>
          </w:r>
        </w:p>
      </w:tc>
      <w:tc>
        <w:tcPr>
          <w:tcW w:w="3912" w:type="dxa"/>
          <w:tcBorders>
            <w:top w:val="single" w:sz="12" w:space="0" w:color="auto"/>
            <w:bottom w:val="single" w:sz="12" w:space="0" w:color="auto"/>
          </w:tcBorders>
        </w:tcPr>
        <w:p w:rsidR="006C499C" w:rsidRPr="00F331C5" w:rsidRDefault="006C499C" w:rsidP="006C499C">
          <w:pPr>
            <w:rPr>
              <w:sz w:val="20"/>
            </w:rPr>
          </w:pPr>
          <w:r w:rsidRPr="00F331C5">
            <w:rPr>
              <w:sz w:val="20"/>
            </w:rPr>
            <w:t>Tel: +</w:t>
          </w:r>
          <w:r w:rsidR="00935ABE">
            <w:rPr>
              <w:sz w:val="20"/>
            </w:rPr>
            <w:t>1 978 292-5295</w:t>
          </w:r>
        </w:p>
        <w:p w:rsidR="006C499C" w:rsidRPr="00F331C5" w:rsidRDefault="00935ABE" w:rsidP="006C499C">
          <w:pPr>
            <w:spacing w:before="0"/>
            <w:rPr>
              <w:sz w:val="20"/>
            </w:rPr>
          </w:pPr>
          <w:r>
            <w:rPr>
              <w:sz w:val="20"/>
            </w:rPr>
            <w:t xml:space="preserve">Fax: </w:t>
          </w:r>
        </w:p>
        <w:p w:rsidR="006C499C" w:rsidRPr="00F331C5" w:rsidRDefault="006C499C" w:rsidP="006C499C">
          <w:pPr>
            <w:spacing w:before="0"/>
            <w:rPr>
              <w:sz w:val="20"/>
            </w:rPr>
          </w:pPr>
          <w:r w:rsidRPr="00F331C5">
            <w:rPr>
              <w:sz w:val="20"/>
            </w:rPr>
            <w:t xml:space="preserve">Email: </w:t>
          </w:r>
          <w:r w:rsidR="00935ABE">
            <w:rPr>
              <w:sz w:val="20"/>
            </w:rPr>
            <w:t>Stephen.Botzko@polycom.com</w:t>
          </w:r>
        </w:p>
      </w:tc>
    </w:tr>
    <w:bookmarkEnd w:id="12"/>
  </w:tbl>
  <w:p w:rsidR="006C499C" w:rsidRPr="00981DCE" w:rsidRDefault="006C499C"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5CFE" w:rsidRDefault="00E15CFE">
      <w:r>
        <w:separator/>
      </w:r>
    </w:p>
  </w:footnote>
  <w:footnote w:type="continuationSeparator" w:id="0">
    <w:p w:rsidR="00E15CFE" w:rsidRDefault="00E15C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499C" w:rsidRPr="00981DCE" w:rsidRDefault="006C499C" w:rsidP="006C499C">
    <w:pPr>
      <w:pStyle w:val="Header"/>
    </w:pPr>
    <w:r w:rsidRPr="00981DCE">
      <w:t xml:space="preserve">- </w:t>
    </w:r>
    <w:r w:rsidRPr="00981DCE">
      <w:fldChar w:fldCharType="begin"/>
    </w:r>
    <w:r w:rsidRPr="00981DCE">
      <w:instrText xml:space="preserve"> PAGE  \* MERGEFORMAT </w:instrText>
    </w:r>
    <w:r w:rsidRPr="00981DCE">
      <w:fldChar w:fldCharType="separate"/>
    </w:r>
    <w:r w:rsidR="00FF5A32">
      <w:rPr>
        <w:noProof/>
      </w:rPr>
      <w:t>2</w:t>
    </w:r>
    <w:r w:rsidRPr="00981DCE">
      <w:fldChar w:fldCharType="end"/>
    </w:r>
    <w:r w:rsidRPr="00981DCE">
      <w:t xml:space="preserve"> -</w:t>
    </w:r>
  </w:p>
  <w:p w:rsidR="006C499C" w:rsidRPr="00711FE1" w:rsidRDefault="00935ABE" w:rsidP="006C499C">
    <w:pPr>
      <w:pStyle w:val="Header"/>
    </w:pPr>
    <w:r w:rsidRPr="00935ABE">
      <w:t>TD-17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16F43B0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nsid w:val="19C12F86"/>
    <w:multiLevelType w:val="hybridMultilevel"/>
    <w:tmpl w:val="B46AF180"/>
    <w:lvl w:ilvl="0" w:tplc="8AC2A1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21AF7612"/>
    <w:multiLevelType w:val="hybridMultilevel"/>
    <w:tmpl w:val="A2EEFD7C"/>
    <w:lvl w:ilvl="0" w:tplc="450AEED6">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1E65029"/>
    <w:multiLevelType w:val="hybridMultilevel"/>
    <w:tmpl w:val="FC9CAF52"/>
    <w:lvl w:ilvl="0" w:tplc="8AC2A1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4F80350D"/>
    <w:multiLevelType w:val="hybridMultilevel"/>
    <w:tmpl w:val="F4A648E0"/>
    <w:lvl w:ilvl="0" w:tplc="8AC2A1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3"/>
  </w:num>
  <w:num w:numId="8">
    <w:abstractNumId w:val="5"/>
  </w:num>
  <w:num w:numId="9">
    <w:abstractNumId w:val="2"/>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9"/>
  <w:printFractionalCharacterWidth/>
  <w:embedSystemFonts/>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2444E1"/>
    <w:rsid w:val="005267E7"/>
    <w:rsid w:val="00602AA7"/>
    <w:rsid w:val="006469E2"/>
    <w:rsid w:val="0067042E"/>
    <w:rsid w:val="00677DB3"/>
    <w:rsid w:val="00682BBD"/>
    <w:rsid w:val="0068394C"/>
    <w:rsid w:val="006C499C"/>
    <w:rsid w:val="006E68A9"/>
    <w:rsid w:val="006F3EE7"/>
    <w:rsid w:val="007570DD"/>
    <w:rsid w:val="00762E0E"/>
    <w:rsid w:val="0077413D"/>
    <w:rsid w:val="007B331C"/>
    <w:rsid w:val="007D5F32"/>
    <w:rsid w:val="00891D47"/>
    <w:rsid w:val="009026BC"/>
    <w:rsid w:val="00935ABE"/>
    <w:rsid w:val="00937BCE"/>
    <w:rsid w:val="009C724D"/>
    <w:rsid w:val="00A14FB6"/>
    <w:rsid w:val="00A65213"/>
    <w:rsid w:val="00AC26B2"/>
    <w:rsid w:val="00AE566B"/>
    <w:rsid w:val="00AE68B3"/>
    <w:rsid w:val="00B45B75"/>
    <w:rsid w:val="00C03EC3"/>
    <w:rsid w:val="00C2315B"/>
    <w:rsid w:val="00C27061"/>
    <w:rsid w:val="00CC667A"/>
    <w:rsid w:val="00D0565D"/>
    <w:rsid w:val="00D33440"/>
    <w:rsid w:val="00DB1662"/>
    <w:rsid w:val="00DF54C8"/>
    <w:rsid w:val="00E15CFE"/>
    <w:rsid w:val="00EB6B2D"/>
    <w:rsid w:val="00FA2B2B"/>
    <w:rsid w:val="00FF5A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customStyle="1" w:styleId="Figure">
    <w:name w:val="Figure"/>
    <w:basedOn w:val="Normal"/>
    <w:next w:val="Normal"/>
    <w:rsid w:val="00935ABE"/>
    <w:pPr>
      <w:keepNext/>
      <w:keepLines/>
      <w:spacing w:before="240" w:after="120"/>
      <w:jc w:val="center"/>
    </w:pPr>
    <w:rPr>
      <w:rFonts w:eastAsia="Times New Roman"/>
    </w:rPr>
  </w:style>
  <w:style w:type="character" w:styleId="Hyperlink">
    <w:name w:val="Hyperlink"/>
    <w:basedOn w:val="DefaultParagraphFont"/>
    <w:rsid w:val="00935ABE"/>
    <w:rPr>
      <w:color w:val="0000FF" w:themeColor="hyperlink"/>
      <w:u w:val="single"/>
    </w:rPr>
  </w:style>
  <w:style w:type="paragraph" w:customStyle="1" w:styleId="Heading3Unnumbered">
    <w:name w:val="Heading 3 Unnumbered"/>
    <w:basedOn w:val="Heading3"/>
    <w:rsid w:val="00935ABE"/>
    <w:pPr>
      <w:keepLines w:val="0"/>
      <w:numPr>
        <w:ilvl w:val="0"/>
        <w:numId w:val="0"/>
      </w:numPr>
      <w:tabs>
        <w:tab w:val="clear" w:pos="794"/>
        <w:tab w:val="clear" w:pos="1191"/>
        <w:tab w:val="clear" w:pos="1588"/>
        <w:tab w:val="clear" w:pos="1985"/>
      </w:tabs>
      <w:overflowPunct/>
      <w:autoSpaceDE/>
      <w:autoSpaceDN/>
      <w:adjustRightInd/>
      <w:spacing w:before="240" w:after="60"/>
      <w:ind w:left="851" w:hanging="851"/>
      <w:textAlignment w:val="auto"/>
    </w:pPr>
    <w:rPr>
      <w:rFonts w:eastAsiaTheme="minorEastAsia" w:cs="Arial"/>
      <w:bCs/>
      <w:szCs w:val="26"/>
      <w:lang w:eastAsia="ja-JP"/>
    </w:rPr>
  </w:style>
  <w:style w:type="paragraph" w:customStyle="1" w:styleId="Heading2Unnumbered">
    <w:name w:val="Heading 2 Unnumbered"/>
    <w:basedOn w:val="Heading2"/>
    <w:rsid w:val="00935ABE"/>
    <w:pPr>
      <w:keepLines w:val="0"/>
      <w:numPr>
        <w:ilvl w:val="0"/>
        <w:numId w:val="0"/>
      </w:numPr>
      <w:tabs>
        <w:tab w:val="clear" w:pos="794"/>
        <w:tab w:val="clear" w:pos="1191"/>
        <w:tab w:val="clear" w:pos="1588"/>
        <w:tab w:val="clear" w:pos="1985"/>
      </w:tabs>
      <w:overflowPunct/>
      <w:autoSpaceDE/>
      <w:autoSpaceDN/>
      <w:adjustRightInd/>
      <w:spacing w:after="60"/>
      <w:textAlignment w:val="auto"/>
    </w:pPr>
    <w:rPr>
      <w:rFonts w:eastAsiaTheme="minorEastAsia" w:cs="Arial"/>
      <w:bCs/>
      <w:iCs/>
      <w:szCs w:val="28"/>
      <w:lang w:eastAsia="ja-JP"/>
    </w:rPr>
  </w:style>
  <w:style w:type="paragraph" w:styleId="BalloonText">
    <w:name w:val="Balloon Text"/>
    <w:basedOn w:val="Normal"/>
    <w:link w:val="BalloonTextChar"/>
    <w:rsid w:val="00935ABE"/>
    <w:pPr>
      <w:spacing w:before="0"/>
    </w:pPr>
    <w:rPr>
      <w:rFonts w:ascii="Tahoma" w:hAnsi="Tahoma" w:cs="Tahoma"/>
      <w:sz w:val="16"/>
      <w:szCs w:val="16"/>
    </w:rPr>
  </w:style>
  <w:style w:type="character" w:customStyle="1" w:styleId="BalloonTextChar">
    <w:name w:val="Balloon Text Char"/>
    <w:basedOn w:val="DefaultParagraphFont"/>
    <w:link w:val="BalloonText"/>
    <w:rsid w:val="00935ABE"/>
    <w:rPr>
      <w:rFonts w:ascii="Tahoma" w:hAnsi="Tahoma" w:cs="Tahoma"/>
      <w:sz w:val="16"/>
      <w:szCs w:val="16"/>
      <w:lang w:val="en-GB"/>
    </w:rPr>
  </w:style>
  <w:style w:type="character" w:styleId="Strong">
    <w:name w:val="Strong"/>
    <w:basedOn w:val="DefaultParagraphFont"/>
    <w:uiPriority w:val="22"/>
    <w:qFormat/>
    <w:rsid w:val="00B45B75"/>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customStyle="1" w:styleId="Figure">
    <w:name w:val="Figure"/>
    <w:basedOn w:val="Normal"/>
    <w:next w:val="Normal"/>
    <w:rsid w:val="00935ABE"/>
    <w:pPr>
      <w:keepNext/>
      <w:keepLines/>
      <w:spacing w:before="240" w:after="120"/>
      <w:jc w:val="center"/>
    </w:pPr>
    <w:rPr>
      <w:rFonts w:eastAsia="Times New Roman"/>
    </w:rPr>
  </w:style>
  <w:style w:type="character" w:styleId="Hyperlink">
    <w:name w:val="Hyperlink"/>
    <w:basedOn w:val="DefaultParagraphFont"/>
    <w:rsid w:val="00935ABE"/>
    <w:rPr>
      <w:color w:val="0000FF" w:themeColor="hyperlink"/>
      <w:u w:val="single"/>
    </w:rPr>
  </w:style>
  <w:style w:type="paragraph" w:customStyle="1" w:styleId="Heading3Unnumbered">
    <w:name w:val="Heading 3 Unnumbered"/>
    <w:basedOn w:val="Heading3"/>
    <w:rsid w:val="00935ABE"/>
    <w:pPr>
      <w:keepLines w:val="0"/>
      <w:numPr>
        <w:ilvl w:val="0"/>
        <w:numId w:val="0"/>
      </w:numPr>
      <w:tabs>
        <w:tab w:val="clear" w:pos="794"/>
        <w:tab w:val="clear" w:pos="1191"/>
        <w:tab w:val="clear" w:pos="1588"/>
        <w:tab w:val="clear" w:pos="1985"/>
      </w:tabs>
      <w:overflowPunct/>
      <w:autoSpaceDE/>
      <w:autoSpaceDN/>
      <w:adjustRightInd/>
      <w:spacing w:before="240" w:after="60"/>
      <w:ind w:left="851" w:hanging="851"/>
      <w:textAlignment w:val="auto"/>
    </w:pPr>
    <w:rPr>
      <w:rFonts w:eastAsiaTheme="minorEastAsia" w:cs="Arial"/>
      <w:bCs/>
      <w:szCs w:val="26"/>
      <w:lang w:eastAsia="ja-JP"/>
    </w:rPr>
  </w:style>
  <w:style w:type="paragraph" w:customStyle="1" w:styleId="Heading2Unnumbered">
    <w:name w:val="Heading 2 Unnumbered"/>
    <w:basedOn w:val="Heading2"/>
    <w:rsid w:val="00935ABE"/>
    <w:pPr>
      <w:keepLines w:val="0"/>
      <w:numPr>
        <w:ilvl w:val="0"/>
        <w:numId w:val="0"/>
      </w:numPr>
      <w:tabs>
        <w:tab w:val="clear" w:pos="794"/>
        <w:tab w:val="clear" w:pos="1191"/>
        <w:tab w:val="clear" w:pos="1588"/>
        <w:tab w:val="clear" w:pos="1985"/>
      </w:tabs>
      <w:overflowPunct/>
      <w:autoSpaceDE/>
      <w:autoSpaceDN/>
      <w:adjustRightInd/>
      <w:spacing w:after="60"/>
      <w:textAlignment w:val="auto"/>
    </w:pPr>
    <w:rPr>
      <w:rFonts w:eastAsiaTheme="minorEastAsia" w:cs="Arial"/>
      <w:bCs/>
      <w:iCs/>
      <w:szCs w:val="28"/>
      <w:lang w:eastAsia="ja-JP"/>
    </w:rPr>
  </w:style>
  <w:style w:type="paragraph" w:styleId="BalloonText">
    <w:name w:val="Balloon Text"/>
    <w:basedOn w:val="Normal"/>
    <w:link w:val="BalloonTextChar"/>
    <w:rsid w:val="00935ABE"/>
    <w:pPr>
      <w:spacing w:before="0"/>
    </w:pPr>
    <w:rPr>
      <w:rFonts w:ascii="Tahoma" w:hAnsi="Tahoma" w:cs="Tahoma"/>
      <w:sz w:val="16"/>
      <w:szCs w:val="16"/>
    </w:rPr>
  </w:style>
  <w:style w:type="character" w:customStyle="1" w:styleId="BalloonTextChar">
    <w:name w:val="Balloon Text Char"/>
    <w:basedOn w:val="DefaultParagraphFont"/>
    <w:link w:val="BalloonText"/>
    <w:rsid w:val="00935ABE"/>
    <w:rPr>
      <w:rFonts w:ascii="Tahoma" w:hAnsi="Tahoma" w:cs="Tahoma"/>
      <w:sz w:val="16"/>
      <w:szCs w:val="16"/>
      <w:lang w:val="en-GB"/>
    </w:rPr>
  </w:style>
  <w:style w:type="character" w:styleId="Strong">
    <w:name w:val="Strong"/>
    <w:basedOn w:val="DefaultParagraphFont"/>
    <w:uiPriority w:val="22"/>
    <w:qFormat/>
    <w:rsid w:val="00B45B7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ftp3.itu.int/av-arch/avc-site/2009-2012/1011_Res/AVD-3972a.zip" TargetMode="External"/><Relationship Id="rId18" Type="http://schemas.openxmlformats.org/officeDocument/2006/relationships/hyperlink" Target="http://ftp3.itu.int/av-arch/avc-site/2009-2012/1011_Res/AVD-3971a.zip" TargetMode="External"/><Relationship Id="rId26" Type="http://schemas.openxmlformats.org/officeDocument/2006/relationships/hyperlink" Target="http://www.itu.int/md/T09-SG12-C-0179/en" TargetMode="External"/><Relationship Id="rId39" Type="http://schemas.openxmlformats.org/officeDocument/2006/relationships/image" Target="media/image8.emf"/><Relationship Id="rId3" Type="http://schemas.microsoft.com/office/2007/relationships/stylesWithEffects" Target="stylesWithEffects.xml"/><Relationship Id="rId21" Type="http://schemas.openxmlformats.org/officeDocument/2006/relationships/hyperlink" Target="http://www.itu.int/md/meetingdoc.asp?lang=en&amp;parent=T09-SG16-C-0576" TargetMode="External"/><Relationship Id="rId34" Type="http://schemas.openxmlformats.org/officeDocument/2006/relationships/image" Target="media/image4.png"/><Relationship Id="rId42" Type="http://schemas.openxmlformats.org/officeDocument/2006/relationships/image" Target="media/image9.emf"/><Relationship Id="rId47" Type="http://schemas.openxmlformats.org/officeDocument/2006/relationships/hyperlink" Target="http://www.dgp.toronto.edu/tp/techdocs/Final_Report.pdf" TargetMode="External"/><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ftp3.itu.int/av-arch/avc-site/2009-2012/1011_Res/AVD-3971a.zip" TargetMode="External"/><Relationship Id="rId17" Type="http://schemas.openxmlformats.org/officeDocument/2006/relationships/hyperlink" Target="http://www.itu.int/md/meetingdoc.asp?lang=en&amp;parent=T09-SG16-C-0581" TargetMode="External"/><Relationship Id="rId25" Type="http://schemas.openxmlformats.org/officeDocument/2006/relationships/hyperlink" Target="http://www.itu.int/md/T09-SG12-C-0178/en" TargetMode="External"/><Relationship Id="rId33" Type="http://schemas.openxmlformats.org/officeDocument/2006/relationships/image" Target="media/image3.png"/><Relationship Id="rId38" Type="http://schemas.openxmlformats.org/officeDocument/2006/relationships/hyperlink" Target="http://wftp3.itu.int/av-arch/avc-site/2009-2012/1107_And/AVD-4082.zip" TargetMode="External"/><Relationship Id="rId46" Type="http://schemas.openxmlformats.org/officeDocument/2006/relationships/hyperlink" Target="http://www.itu.int/md/meetingdoc.asp?lang=en&amp;parent=T09-SG16-C-0931" TargetMode="External"/><Relationship Id="rId2" Type="http://schemas.openxmlformats.org/officeDocument/2006/relationships/styles" Target="styles.xml"/><Relationship Id="rId16" Type="http://schemas.openxmlformats.org/officeDocument/2006/relationships/hyperlink" Target="http://www.itu.int/md/meetingdoc.asp?lang=en&amp;parent=T09-SG16-C-0578" TargetMode="External"/><Relationship Id="rId20" Type="http://schemas.openxmlformats.org/officeDocument/2006/relationships/hyperlink" Target="http://www.itu.int/md/meetingdoc.asp?lang=en&amp;parent=T09-SG16-C-0580" TargetMode="External"/><Relationship Id="rId29" Type="http://schemas.openxmlformats.org/officeDocument/2006/relationships/hyperlink" Target="http://wftp3.itu.int/av-arch/avc-site/2009-2012/1107_And/AVD-4086.zip" TargetMode="External"/><Relationship Id="rId41" Type="http://schemas.openxmlformats.org/officeDocument/2006/relationships/hyperlink" Target="http://www.itu.int/md/meetingdoc.asp?lang=en&amp;parent=T09-SG16-C-0837"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itu.int/md/meetingdoc.asp?lang=en&amp;parent=T09-SG16-110314-TD-WP2-0547" TargetMode="External"/><Relationship Id="rId24" Type="http://schemas.openxmlformats.org/officeDocument/2006/relationships/hyperlink" Target="http://www.itu.int/md/meetingdoc.asp?lang=en&amp;parent=T09-SG16-110314-TD-GEN-0363"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oleObject" Target="embeddings/oleObject1.bin"/><Relationship Id="rId45"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hyperlink" Target="http://www.itu.int/md/meetingdoc.asp?lang=en&amp;parent=T09-SG16-C-0574" TargetMode="External"/><Relationship Id="rId23" Type="http://schemas.openxmlformats.org/officeDocument/2006/relationships/hyperlink" Target="http://ftp3.itu.int/av-arch/avc-site/2009-2012/1011_Res/AVD-4013.zip" TargetMode="External"/><Relationship Id="rId28" Type="http://schemas.openxmlformats.org/officeDocument/2006/relationships/hyperlink" Target="http://www.itu.int/md/T09-SG12-C-0191/en" TargetMode="External"/><Relationship Id="rId36" Type="http://schemas.openxmlformats.org/officeDocument/2006/relationships/image" Target="media/image6.png"/><Relationship Id="rId49" Type="http://schemas.openxmlformats.org/officeDocument/2006/relationships/header" Target="header1.xml"/><Relationship Id="rId10" Type="http://schemas.openxmlformats.org/officeDocument/2006/relationships/hyperlink" Target="http://ftp3.itu.int/av-arch/avc-site/2009-2012/1011_Res/AVD-4024.zip" TargetMode="External"/><Relationship Id="rId19" Type="http://schemas.openxmlformats.org/officeDocument/2006/relationships/hyperlink" Target="http://ftp3.itu.int/av-arch/avc-site/2009-2012/1011_Res/AVD-4024.zip" TargetMode="External"/><Relationship Id="rId31" Type="http://schemas.openxmlformats.org/officeDocument/2006/relationships/image" Target="media/image1.png"/><Relationship Id="rId44" Type="http://schemas.openxmlformats.org/officeDocument/2006/relationships/image" Target="media/image11.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ftp3.itu.int/av-arch/avc-site/2009-2012/1011_Res/AVD-4013.zip" TargetMode="External"/><Relationship Id="rId14" Type="http://schemas.openxmlformats.org/officeDocument/2006/relationships/hyperlink" Target="http://www.itu.int/md/meetingdoc.asp?lang=en&amp;parent=T09-SG16-C-0573" TargetMode="External"/><Relationship Id="rId22" Type="http://schemas.openxmlformats.org/officeDocument/2006/relationships/hyperlink" Target="http://www.itu.int/md/meetingdoc.asp?lang=en&amp;parent=T09-SG16-C-0581" TargetMode="External"/><Relationship Id="rId27" Type="http://schemas.openxmlformats.org/officeDocument/2006/relationships/hyperlink" Target="http://www.itu.int/md/T09-SG12-C-0190/en" TargetMode="External"/><Relationship Id="rId30" Type="http://schemas.openxmlformats.org/officeDocument/2006/relationships/hyperlink" Target="http://wftp3.itu.int/av-arch/avc-site/2009-2012/1107_And/AVD-4088.zip" TargetMode="External"/><Relationship Id="rId35" Type="http://schemas.openxmlformats.org/officeDocument/2006/relationships/image" Target="media/image5.png"/><Relationship Id="rId43" Type="http://schemas.openxmlformats.org/officeDocument/2006/relationships/image" Target="media/image10.emf"/><Relationship Id="rId48" Type="http://schemas.openxmlformats.org/officeDocument/2006/relationships/hyperlink" Target="http://www.billbuxton.com/buxtonOTPVideos.html" TargetMode="External"/><Relationship Id="rId8" Type="http://schemas.openxmlformats.org/officeDocument/2006/relationships/hyperlink" Target="http://www.itu.int/md/meetingdoc.asp?lang=en&amp;parent=T09-SG16-111121-TD-WP2-0769" TargetMode="Externa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20</TotalTime>
  <Pages>11</Pages>
  <Words>2687</Words>
  <Characters>15317</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Rapporteur Meeting of ITU-T SG16 Questions 3, 5, 21, 22, 24, and 25/16</vt:lpstr>
    </vt:vector>
  </TitlesOfParts>
  <Company>ITU</Company>
  <LinksUpToDate>false</LinksUpToDate>
  <CharactersWithSpaces>17969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Paul E. Jones</cp:lastModifiedBy>
  <cp:revision>11</cp:revision>
  <cp:lastPrinted>2002-08-01T12:30:00Z</cp:lastPrinted>
  <dcterms:created xsi:type="dcterms:W3CDTF">2011-05-10T03:20:00Z</dcterms:created>
  <dcterms:modified xsi:type="dcterms:W3CDTF">2012-09-19T17:46:00Z</dcterms:modified>
</cp:coreProperties>
</file>